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5581" w14:textId="77777777" w:rsidR="00914781" w:rsidRPr="00EB512D" w:rsidRDefault="00914781" w:rsidP="00941D26">
      <w:pPr>
        <w:jc w:val="center"/>
        <w:rPr>
          <w:b/>
          <w:caps/>
          <w:spacing w:val="30"/>
          <w:lang w:val="sk-SK"/>
        </w:rPr>
      </w:pPr>
      <w:r w:rsidRPr="00EB512D">
        <w:rPr>
          <w:b/>
          <w:caps/>
          <w:spacing w:val="30"/>
          <w:lang w:val="sk-SK"/>
        </w:rPr>
        <w:t>Dôvodová správa</w:t>
      </w:r>
    </w:p>
    <w:p w14:paraId="00EF1720" w14:textId="77777777" w:rsidR="00914781" w:rsidRPr="00EB512D" w:rsidRDefault="00914781" w:rsidP="00941D26">
      <w:pPr>
        <w:jc w:val="both"/>
        <w:rPr>
          <w:lang w:val="sk-SK"/>
        </w:rPr>
      </w:pPr>
    </w:p>
    <w:p w14:paraId="6F56D142" w14:textId="77777777" w:rsidR="00914781" w:rsidRPr="00EB512D" w:rsidRDefault="00914781" w:rsidP="00941D26">
      <w:pPr>
        <w:pStyle w:val="Odsekzoznamu1"/>
        <w:numPr>
          <w:ilvl w:val="0"/>
          <w:numId w:val="1"/>
        </w:numPr>
        <w:spacing w:after="0"/>
        <w:ind w:left="426" w:hanging="426"/>
        <w:jc w:val="both"/>
        <w:rPr>
          <w:rFonts w:ascii="Times New Roman" w:hAnsi="Times New Roman"/>
          <w:b/>
        </w:rPr>
      </w:pPr>
      <w:r w:rsidRPr="00EB512D">
        <w:rPr>
          <w:rFonts w:ascii="Times New Roman" w:hAnsi="Times New Roman"/>
          <w:b/>
        </w:rPr>
        <w:t xml:space="preserve">Všeobecná časť </w:t>
      </w:r>
    </w:p>
    <w:p w14:paraId="70A6B860" w14:textId="77777777" w:rsidR="00914781" w:rsidRPr="00EB512D" w:rsidRDefault="00914781" w:rsidP="00941D26">
      <w:pPr>
        <w:jc w:val="both"/>
        <w:rPr>
          <w:lang w:val="sk-SK"/>
        </w:rPr>
      </w:pPr>
    </w:p>
    <w:p w14:paraId="46FC39BA" w14:textId="79579B0A" w:rsidR="00782227" w:rsidRPr="00EB512D" w:rsidRDefault="00F4724A" w:rsidP="00941D26">
      <w:pPr>
        <w:ind w:firstLine="708"/>
        <w:jc w:val="both"/>
        <w:rPr>
          <w:lang w:val="sk-SK"/>
        </w:rPr>
      </w:pPr>
      <w:r w:rsidRPr="00EB512D">
        <w:rPr>
          <w:lang w:val="sk-SK"/>
        </w:rPr>
        <w:t>N</w:t>
      </w:r>
      <w:r w:rsidR="00914781" w:rsidRPr="00EB512D">
        <w:rPr>
          <w:lang w:val="sk-SK"/>
        </w:rPr>
        <w:t>ávrh zákona</w:t>
      </w:r>
      <w:r w:rsidR="00774D85" w:rsidRPr="00EB512D">
        <w:rPr>
          <w:lang w:val="sk-SK"/>
        </w:rPr>
        <w:t>,</w:t>
      </w:r>
      <w:r w:rsidR="00914781" w:rsidRPr="00EB512D">
        <w:rPr>
          <w:lang w:val="sk-SK"/>
        </w:rPr>
        <w:t xml:space="preserve"> </w:t>
      </w:r>
      <w:r w:rsidR="00956260" w:rsidRPr="00EB512D">
        <w:rPr>
          <w:lang w:val="sk-SK"/>
        </w:rPr>
        <w:t xml:space="preserve">ktorým sa mení a dopĺňa </w:t>
      </w:r>
      <w:r w:rsidR="00C72A4D" w:rsidRPr="00EB512D">
        <w:rPr>
          <w:lang w:val="sk-SK"/>
        </w:rPr>
        <w:t>zákon č. 305/2013 Z. z. o elektronickej podobe výkonu pôsobnosti orgánov verejnej moci a o zmene a doplnení niektorých zákonov (zákon o e-Governmente) v znení neskorších predpisov</w:t>
      </w:r>
      <w:r w:rsidRPr="00EB512D">
        <w:rPr>
          <w:lang w:val="sk-SK"/>
        </w:rPr>
        <w:t xml:space="preserve"> a</w:t>
      </w:r>
      <w:r w:rsidR="007C3F79" w:rsidRPr="00EB512D">
        <w:rPr>
          <w:lang w:val="sk-SK"/>
        </w:rPr>
        <w:t> ktorým sa menia a dopĺňajú niektoré zákony bol vypracovaný na základe legislatívnych úloh vlády na rok 2018.</w:t>
      </w:r>
    </w:p>
    <w:p w14:paraId="553F8257" w14:textId="77777777" w:rsidR="00782227" w:rsidRPr="00EB512D" w:rsidRDefault="00782227" w:rsidP="00941D26">
      <w:pPr>
        <w:ind w:firstLine="708"/>
        <w:jc w:val="both"/>
        <w:rPr>
          <w:lang w:val="sk-SK"/>
        </w:rPr>
      </w:pPr>
    </w:p>
    <w:p w14:paraId="6B429094" w14:textId="77777777" w:rsidR="00B4649F" w:rsidRPr="00EB512D" w:rsidRDefault="00B4649F" w:rsidP="00B4649F">
      <w:pPr>
        <w:ind w:firstLine="708"/>
        <w:jc w:val="both"/>
        <w:rPr>
          <w:lang w:val="sk-SK"/>
        </w:rPr>
      </w:pPr>
      <w:r w:rsidRPr="00EB512D">
        <w:rPr>
          <w:lang w:val="sk-SK"/>
        </w:rPr>
        <w:t>Obsahom predkladaného návrhu zákona sú zmeny v nasledovných oblastiach:</w:t>
      </w:r>
    </w:p>
    <w:p w14:paraId="73B16790" w14:textId="77777777" w:rsidR="00B4649F" w:rsidRPr="00EB512D" w:rsidRDefault="00B4649F" w:rsidP="00B4649F">
      <w:pPr>
        <w:numPr>
          <w:ilvl w:val="0"/>
          <w:numId w:val="16"/>
        </w:numPr>
        <w:adjustRightInd w:val="0"/>
        <w:ind w:left="1080"/>
        <w:jc w:val="both"/>
        <w:rPr>
          <w:color w:val="000000"/>
          <w:lang w:val="sk-SK"/>
        </w:rPr>
      </w:pPr>
      <w:r w:rsidRPr="00EB512D">
        <w:rPr>
          <w:bCs/>
          <w:color w:val="000000"/>
          <w:lang w:val="sk-SK"/>
        </w:rPr>
        <w:t>autentifikácia</w:t>
      </w:r>
    </w:p>
    <w:p w14:paraId="77DEEB6E" w14:textId="7145647E" w:rsidR="00B4649F" w:rsidRPr="00EB512D" w:rsidRDefault="00B4649F" w:rsidP="00B4649F">
      <w:pPr>
        <w:numPr>
          <w:ilvl w:val="1"/>
          <w:numId w:val="16"/>
        </w:numPr>
        <w:adjustRightInd w:val="0"/>
        <w:jc w:val="both"/>
        <w:rPr>
          <w:color w:val="000000"/>
          <w:lang w:val="sk-SK"/>
        </w:rPr>
      </w:pPr>
      <w:r w:rsidRPr="00EB512D">
        <w:rPr>
          <w:color w:val="000000"/>
          <w:lang w:val="sk-SK"/>
        </w:rPr>
        <w:t xml:space="preserve">doplnenie identifikačných schém publikovaných podľa </w:t>
      </w:r>
      <w:r w:rsidR="00DB06D1" w:rsidRPr="00EB512D">
        <w:rPr>
          <w:color w:val="000000"/>
          <w:lang w:val="sk-SK"/>
        </w:rPr>
        <w:t>nariadenia Európskeho parlamentu a Rady (EÚ) č. 910/2014 z 23. júla 2014 o elektronickej identifikácii a dôveryhodných službách pre elektronické transakcie na vnútornom trhu a o zrušení smernice 1999/93/ES (Ú. v. EÚ L 257, 28. 8. 2014) (ďalej len “nariadenie eIDAS”)</w:t>
      </w:r>
      <w:r w:rsidRPr="00EB512D">
        <w:rPr>
          <w:color w:val="000000"/>
          <w:lang w:val="sk-SK"/>
        </w:rPr>
        <w:t>, ako povinne podporovaných autentifikátorov,</w:t>
      </w:r>
    </w:p>
    <w:p w14:paraId="5C57A4C3"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 legislatívno-technické úpravy ustanovení o spôsoboch autentifikácie,</w:t>
      </w:r>
    </w:p>
    <w:p w14:paraId="2958AC9A" w14:textId="77777777" w:rsidR="00B4649F" w:rsidRPr="00EB512D" w:rsidRDefault="00B4649F" w:rsidP="00B4649F">
      <w:pPr>
        <w:numPr>
          <w:ilvl w:val="0"/>
          <w:numId w:val="16"/>
        </w:numPr>
        <w:adjustRightInd w:val="0"/>
        <w:ind w:left="1080"/>
        <w:jc w:val="both"/>
        <w:rPr>
          <w:color w:val="000000"/>
          <w:lang w:val="sk-SK"/>
        </w:rPr>
      </w:pPr>
      <w:r w:rsidRPr="00EB512D">
        <w:rPr>
          <w:bCs/>
          <w:color w:val="000000"/>
          <w:lang w:val="sk-SK"/>
        </w:rPr>
        <w:t>elektronické schránky</w:t>
      </w:r>
    </w:p>
    <w:p w14:paraId="090A8EDB"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umožnenie začať konať o neúčinnosti doručenia aj bez návrhu adresáta, ak správca modulu elektronických schránok oznámi, že nastal objektívny technický problém s doručovaním,</w:t>
      </w:r>
    </w:p>
    <w:p w14:paraId="75172D04" w14:textId="6780530B" w:rsidR="00B4649F" w:rsidRPr="00EB512D" w:rsidRDefault="00B4649F" w:rsidP="00B4649F">
      <w:pPr>
        <w:numPr>
          <w:ilvl w:val="0"/>
          <w:numId w:val="16"/>
        </w:numPr>
        <w:adjustRightInd w:val="0"/>
        <w:ind w:left="1080"/>
        <w:jc w:val="both"/>
        <w:rPr>
          <w:bCs/>
          <w:color w:val="000000"/>
          <w:lang w:val="sk-SK"/>
        </w:rPr>
      </w:pPr>
      <w:r w:rsidRPr="00EB512D">
        <w:rPr>
          <w:bCs/>
          <w:color w:val="000000"/>
          <w:lang w:val="sk-SK"/>
        </w:rPr>
        <w:t xml:space="preserve">povinné zverejňovanie nástrojov na tvorbu elektronických podaní </w:t>
      </w:r>
      <w:r w:rsidR="00A44312" w:rsidRPr="00EB512D">
        <w:rPr>
          <w:bCs/>
          <w:color w:val="000000"/>
          <w:lang w:val="sk-SK"/>
        </w:rPr>
        <w:t>prostredníctvom OpenAPI</w:t>
      </w:r>
      <w:r w:rsidRPr="00EB512D">
        <w:rPr>
          <w:bCs/>
          <w:color w:val="000000"/>
          <w:lang w:val="sk-SK"/>
        </w:rPr>
        <w:t>,</w:t>
      </w:r>
    </w:p>
    <w:p w14:paraId="1526DAE8" w14:textId="77777777" w:rsidR="00B4649F" w:rsidRPr="00EB512D" w:rsidRDefault="00B4649F" w:rsidP="00B4649F">
      <w:pPr>
        <w:numPr>
          <w:ilvl w:val="0"/>
          <w:numId w:val="16"/>
        </w:numPr>
        <w:adjustRightInd w:val="0"/>
        <w:ind w:left="1080"/>
        <w:jc w:val="both"/>
        <w:rPr>
          <w:bCs/>
          <w:color w:val="000000"/>
          <w:lang w:val="sk-SK"/>
        </w:rPr>
      </w:pPr>
      <w:r w:rsidRPr="00EB512D">
        <w:rPr>
          <w:bCs/>
          <w:color w:val="000000"/>
          <w:lang w:val="sk-SK"/>
        </w:rPr>
        <w:t xml:space="preserve">rozšírenie možností používania eID a údajov z registrov pre subjekty súkromného práva </w:t>
      </w:r>
    </w:p>
    <w:p w14:paraId="0EA8B1DA"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umožňuje so súhlasom klientov získavať údaje z registra fyzických osôb a používať na overenie totožnosti klientov eID (alebo doklad o pobyte) za rovnakých podmienok, ako v eGov službách,</w:t>
      </w:r>
    </w:p>
    <w:p w14:paraId="78BBBB2E" w14:textId="77777777" w:rsidR="00B4649F" w:rsidRPr="00EB512D" w:rsidRDefault="00B4649F" w:rsidP="00B4649F">
      <w:pPr>
        <w:numPr>
          <w:ilvl w:val="0"/>
          <w:numId w:val="16"/>
        </w:numPr>
        <w:tabs>
          <w:tab w:val="num" w:pos="1440"/>
        </w:tabs>
        <w:adjustRightInd w:val="0"/>
        <w:ind w:left="1080"/>
        <w:jc w:val="both"/>
        <w:rPr>
          <w:color w:val="000000"/>
          <w:lang w:val="sk-SK"/>
        </w:rPr>
      </w:pPr>
      <w:r w:rsidRPr="00EB512D">
        <w:rPr>
          <w:bCs/>
          <w:color w:val="000000"/>
          <w:lang w:val="sk-SK"/>
        </w:rPr>
        <w:t>vypustenie ustanovení o akreditovanom platiteľovi,</w:t>
      </w:r>
    </w:p>
    <w:p w14:paraId="5508BC63" w14:textId="77777777" w:rsidR="00B4649F" w:rsidRPr="00EB512D" w:rsidRDefault="00B4649F" w:rsidP="00B4649F">
      <w:pPr>
        <w:numPr>
          <w:ilvl w:val="0"/>
          <w:numId w:val="16"/>
        </w:numPr>
        <w:adjustRightInd w:val="0"/>
        <w:ind w:left="1080"/>
        <w:jc w:val="both"/>
        <w:rPr>
          <w:color w:val="000000"/>
          <w:lang w:val="sk-SK"/>
        </w:rPr>
      </w:pPr>
      <w:r w:rsidRPr="00EB512D">
        <w:rPr>
          <w:bCs/>
          <w:color w:val="000000"/>
          <w:lang w:val="sk-SK"/>
        </w:rPr>
        <w:t>úpravy na základe podnetov z praxe, napríklad</w:t>
      </w:r>
    </w:p>
    <w:p w14:paraId="4B2FF25D"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zrušenie povinnosti spoločného podpisovania rozhodnutí a doložiek právoplatnosti,</w:t>
      </w:r>
    </w:p>
    <w:p w14:paraId="0971AFCE"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úprava vzoru osvedčovacej doložky pri zaručenej konverzii bude vo vykonávacom predpise (zjednotenie doložiek),</w:t>
      </w:r>
    </w:p>
    <w:p w14:paraId="5E109D13" w14:textId="77777777" w:rsidR="00B4649F" w:rsidRPr="00EB512D" w:rsidRDefault="00B4649F" w:rsidP="00B4649F">
      <w:pPr>
        <w:numPr>
          <w:ilvl w:val="1"/>
          <w:numId w:val="16"/>
        </w:numPr>
        <w:adjustRightInd w:val="0"/>
        <w:jc w:val="both"/>
        <w:rPr>
          <w:color w:val="000000"/>
          <w:lang w:val="sk-SK"/>
        </w:rPr>
      </w:pPr>
      <w:r w:rsidRPr="00EB512D">
        <w:rPr>
          <w:color w:val="000000"/>
          <w:lang w:val="sk-SK"/>
        </w:rPr>
        <w:t>uľahčenie poskytovania údajov medzi orgánmi verejnej moci pri použití modulu procesnej integrácie a integrácie údajov.</w:t>
      </w:r>
    </w:p>
    <w:p w14:paraId="2451D366" w14:textId="77777777" w:rsidR="00941D26" w:rsidRPr="00EB512D" w:rsidRDefault="00941D26" w:rsidP="00941D26">
      <w:pPr>
        <w:ind w:firstLine="708"/>
        <w:jc w:val="both"/>
        <w:rPr>
          <w:rStyle w:val="Zstupntext"/>
          <w:color w:val="000000"/>
          <w:lang w:val="sk-SK"/>
        </w:rPr>
      </w:pPr>
    </w:p>
    <w:p w14:paraId="4E830983" w14:textId="7227AC25" w:rsidR="00CE0854" w:rsidRPr="00EB512D" w:rsidRDefault="00941D26" w:rsidP="00941D26">
      <w:pPr>
        <w:ind w:firstLine="708"/>
        <w:jc w:val="both"/>
        <w:rPr>
          <w:rStyle w:val="Zstupntext"/>
          <w:color w:val="000000"/>
          <w:lang w:val="sk-SK"/>
        </w:rPr>
      </w:pPr>
      <w:r w:rsidRPr="00EB512D">
        <w:rPr>
          <w:rStyle w:val="Zstupntext"/>
          <w:color w:val="000000"/>
          <w:lang w:val="sk-SK"/>
        </w:rPr>
        <w:t>Návrh zákona bol vypracovaný aj na základe podnetov a po konzultáciách s orgánmi verejnej moci, ktoré sa k navrhovaným zmenám a oblastiam úprav vyjadrili, ako aj na základe podnetov a diskusií so zástupcami odbornej verejnosti.</w:t>
      </w:r>
    </w:p>
    <w:p w14:paraId="7703FB34" w14:textId="77777777" w:rsidR="00941D26" w:rsidRPr="00EB512D" w:rsidRDefault="00941D26" w:rsidP="00941D26">
      <w:pPr>
        <w:ind w:firstLine="708"/>
        <w:jc w:val="both"/>
        <w:rPr>
          <w:lang w:val="sk-SK"/>
        </w:rPr>
      </w:pPr>
    </w:p>
    <w:p w14:paraId="1410B7BD" w14:textId="2FA78B60" w:rsidR="00914781" w:rsidRPr="00EB512D" w:rsidRDefault="00914781" w:rsidP="00941D26">
      <w:pPr>
        <w:ind w:firstLine="708"/>
        <w:jc w:val="both"/>
        <w:rPr>
          <w:lang w:val="sk-SK"/>
        </w:rPr>
      </w:pPr>
      <w:r w:rsidRPr="00EB512D">
        <w:rPr>
          <w:lang w:val="sk-SK"/>
        </w:rPr>
        <w:t>Návrh zákona je v súlade s</w:t>
      </w:r>
      <w:r w:rsidR="0097439B" w:rsidRPr="00EB512D">
        <w:rPr>
          <w:lang w:val="sk-SK"/>
        </w:rPr>
        <w:t> </w:t>
      </w:r>
      <w:r w:rsidRPr="00EB512D">
        <w:rPr>
          <w:lang w:val="sk-SK"/>
        </w:rPr>
        <w:t>Ústavou</w:t>
      </w:r>
      <w:r w:rsidR="0097439B" w:rsidRPr="00EB512D">
        <w:rPr>
          <w:lang w:val="sk-SK"/>
        </w:rPr>
        <w:t xml:space="preserve"> Slovenskej republiky</w:t>
      </w:r>
      <w:r w:rsidRPr="00EB512D">
        <w:rPr>
          <w:lang w:val="sk-SK"/>
        </w:rPr>
        <w:t xml:space="preserve">, ústavnými zákonmi, </w:t>
      </w:r>
      <w:r w:rsidR="00794F66" w:rsidRPr="00EB512D">
        <w:rPr>
          <w:lang w:val="sk-SK"/>
        </w:rPr>
        <w:t xml:space="preserve">nálezmi Ústavného súdu Slovenskej republiky, </w:t>
      </w:r>
      <w:r w:rsidRPr="00EB512D">
        <w:rPr>
          <w:lang w:val="sk-SK"/>
        </w:rPr>
        <w:t>medzinárodnými zmluvami, ktorými je Slovenská republika viazaná</w:t>
      </w:r>
      <w:r w:rsidR="005159FE" w:rsidRPr="00EB512D">
        <w:rPr>
          <w:lang w:val="sk-SK"/>
        </w:rPr>
        <w:t>,</w:t>
      </w:r>
      <w:r w:rsidRPr="00EB512D">
        <w:rPr>
          <w:lang w:val="sk-SK"/>
        </w:rPr>
        <w:t xml:space="preserve"> a zákonmi a súčasne je v súlade s právom Európskej únie.</w:t>
      </w:r>
    </w:p>
    <w:p w14:paraId="60659CA2" w14:textId="77777777" w:rsidR="00914781" w:rsidRPr="00EB512D" w:rsidRDefault="00914781" w:rsidP="00941D26">
      <w:pPr>
        <w:ind w:firstLine="708"/>
        <w:jc w:val="both"/>
        <w:rPr>
          <w:lang w:val="sk-SK"/>
        </w:rPr>
      </w:pPr>
    </w:p>
    <w:p w14:paraId="2236A581" w14:textId="77777777" w:rsidR="0079145B" w:rsidRPr="00EB512D" w:rsidRDefault="00931EB8" w:rsidP="0079145B">
      <w:pPr>
        <w:ind w:firstLine="708"/>
        <w:jc w:val="both"/>
      </w:pPr>
      <w:r w:rsidRPr="00EB512D">
        <w:rPr>
          <w:lang w:val="sk-SK"/>
        </w:rPr>
        <w:t>Vplyv</w:t>
      </w:r>
      <w:r w:rsidR="00C858F0" w:rsidRPr="00EB512D">
        <w:rPr>
          <w:lang w:val="sk-SK"/>
        </w:rPr>
        <w:t xml:space="preserve"> navrhovaného zákona na podnikateľské prostredie</w:t>
      </w:r>
      <w:r w:rsidRPr="00EB512D">
        <w:rPr>
          <w:lang w:val="sk-SK"/>
        </w:rPr>
        <w:t>,</w:t>
      </w:r>
      <w:r w:rsidR="0039098C" w:rsidRPr="00EB512D">
        <w:rPr>
          <w:lang w:val="sk-SK"/>
        </w:rPr>
        <w:t xml:space="preserve"> </w:t>
      </w:r>
      <w:r w:rsidR="00C858F0" w:rsidRPr="00EB512D">
        <w:rPr>
          <w:lang w:val="sk-SK"/>
        </w:rPr>
        <w:t>sociálne vplyvy, vply</w:t>
      </w:r>
      <w:r w:rsidR="001C6F0C" w:rsidRPr="00EB512D">
        <w:rPr>
          <w:lang w:val="sk-SK"/>
        </w:rPr>
        <w:t>vy na rozpočet verejnej správy</w:t>
      </w:r>
      <w:r w:rsidR="00C858F0" w:rsidRPr="00EB512D">
        <w:rPr>
          <w:lang w:val="sk-SK"/>
        </w:rPr>
        <w:t>, vplyvy na životné prostredie, vplyvy na informatizáciu spoločnosti a vplyvy na služby verejnej správy pre občana</w:t>
      </w:r>
      <w:r w:rsidRPr="00EB512D">
        <w:rPr>
          <w:lang w:val="sk-SK"/>
        </w:rPr>
        <w:t xml:space="preserve"> sú vyjadrené v doložke vybraných vplyvov</w:t>
      </w:r>
      <w:r w:rsidR="00C858F0" w:rsidRPr="00EB512D">
        <w:rPr>
          <w:lang w:val="sk-SK"/>
        </w:rPr>
        <w:t>.</w:t>
      </w:r>
      <w:r w:rsidR="0079145B" w:rsidRPr="00EB512D">
        <w:rPr>
          <w:lang w:val="sk-SK"/>
        </w:rPr>
        <w:t xml:space="preserve"> </w:t>
      </w:r>
      <w:r w:rsidR="0079145B" w:rsidRPr="00EB512D">
        <w:t xml:space="preserve">Sociálne vplyvy, vplyvy </w:t>
      </w:r>
      <w:proofErr w:type="gramStart"/>
      <w:r w:rsidR="0079145B" w:rsidRPr="00EB512D">
        <w:t>na</w:t>
      </w:r>
      <w:proofErr w:type="gramEnd"/>
      <w:r w:rsidR="0079145B" w:rsidRPr="00EB512D">
        <w:t xml:space="preserve"> životné prostredie ani vplyvy na manželstvo, rodičovstvo a rodinu neboli identifikované.</w:t>
      </w:r>
    </w:p>
    <w:p w14:paraId="03B205D8" w14:textId="07977508" w:rsidR="009E06F1" w:rsidRPr="00EB512D" w:rsidRDefault="009E06F1" w:rsidP="0079145B">
      <w:pPr>
        <w:ind w:firstLine="708"/>
        <w:jc w:val="both"/>
        <w:rPr>
          <w:lang w:val="sk-SK"/>
        </w:rPr>
      </w:pPr>
    </w:p>
    <w:p w14:paraId="2AF09C4F" w14:textId="77777777" w:rsidR="007C3F79" w:rsidRPr="00EB512D" w:rsidRDefault="007C3F79" w:rsidP="007C3F79">
      <w:pPr>
        <w:jc w:val="center"/>
        <w:rPr>
          <w:b/>
          <w:bCs/>
          <w:szCs w:val="28"/>
        </w:rPr>
      </w:pPr>
      <w:r w:rsidRPr="00EB512D">
        <w:rPr>
          <w:b/>
          <w:bCs/>
          <w:szCs w:val="28"/>
        </w:rPr>
        <w:lastRenderedPageBreak/>
        <w:t>Doložka vybraných vplyvov</w:t>
      </w:r>
    </w:p>
    <w:p w14:paraId="6BA94096" w14:textId="77777777" w:rsidR="007C3F79" w:rsidRPr="00EB512D" w:rsidRDefault="007C3F79" w:rsidP="007C3F79">
      <w:pPr>
        <w:pStyle w:val="Odsekzoznamu1"/>
        <w:spacing w:after="0" w:line="240" w:lineRule="auto"/>
        <w:ind w:left="426"/>
        <w:rPr>
          <w:rFonts w:ascii="Times New Roman" w:hAnsi="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2"/>
        <w:gridCol w:w="400"/>
        <w:gridCol w:w="141"/>
        <w:gridCol w:w="564"/>
        <w:gridCol w:w="717"/>
        <w:gridCol w:w="569"/>
        <w:gridCol w:w="1133"/>
        <w:gridCol w:w="284"/>
        <w:gridCol w:w="263"/>
        <w:gridCol w:w="1297"/>
      </w:tblGrid>
      <w:tr w:rsidR="007C3F79" w:rsidRPr="00EB512D" w14:paraId="777DCE14" w14:textId="77777777" w:rsidTr="00B359C5">
        <w:tc>
          <w:tcPr>
            <w:tcW w:w="9180" w:type="dxa"/>
            <w:gridSpan w:val="10"/>
            <w:tcBorders>
              <w:bottom w:val="single" w:sz="4" w:space="0" w:color="FFFFFF"/>
            </w:tcBorders>
            <w:shd w:val="clear" w:color="auto" w:fill="E2E2E2"/>
          </w:tcPr>
          <w:p w14:paraId="571FBC0B"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Základné údaje</w:t>
            </w:r>
          </w:p>
        </w:tc>
      </w:tr>
      <w:tr w:rsidR="007C3F79" w:rsidRPr="00EB512D" w14:paraId="3600FE9E" w14:textId="77777777" w:rsidTr="00B359C5">
        <w:tc>
          <w:tcPr>
            <w:tcW w:w="9180" w:type="dxa"/>
            <w:gridSpan w:val="10"/>
            <w:tcBorders>
              <w:bottom w:val="single" w:sz="4" w:space="0" w:color="FFFFFF"/>
            </w:tcBorders>
            <w:shd w:val="clear" w:color="auto" w:fill="E2E2E2"/>
          </w:tcPr>
          <w:p w14:paraId="3057DE89"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Názov materiálu</w:t>
            </w:r>
          </w:p>
        </w:tc>
      </w:tr>
      <w:tr w:rsidR="007C3F79" w:rsidRPr="00EB512D" w14:paraId="07A40F7B" w14:textId="77777777" w:rsidTr="00B359C5">
        <w:tc>
          <w:tcPr>
            <w:tcW w:w="9180" w:type="dxa"/>
            <w:gridSpan w:val="10"/>
            <w:tcBorders>
              <w:top w:val="single" w:sz="4" w:space="0" w:color="FFFFFF"/>
            </w:tcBorders>
            <w:shd w:val="clear" w:color="auto" w:fill="auto"/>
          </w:tcPr>
          <w:p w14:paraId="5F34CCDC" w14:textId="77777777" w:rsidR="007C3F79" w:rsidRPr="00EB512D" w:rsidRDefault="007C3F79" w:rsidP="00B359C5">
            <w:pPr>
              <w:jc w:val="both"/>
            </w:pPr>
            <w:r w:rsidRPr="00EB512D">
              <w:t>Návrh zákona č. 305/2013 Z. z. o elektronickej podobe výkonu pôsobnosti orgánov verejnej moci a o zmene a doplnení niektorých zákonov (zákon o e-Governmente) v znení neskorších predpisov a ktorým sa menia a dopĺňajú niektoré zákony</w:t>
            </w:r>
          </w:p>
        </w:tc>
      </w:tr>
      <w:tr w:rsidR="007C3F79" w:rsidRPr="00EB512D" w14:paraId="675654C7" w14:textId="77777777" w:rsidTr="00B359C5">
        <w:tc>
          <w:tcPr>
            <w:tcW w:w="9180" w:type="dxa"/>
            <w:gridSpan w:val="10"/>
            <w:tcBorders>
              <w:bottom w:val="single" w:sz="4" w:space="0" w:color="FFFFFF"/>
            </w:tcBorders>
            <w:shd w:val="clear" w:color="auto" w:fill="E2E2E2"/>
          </w:tcPr>
          <w:p w14:paraId="3BF2A951"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Predkladateľ (a spolupredkladateľ)</w:t>
            </w:r>
          </w:p>
        </w:tc>
      </w:tr>
      <w:tr w:rsidR="007C3F79" w:rsidRPr="00EB512D" w14:paraId="5A6D73F2" w14:textId="77777777" w:rsidTr="00B359C5">
        <w:tc>
          <w:tcPr>
            <w:tcW w:w="9180" w:type="dxa"/>
            <w:gridSpan w:val="10"/>
            <w:tcBorders>
              <w:top w:val="single" w:sz="4" w:space="0" w:color="FFFFFF"/>
            </w:tcBorders>
            <w:shd w:val="clear" w:color="auto" w:fill="FFFFFF"/>
          </w:tcPr>
          <w:p w14:paraId="75FF33A7" w14:textId="77777777" w:rsidR="007C3F79" w:rsidRPr="00EB512D" w:rsidRDefault="007C3F79" w:rsidP="00B359C5">
            <w:r w:rsidRPr="00EB512D">
              <w:t>Podpredseda vlády Slovenskej republiky pre investície a informatizáciu</w:t>
            </w:r>
          </w:p>
        </w:tc>
      </w:tr>
      <w:tr w:rsidR="007C3F79" w:rsidRPr="00EB512D" w14:paraId="2923154A" w14:textId="77777777" w:rsidTr="00B359C5">
        <w:tc>
          <w:tcPr>
            <w:tcW w:w="4212" w:type="dxa"/>
            <w:gridSpan w:val="2"/>
            <w:vMerge w:val="restart"/>
            <w:tcBorders>
              <w:bottom w:val="single" w:sz="4" w:space="0" w:color="FFFFFF"/>
            </w:tcBorders>
            <w:shd w:val="clear" w:color="auto" w:fill="E2E2E2"/>
            <w:vAlign w:val="center"/>
          </w:tcPr>
          <w:p w14:paraId="3405E282"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Charakter predkladaného materiálu</w:t>
            </w:r>
          </w:p>
        </w:tc>
        <w:tc>
          <w:tcPr>
            <w:tcW w:w="705" w:type="dxa"/>
            <w:gridSpan w:val="2"/>
            <w:tcBorders>
              <w:right w:val="nil"/>
            </w:tcBorders>
            <w:shd w:val="clear" w:color="auto" w:fill="FFFFFF"/>
          </w:tcPr>
          <w:p w14:paraId="60CF55AA" w14:textId="77777777" w:rsidR="007C3F79" w:rsidRPr="00EB512D" w:rsidRDefault="007C3F79" w:rsidP="00B359C5">
            <w:pPr>
              <w:jc w:val="center"/>
            </w:pPr>
            <w:r w:rsidRPr="00EB512D">
              <w:rPr>
                <w:rFonts w:ascii="Segoe UI Symbol" w:eastAsia="MS Mincho" w:hAnsi="Segoe UI Symbol" w:cs="Segoe UI Symbol"/>
              </w:rPr>
              <w:t>☐</w:t>
            </w:r>
          </w:p>
        </w:tc>
        <w:tc>
          <w:tcPr>
            <w:tcW w:w="4263" w:type="dxa"/>
            <w:gridSpan w:val="6"/>
            <w:tcBorders>
              <w:left w:val="nil"/>
            </w:tcBorders>
            <w:shd w:val="clear" w:color="auto" w:fill="FFFFFF"/>
          </w:tcPr>
          <w:p w14:paraId="0D163CB1" w14:textId="77777777" w:rsidR="007C3F79" w:rsidRPr="00EB512D" w:rsidRDefault="007C3F79" w:rsidP="00B359C5">
            <w:r w:rsidRPr="00EB512D">
              <w:t>Materiál nelegislatívnej povahy</w:t>
            </w:r>
          </w:p>
        </w:tc>
      </w:tr>
      <w:tr w:rsidR="007C3F79" w:rsidRPr="00EB512D" w14:paraId="6DAD3C8B" w14:textId="77777777" w:rsidTr="00B359C5">
        <w:tc>
          <w:tcPr>
            <w:tcW w:w="4212" w:type="dxa"/>
            <w:gridSpan w:val="2"/>
            <w:vMerge/>
            <w:tcBorders>
              <w:top w:val="nil"/>
              <w:bottom w:val="single" w:sz="4" w:space="0" w:color="FFFFFF"/>
            </w:tcBorders>
            <w:shd w:val="clear" w:color="auto" w:fill="E2E2E2"/>
          </w:tcPr>
          <w:p w14:paraId="41F47A32" w14:textId="77777777" w:rsidR="007C3F79" w:rsidRPr="00EB512D" w:rsidRDefault="007C3F79" w:rsidP="00B359C5"/>
        </w:tc>
        <w:tc>
          <w:tcPr>
            <w:tcW w:w="705" w:type="dxa"/>
            <w:gridSpan w:val="2"/>
            <w:tcBorders>
              <w:right w:val="nil"/>
            </w:tcBorders>
            <w:shd w:val="clear" w:color="auto" w:fill="FFFFFF"/>
          </w:tcPr>
          <w:p w14:paraId="5B00A07C" w14:textId="77777777" w:rsidR="007C3F79" w:rsidRPr="00EB512D" w:rsidRDefault="007C3F79" w:rsidP="00B359C5">
            <w:pPr>
              <w:jc w:val="center"/>
            </w:pPr>
            <w:r w:rsidRPr="00EB512D">
              <w:rPr>
                <w:rFonts w:ascii="Segoe UI Symbol" w:eastAsia="MS Mincho" w:hAnsi="Segoe UI Symbol" w:cs="Segoe UI Symbol"/>
              </w:rPr>
              <w:t>☒</w:t>
            </w:r>
          </w:p>
        </w:tc>
        <w:tc>
          <w:tcPr>
            <w:tcW w:w="4263" w:type="dxa"/>
            <w:gridSpan w:val="6"/>
            <w:tcBorders>
              <w:left w:val="nil"/>
            </w:tcBorders>
            <w:shd w:val="clear" w:color="auto" w:fill="FFFFFF"/>
          </w:tcPr>
          <w:p w14:paraId="4219AA76" w14:textId="77777777" w:rsidR="007C3F79" w:rsidRPr="00EB512D" w:rsidRDefault="007C3F79" w:rsidP="00B359C5">
            <w:pPr>
              <w:ind w:left="175" w:hanging="175"/>
            </w:pPr>
            <w:r w:rsidRPr="00EB512D">
              <w:t>Materiál legislatívnej povahy</w:t>
            </w:r>
          </w:p>
        </w:tc>
      </w:tr>
      <w:tr w:rsidR="007C3F79" w:rsidRPr="00EB512D" w14:paraId="1684889F" w14:textId="77777777" w:rsidTr="00B359C5">
        <w:tc>
          <w:tcPr>
            <w:tcW w:w="4212" w:type="dxa"/>
            <w:gridSpan w:val="2"/>
            <w:vMerge/>
            <w:tcBorders>
              <w:top w:val="nil"/>
            </w:tcBorders>
            <w:shd w:val="clear" w:color="auto" w:fill="E2E2E2"/>
          </w:tcPr>
          <w:p w14:paraId="29F88BDF" w14:textId="77777777" w:rsidR="007C3F79" w:rsidRPr="00EB512D" w:rsidRDefault="007C3F79" w:rsidP="00B359C5"/>
        </w:tc>
        <w:tc>
          <w:tcPr>
            <w:tcW w:w="705" w:type="dxa"/>
            <w:gridSpan w:val="2"/>
            <w:tcBorders>
              <w:right w:val="nil"/>
            </w:tcBorders>
            <w:shd w:val="clear" w:color="auto" w:fill="FFFFFF"/>
          </w:tcPr>
          <w:p w14:paraId="3F1AA8BA" w14:textId="77777777" w:rsidR="007C3F79" w:rsidRPr="00EB512D" w:rsidRDefault="007C3F79" w:rsidP="00B359C5">
            <w:pPr>
              <w:jc w:val="center"/>
            </w:pPr>
            <w:r w:rsidRPr="00EB512D">
              <w:rPr>
                <w:rFonts w:ascii="Segoe UI Symbol" w:eastAsia="MS Mincho" w:hAnsi="Segoe UI Symbol" w:cs="Segoe UI Symbol"/>
              </w:rPr>
              <w:t>☐</w:t>
            </w:r>
          </w:p>
        </w:tc>
        <w:tc>
          <w:tcPr>
            <w:tcW w:w="4263" w:type="dxa"/>
            <w:gridSpan w:val="6"/>
            <w:tcBorders>
              <w:left w:val="nil"/>
            </w:tcBorders>
            <w:shd w:val="clear" w:color="auto" w:fill="FFFFFF"/>
          </w:tcPr>
          <w:p w14:paraId="7CC7C2AE" w14:textId="77777777" w:rsidR="007C3F79" w:rsidRPr="00EB512D" w:rsidRDefault="007C3F79" w:rsidP="00B359C5">
            <w:r w:rsidRPr="00EB512D">
              <w:t>Transpozícia práva EÚ</w:t>
            </w:r>
          </w:p>
        </w:tc>
      </w:tr>
      <w:tr w:rsidR="007C3F79" w:rsidRPr="00EB512D" w14:paraId="04CDA092" w14:textId="77777777" w:rsidTr="00B359C5">
        <w:tc>
          <w:tcPr>
            <w:tcW w:w="9180" w:type="dxa"/>
            <w:gridSpan w:val="10"/>
            <w:tcBorders>
              <w:bottom w:val="single" w:sz="4" w:space="0" w:color="FFFFFF"/>
            </w:tcBorders>
            <w:shd w:val="clear" w:color="auto" w:fill="FFFFFF"/>
          </w:tcPr>
          <w:p w14:paraId="7579F587" w14:textId="77777777" w:rsidR="007C3F79" w:rsidRPr="00EB512D" w:rsidRDefault="007C3F79" w:rsidP="00B359C5">
            <w:pPr>
              <w:rPr>
                <w:i/>
              </w:rPr>
            </w:pPr>
            <w:r w:rsidRPr="00EB512D">
              <w:rPr>
                <w:i/>
              </w:rPr>
              <w:t>V prípade transpozície uveďte zoznam transponovaných predpisov:-</w:t>
            </w:r>
          </w:p>
          <w:p w14:paraId="62CD3DF8" w14:textId="77777777" w:rsidR="007C3F79" w:rsidRPr="00EB512D" w:rsidRDefault="007C3F79" w:rsidP="00B359C5"/>
          <w:p w14:paraId="76CF2BBB" w14:textId="77777777" w:rsidR="007C3F79" w:rsidRPr="00EB512D" w:rsidRDefault="007C3F79" w:rsidP="00B359C5"/>
        </w:tc>
      </w:tr>
      <w:tr w:rsidR="007C3F79" w:rsidRPr="00EB512D" w14:paraId="6A6B84B2" w14:textId="77777777" w:rsidTr="00B359C5">
        <w:tc>
          <w:tcPr>
            <w:tcW w:w="5634" w:type="dxa"/>
            <w:gridSpan w:val="5"/>
            <w:tcBorders>
              <w:top w:val="single" w:sz="4" w:space="0" w:color="000000"/>
              <w:bottom w:val="single" w:sz="4" w:space="0" w:color="FFFFFF"/>
            </w:tcBorders>
            <w:shd w:val="clear" w:color="auto" w:fill="E2E2E2"/>
          </w:tcPr>
          <w:p w14:paraId="5F95A96C"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Termín začiatku a ukončenia PPK</w:t>
            </w:r>
          </w:p>
        </w:tc>
        <w:tc>
          <w:tcPr>
            <w:tcW w:w="3546" w:type="dxa"/>
            <w:gridSpan w:val="5"/>
            <w:tcBorders>
              <w:top w:val="single" w:sz="4" w:space="0" w:color="000000"/>
            </w:tcBorders>
            <w:shd w:val="clear" w:color="auto" w:fill="auto"/>
          </w:tcPr>
          <w:p w14:paraId="0B9190C5" w14:textId="77777777" w:rsidR="007C3F79" w:rsidRPr="00EB512D" w:rsidRDefault="007C3F79" w:rsidP="00B359C5">
            <w:r w:rsidRPr="00EB512D">
              <w:t>01.08.2018 – 06.08.2018</w:t>
            </w:r>
          </w:p>
        </w:tc>
      </w:tr>
      <w:tr w:rsidR="007C3F79" w:rsidRPr="00EB512D" w14:paraId="261E550E" w14:textId="77777777" w:rsidTr="00B359C5">
        <w:tc>
          <w:tcPr>
            <w:tcW w:w="5634" w:type="dxa"/>
            <w:gridSpan w:val="5"/>
            <w:tcBorders>
              <w:bottom w:val="single" w:sz="4" w:space="0" w:color="FFFFFF"/>
            </w:tcBorders>
            <w:shd w:val="clear" w:color="auto" w:fill="E2E2E2"/>
          </w:tcPr>
          <w:p w14:paraId="39CE842B"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Termín predloženia na MPK*</w:t>
            </w:r>
          </w:p>
        </w:tc>
        <w:tc>
          <w:tcPr>
            <w:tcW w:w="3546" w:type="dxa"/>
            <w:gridSpan w:val="5"/>
            <w:shd w:val="clear" w:color="auto" w:fill="auto"/>
          </w:tcPr>
          <w:p w14:paraId="42B147DA" w14:textId="77777777" w:rsidR="007C3F79" w:rsidRPr="00EB512D" w:rsidRDefault="007C3F79" w:rsidP="00B359C5">
            <w:r w:rsidRPr="00EB512D">
              <w:t>august/2018</w:t>
            </w:r>
          </w:p>
        </w:tc>
      </w:tr>
      <w:tr w:rsidR="007C3F79" w:rsidRPr="00EB512D" w14:paraId="03AFD15E" w14:textId="77777777" w:rsidTr="00B359C5">
        <w:tc>
          <w:tcPr>
            <w:tcW w:w="5634" w:type="dxa"/>
            <w:gridSpan w:val="5"/>
            <w:tcBorders>
              <w:bottom w:val="single" w:sz="4" w:space="0" w:color="FFFFFF"/>
            </w:tcBorders>
            <w:shd w:val="clear" w:color="auto" w:fill="E2E2E2"/>
          </w:tcPr>
          <w:p w14:paraId="74B1D246" w14:textId="77777777" w:rsidR="007C3F79" w:rsidRPr="00EB512D" w:rsidRDefault="007C3F79" w:rsidP="00B359C5">
            <w:pPr>
              <w:pStyle w:val="Odsekzoznamu1"/>
              <w:spacing w:after="0" w:line="240" w:lineRule="auto"/>
              <w:ind w:left="142"/>
              <w:rPr>
                <w:rFonts w:ascii="Times New Roman" w:hAnsi="Times New Roman"/>
                <w:b/>
              </w:rPr>
            </w:pPr>
            <w:r w:rsidRPr="00EB512D">
              <w:rPr>
                <w:rFonts w:ascii="Times New Roman" w:hAnsi="Times New Roman"/>
                <w:b/>
              </w:rPr>
              <w:t>Predpokladaný termín predloženia na Rokovanie vlády SR*</w:t>
            </w:r>
          </w:p>
        </w:tc>
        <w:tc>
          <w:tcPr>
            <w:tcW w:w="3546" w:type="dxa"/>
            <w:gridSpan w:val="5"/>
            <w:shd w:val="clear" w:color="auto" w:fill="auto"/>
          </w:tcPr>
          <w:p w14:paraId="64DCBF9D" w14:textId="77777777" w:rsidR="007C3F79" w:rsidRPr="00EB512D" w:rsidRDefault="007C3F79" w:rsidP="00B359C5">
            <w:r w:rsidRPr="00EB512D">
              <w:t>apríl/2019</w:t>
            </w:r>
          </w:p>
        </w:tc>
      </w:tr>
      <w:tr w:rsidR="007C3F79" w:rsidRPr="00EB512D" w14:paraId="0C142C12" w14:textId="77777777" w:rsidTr="00B359C5">
        <w:tc>
          <w:tcPr>
            <w:tcW w:w="9180" w:type="dxa"/>
            <w:gridSpan w:val="10"/>
            <w:tcBorders>
              <w:left w:val="nil"/>
              <w:right w:val="nil"/>
            </w:tcBorders>
            <w:shd w:val="clear" w:color="auto" w:fill="FFFFFF"/>
          </w:tcPr>
          <w:p w14:paraId="0AFFA2C6" w14:textId="77777777" w:rsidR="007C3F79" w:rsidRPr="00EB512D" w:rsidRDefault="007C3F79" w:rsidP="00B359C5"/>
        </w:tc>
      </w:tr>
      <w:tr w:rsidR="007C3F79" w:rsidRPr="00EB512D" w14:paraId="6FB9C6FD" w14:textId="77777777" w:rsidTr="00B359C5">
        <w:tc>
          <w:tcPr>
            <w:tcW w:w="9180" w:type="dxa"/>
            <w:gridSpan w:val="10"/>
            <w:tcBorders>
              <w:bottom w:val="single" w:sz="4" w:space="0" w:color="FFFFFF"/>
            </w:tcBorders>
            <w:shd w:val="clear" w:color="auto" w:fill="E2E2E2"/>
          </w:tcPr>
          <w:p w14:paraId="7CEB7378"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Definícia problému</w:t>
            </w:r>
          </w:p>
        </w:tc>
      </w:tr>
      <w:tr w:rsidR="007C3F79" w:rsidRPr="00EB512D" w14:paraId="251D24DF" w14:textId="77777777" w:rsidTr="00B359C5">
        <w:trPr>
          <w:trHeight w:val="718"/>
        </w:trPr>
        <w:tc>
          <w:tcPr>
            <w:tcW w:w="9180" w:type="dxa"/>
            <w:gridSpan w:val="10"/>
            <w:tcBorders>
              <w:top w:val="single" w:sz="4" w:space="0" w:color="FFFFFF"/>
            </w:tcBorders>
            <w:shd w:val="clear" w:color="auto" w:fill="FFFFFF"/>
          </w:tcPr>
          <w:p w14:paraId="4513D69D" w14:textId="77777777" w:rsidR="007C3F79" w:rsidRPr="00EB512D" w:rsidRDefault="007C3F79" w:rsidP="00B359C5">
            <w:pPr>
              <w:jc w:val="both"/>
            </w:pPr>
            <w:r w:rsidRPr="00EB512D">
              <w:t xml:space="preserve">Cieľom predkladaného návrhu zákona je zabezpečiť požadované úpravy a doplnenia, ktoré vyplynuli z ďalších skúseností v nadväznosti na aplikáciu zákona v praxi. Účelom týchto úprav </w:t>
            </w:r>
            <w:proofErr w:type="gramStart"/>
            <w:r w:rsidRPr="00EB512D">
              <w:t>je  zjednotenie</w:t>
            </w:r>
            <w:proofErr w:type="gramEnd"/>
            <w:r w:rsidRPr="00EB512D">
              <w:t xml:space="preserve"> používania ustanovených nástrojov a zjednodušenie využívaných elektronických služieb. </w:t>
            </w:r>
          </w:p>
        </w:tc>
      </w:tr>
      <w:tr w:rsidR="007C3F79" w:rsidRPr="00EB512D" w14:paraId="589E4200" w14:textId="77777777" w:rsidTr="00B359C5">
        <w:trPr>
          <w:trHeight w:val="292"/>
        </w:trPr>
        <w:tc>
          <w:tcPr>
            <w:tcW w:w="9180" w:type="dxa"/>
            <w:gridSpan w:val="10"/>
            <w:tcBorders>
              <w:bottom w:val="nil"/>
            </w:tcBorders>
            <w:shd w:val="clear" w:color="auto" w:fill="E2E2E2"/>
          </w:tcPr>
          <w:p w14:paraId="6A1C3EB3"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Ciele a výsledný stav</w:t>
            </w:r>
          </w:p>
        </w:tc>
      </w:tr>
      <w:tr w:rsidR="007C3F79" w:rsidRPr="00EB512D" w14:paraId="6281E3D8" w14:textId="77777777" w:rsidTr="00B359C5">
        <w:trPr>
          <w:trHeight w:val="741"/>
        </w:trPr>
        <w:tc>
          <w:tcPr>
            <w:tcW w:w="9180" w:type="dxa"/>
            <w:gridSpan w:val="10"/>
            <w:tcBorders>
              <w:top w:val="nil"/>
            </w:tcBorders>
            <w:shd w:val="clear" w:color="auto" w:fill="FFFFFF"/>
          </w:tcPr>
          <w:p w14:paraId="4A56E632" w14:textId="77777777" w:rsidR="007C3F79" w:rsidRPr="00EB512D" w:rsidRDefault="007C3F79" w:rsidP="00B359C5">
            <w:pPr>
              <w:jc w:val="both"/>
            </w:pPr>
            <w:r w:rsidRPr="00EB512D">
              <w:t xml:space="preserve">Medzi hlavné oblasti úpravy patrí:  </w:t>
            </w:r>
          </w:p>
          <w:p w14:paraId="02C9F119" w14:textId="77777777" w:rsidR="007C3F79" w:rsidRPr="00EB512D" w:rsidRDefault="007C3F79" w:rsidP="007C3F79">
            <w:pPr>
              <w:numPr>
                <w:ilvl w:val="0"/>
                <w:numId w:val="16"/>
              </w:numPr>
              <w:adjustRightInd w:val="0"/>
              <w:ind w:left="1080"/>
              <w:jc w:val="both"/>
              <w:rPr>
                <w:color w:val="000000"/>
              </w:rPr>
            </w:pPr>
            <w:r w:rsidRPr="00EB512D">
              <w:rPr>
                <w:bCs/>
                <w:color w:val="000000"/>
              </w:rPr>
              <w:t>autentifikácia</w:t>
            </w:r>
          </w:p>
          <w:p w14:paraId="1832F2E6" w14:textId="77777777" w:rsidR="007C3F79" w:rsidRPr="00EB512D" w:rsidRDefault="007C3F79" w:rsidP="007C3F79">
            <w:pPr>
              <w:numPr>
                <w:ilvl w:val="1"/>
                <w:numId w:val="16"/>
              </w:numPr>
              <w:adjustRightInd w:val="0"/>
              <w:jc w:val="both"/>
              <w:rPr>
                <w:color w:val="000000"/>
              </w:rPr>
            </w:pPr>
            <w:proofErr w:type="gramStart"/>
            <w:r w:rsidRPr="00EB512D">
              <w:rPr>
                <w:color w:val="000000"/>
              </w:rPr>
              <w:t>doplnenie</w:t>
            </w:r>
            <w:proofErr w:type="gramEnd"/>
            <w:r w:rsidRPr="00EB512D">
              <w:rPr>
                <w:color w:val="000000"/>
              </w:rPr>
              <w:t xml:space="preserve"> identifikačných schém publikovaných podľa nariadenia Európskeho parlamentu a Rady (EÚ) č. 910/2014 z 23. </w:t>
            </w:r>
            <w:proofErr w:type="gramStart"/>
            <w:r w:rsidRPr="00EB512D">
              <w:rPr>
                <w:color w:val="000000"/>
              </w:rPr>
              <w:t>júla</w:t>
            </w:r>
            <w:proofErr w:type="gramEnd"/>
            <w:r w:rsidRPr="00EB512D">
              <w:rPr>
                <w:color w:val="000000"/>
              </w:rPr>
              <w:t xml:space="preserve"> 2014 o elektronickej identifikácii a dôveryhodných službách pre elektronické transakcie na vnútornom trhu a o zrušení smernice 1999/93/ES (Ú. v. EÚ L 257, 28. 8. 2014) (ďalej len “nariadenie eIDAS”), ako povinne podporovaných autentifikátorov,</w:t>
            </w:r>
          </w:p>
          <w:p w14:paraId="759D187A" w14:textId="77777777" w:rsidR="007C3F79" w:rsidRPr="00EB512D" w:rsidRDefault="007C3F79" w:rsidP="007C3F79">
            <w:pPr>
              <w:numPr>
                <w:ilvl w:val="1"/>
                <w:numId w:val="16"/>
              </w:numPr>
              <w:adjustRightInd w:val="0"/>
              <w:jc w:val="both"/>
              <w:rPr>
                <w:color w:val="000000"/>
              </w:rPr>
            </w:pPr>
            <w:r w:rsidRPr="00EB512D">
              <w:rPr>
                <w:color w:val="000000"/>
              </w:rPr>
              <w:t>legislatívno-technické úpravy ustanovení o spôsoboch autentifikácie,</w:t>
            </w:r>
          </w:p>
          <w:p w14:paraId="26C0F6A2" w14:textId="77777777" w:rsidR="007C3F79" w:rsidRPr="00EB512D" w:rsidRDefault="007C3F79" w:rsidP="007C3F79">
            <w:pPr>
              <w:numPr>
                <w:ilvl w:val="0"/>
                <w:numId w:val="16"/>
              </w:numPr>
              <w:adjustRightInd w:val="0"/>
              <w:ind w:left="1080"/>
              <w:jc w:val="both"/>
              <w:rPr>
                <w:color w:val="000000"/>
              </w:rPr>
            </w:pPr>
            <w:r w:rsidRPr="00EB512D">
              <w:rPr>
                <w:bCs/>
                <w:color w:val="000000"/>
              </w:rPr>
              <w:t>elektronické schránky</w:t>
            </w:r>
          </w:p>
          <w:p w14:paraId="53C2777F" w14:textId="77777777" w:rsidR="007C3F79" w:rsidRPr="00EB512D" w:rsidRDefault="007C3F79" w:rsidP="007C3F79">
            <w:pPr>
              <w:numPr>
                <w:ilvl w:val="1"/>
                <w:numId w:val="16"/>
              </w:numPr>
              <w:adjustRightInd w:val="0"/>
              <w:jc w:val="both"/>
              <w:rPr>
                <w:color w:val="000000"/>
              </w:rPr>
            </w:pPr>
            <w:r w:rsidRPr="00EB512D">
              <w:rPr>
                <w:color w:val="000000"/>
              </w:rPr>
              <w:t>umožnenie začať konať o neúčinnosti doručenia aj bez návrhu adresáta, ak správca modulu elektronických schránok oznámi, že nastal objektívny technický problém s doručovaním,</w:t>
            </w:r>
          </w:p>
          <w:p w14:paraId="666F2A63" w14:textId="77777777" w:rsidR="007C3F79" w:rsidRPr="00EB512D" w:rsidRDefault="007C3F79" w:rsidP="007C3F79">
            <w:pPr>
              <w:numPr>
                <w:ilvl w:val="0"/>
                <w:numId w:val="16"/>
              </w:numPr>
              <w:adjustRightInd w:val="0"/>
              <w:ind w:left="1080"/>
              <w:jc w:val="both"/>
              <w:rPr>
                <w:bCs/>
                <w:color w:val="000000"/>
              </w:rPr>
            </w:pPr>
            <w:r w:rsidRPr="00EB512D">
              <w:rPr>
                <w:bCs/>
                <w:color w:val="000000"/>
              </w:rPr>
              <w:t>povinné zverejňovanie nástrojov na tvorbu elektronických podaní prostredníctvom OpenAPI,</w:t>
            </w:r>
          </w:p>
          <w:p w14:paraId="51B9FD58" w14:textId="77777777" w:rsidR="007C3F79" w:rsidRPr="00EB512D" w:rsidRDefault="007C3F79" w:rsidP="007C3F79">
            <w:pPr>
              <w:numPr>
                <w:ilvl w:val="0"/>
                <w:numId w:val="16"/>
              </w:numPr>
              <w:adjustRightInd w:val="0"/>
              <w:ind w:left="1080"/>
              <w:jc w:val="both"/>
              <w:rPr>
                <w:bCs/>
                <w:color w:val="000000"/>
              </w:rPr>
            </w:pPr>
            <w:r w:rsidRPr="00EB512D">
              <w:rPr>
                <w:bCs/>
                <w:color w:val="000000"/>
              </w:rPr>
              <w:t xml:space="preserve">rozšírenie možností používania eID a údajov z registrov pre subjekty súkromného práva </w:t>
            </w:r>
          </w:p>
          <w:p w14:paraId="6738E997" w14:textId="77777777" w:rsidR="007C3F79" w:rsidRPr="00EB512D" w:rsidRDefault="007C3F79" w:rsidP="007C3F79">
            <w:pPr>
              <w:numPr>
                <w:ilvl w:val="1"/>
                <w:numId w:val="16"/>
              </w:numPr>
              <w:adjustRightInd w:val="0"/>
              <w:jc w:val="both"/>
              <w:rPr>
                <w:color w:val="000000"/>
              </w:rPr>
            </w:pPr>
            <w:r w:rsidRPr="00EB512D">
              <w:rPr>
                <w:color w:val="000000"/>
              </w:rPr>
              <w:t>umožňuje so súhlasom klientov získavať údaje z registra fyzických osôb a používať na overenie totožnosti klientov eID (alebo doklad o pobyte) za rovnakých podmienok, ako v eGov službách,</w:t>
            </w:r>
          </w:p>
          <w:p w14:paraId="0D6630C8" w14:textId="77777777" w:rsidR="007C3F79" w:rsidRPr="00EB512D" w:rsidRDefault="007C3F79" w:rsidP="007C3F79">
            <w:pPr>
              <w:numPr>
                <w:ilvl w:val="0"/>
                <w:numId w:val="16"/>
              </w:numPr>
              <w:tabs>
                <w:tab w:val="num" w:pos="1440"/>
              </w:tabs>
              <w:adjustRightInd w:val="0"/>
              <w:ind w:left="1080"/>
              <w:jc w:val="both"/>
              <w:rPr>
                <w:color w:val="000000"/>
              </w:rPr>
            </w:pPr>
            <w:r w:rsidRPr="00EB512D">
              <w:rPr>
                <w:bCs/>
                <w:color w:val="000000"/>
              </w:rPr>
              <w:t>vypustenie ustanovení o akreditovanom platiteľovi,</w:t>
            </w:r>
          </w:p>
          <w:p w14:paraId="246A23DA" w14:textId="77777777" w:rsidR="007C3F79" w:rsidRPr="00EB512D" w:rsidRDefault="007C3F79" w:rsidP="007C3F79">
            <w:pPr>
              <w:numPr>
                <w:ilvl w:val="0"/>
                <w:numId w:val="16"/>
              </w:numPr>
              <w:adjustRightInd w:val="0"/>
              <w:ind w:left="1080"/>
              <w:jc w:val="both"/>
              <w:rPr>
                <w:color w:val="000000"/>
              </w:rPr>
            </w:pPr>
            <w:r w:rsidRPr="00EB512D">
              <w:rPr>
                <w:bCs/>
                <w:color w:val="000000"/>
              </w:rPr>
              <w:t>úpravy na základe podnetov z praxe, napríklad</w:t>
            </w:r>
          </w:p>
          <w:p w14:paraId="16EE28B5" w14:textId="77777777" w:rsidR="007C3F79" w:rsidRPr="00EB512D" w:rsidRDefault="007C3F79" w:rsidP="007C3F79">
            <w:pPr>
              <w:numPr>
                <w:ilvl w:val="1"/>
                <w:numId w:val="16"/>
              </w:numPr>
              <w:adjustRightInd w:val="0"/>
              <w:jc w:val="both"/>
              <w:rPr>
                <w:color w:val="000000"/>
              </w:rPr>
            </w:pPr>
            <w:r w:rsidRPr="00EB512D">
              <w:rPr>
                <w:color w:val="000000"/>
              </w:rPr>
              <w:t>zrušenie povinnosti spoločného podpisovania rozhodnutí a doložiek právoplatnosti,</w:t>
            </w:r>
          </w:p>
          <w:p w14:paraId="499C584F" w14:textId="77777777" w:rsidR="007C3F79" w:rsidRPr="00EB512D" w:rsidRDefault="007C3F79" w:rsidP="007C3F79">
            <w:pPr>
              <w:numPr>
                <w:ilvl w:val="1"/>
                <w:numId w:val="16"/>
              </w:numPr>
              <w:adjustRightInd w:val="0"/>
              <w:jc w:val="both"/>
              <w:rPr>
                <w:color w:val="000000"/>
              </w:rPr>
            </w:pPr>
            <w:r w:rsidRPr="00EB512D">
              <w:rPr>
                <w:color w:val="000000"/>
              </w:rPr>
              <w:lastRenderedPageBreak/>
              <w:t>úprava vzoru osvedčovacej doložky pri zaručenej konverzii bude vo vykonávacom predpise (zjednotenie doložiek),</w:t>
            </w:r>
          </w:p>
          <w:p w14:paraId="0DF49D27" w14:textId="77777777" w:rsidR="007C3F79" w:rsidRPr="00EB512D" w:rsidRDefault="007C3F79" w:rsidP="007C3F79">
            <w:pPr>
              <w:numPr>
                <w:ilvl w:val="1"/>
                <w:numId w:val="16"/>
              </w:numPr>
              <w:adjustRightInd w:val="0"/>
              <w:jc w:val="both"/>
              <w:rPr>
                <w:color w:val="000000"/>
              </w:rPr>
            </w:pPr>
            <w:proofErr w:type="gramStart"/>
            <w:r w:rsidRPr="00EB512D">
              <w:rPr>
                <w:color w:val="000000"/>
              </w:rPr>
              <w:t>uľahčenie</w:t>
            </w:r>
            <w:proofErr w:type="gramEnd"/>
            <w:r w:rsidRPr="00EB512D">
              <w:rPr>
                <w:color w:val="000000"/>
              </w:rPr>
              <w:t xml:space="preserve"> poskytovania údajov medzi orgánmi verejnej moci pri použití modulu procesnej integrácie a integrácie údajov.</w:t>
            </w:r>
          </w:p>
          <w:p w14:paraId="7C3D9B75" w14:textId="77777777" w:rsidR="007C3F79" w:rsidRPr="00EB512D" w:rsidRDefault="007C3F79" w:rsidP="00B359C5">
            <w:pPr>
              <w:adjustRightInd w:val="0"/>
              <w:ind w:left="1440"/>
              <w:jc w:val="both"/>
              <w:rPr>
                <w:color w:val="000000"/>
              </w:rPr>
            </w:pPr>
          </w:p>
        </w:tc>
      </w:tr>
      <w:tr w:rsidR="007C3F79" w:rsidRPr="00EB512D" w14:paraId="4BA46D25" w14:textId="77777777" w:rsidTr="00B359C5">
        <w:tc>
          <w:tcPr>
            <w:tcW w:w="9180" w:type="dxa"/>
            <w:gridSpan w:val="10"/>
            <w:tcBorders>
              <w:bottom w:val="nil"/>
            </w:tcBorders>
            <w:shd w:val="clear" w:color="auto" w:fill="E2E2E2"/>
          </w:tcPr>
          <w:p w14:paraId="2C0EB78D"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lastRenderedPageBreak/>
              <w:t>Dotknuté subjekty</w:t>
            </w:r>
          </w:p>
        </w:tc>
      </w:tr>
      <w:tr w:rsidR="007C3F79" w:rsidRPr="00EB512D" w14:paraId="5356C1EF" w14:textId="77777777" w:rsidTr="00B359C5">
        <w:tc>
          <w:tcPr>
            <w:tcW w:w="9180" w:type="dxa"/>
            <w:gridSpan w:val="10"/>
            <w:tcBorders>
              <w:top w:val="nil"/>
            </w:tcBorders>
            <w:shd w:val="clear" w:color="auto" w:fill="FFFFFF"/>
          </w:tcPr>
          <w:p w14:paraId="7DFC04DF" w14:textId="77777777" w:rsidR="007C3F79" w:rsidRPr="00EB512D" w:rsidRDefault="007C3F79" w:rsidP="00B359C5">
            <w:r w:rsidRPr="00EB512D">
              <w:t>Orgány verejnej moci, právnické osoby, podnikatelia, fyzické osoby.</w:t>
            </w:r>
          </w:p>
          <w:p w14:paraId="4853D672" w14:textId="77777777" w:rsidR="007C3F79" w:rsidRPr="00EB512D" w:rsidRDefault="007C3F79" w:rsidP="00B359C5">
            <w:pPr>
              <w:rPr>
                <w:i/>
              </w:rPr>
            </w:pPr>
          </w:p>
        </w:tc>
      </w:tr>
      <w:tr w:rsidR="007C3F79" w:rsidRPr="00EB512D" w14:paraId="2F34BBBC" w14:textId="77777777" w:rsidTr="00B359C5">
        <w:trPr>
          <w:trHeight w:val="274"/>
        </w:trPr>
        <w:tc>
          <w:tcPr>
            <w:tcW w:w="9180" w:type="dxa"/>
            <w:gridSpan w:val="10"/>
            <w:tcBorders>
              <w:bottom w:val="nil"/>
            </w:tcBorders>
            <w:shd w:val="clear" w:color="auto" w:fill="E2E2E2"/>
          </w:tcPr>
          <w:p w14:paraId="425AC497"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Alternatívne riešenia</w:t>
            </w:r>
          </w:p>
        </w:tc>
      </w:tr>
      <w:tr w:rsidR="007C3F79" w:rsidRPr="00EB512D" w14:paraId="0FD5199C" w14:textId="77777777" w:rsidTr="00B359C5">
        <w:trPr>
          <w:trHeight w:val="466"/>
        </w:trPr>
        <w:tc>
          <w:tcPr>
            <w:tcW w:w="9180" w:type="dxa"/>
            <w:gridSpan w:val="10"/>
            <w:tcBorders>
              <w:top w:val="nil"/>
            </w:tcBorders>
            <w:shd w:val="clear" w:color="auto" w:fill="FFFFFF"/>
          </w:tcPr>
          <w:p w14:paraId="1512DDD6" w14:textId="77777777" w:rsidR="007C3F79" w:rsidRPr="00EB512D" w:rsidRDefault="007C3F79" w:rsidP="00B359C5">
            <w:pPr>
              <w:jc w:val="both"/>
            </w:pPr>
            <w:r w:rsidRPr="00EB512D">
              <w:t xml:space="preserve">Súčasná právna úprava nedefinuje všetky možnosti, ktoré sú definované v strategickom dokumente k informatizácii spoločnosti v Národnej koncepcii informatizácie verejnej správy. </w:t>
            </w:r>
            <w:proofErr w:type="gramStart"/>
            <w:r w:rsidRPr="00EB512D">
              <w:t>Navrhovaná právna úprava reflektuje na uvedené požiadavky strategického dokumentu, konkrétne zriaďovanie elektronických schránok pre maloletých, vytvorenie a sprístupnenie aplikačného rozhrania na vytvorenie elektronického podania pre verejnosť ako ďalšej možnosti prístupu k elektronickým službám a možnosť poskytovania referenčných údajov z Registra fyzických osôb a evidencie občianskych preukazov pre súkromný sektor, konkrétne pre banky, pobočky zahraničných bánk a telekomunikačných operátorov, poštový podnik a Slovenský pozemkový fond.</w:t>
            </w:r>
            <w:proofErr w:type="gramEnd"/>
            <w:r w:rsidRPr="00EB512D">
              <w:t xml:space="preserve"> </w:t>
            </w:r>
          </w:p>
        </w:tc>
      </w:tr>
      <w:tr w:rsidR="007C3F79" w:rsidRPr="00EB512D" w14:paraId="3D32EE39" w14:textId="77777777" w:rsidTr="00B359C5">
        <w:tc>
          <w:tcPr>
            <w:tcW w:w="9180" w:type="dxa"/>
            <w:gridSpan w:val="10"/>
            <w:tcBorders>
              <w:bottom w:val="single" w:sz="4" w:space="0" w:color="FFFFFF"/>
            </w:tcBorders>
            <w:shd w:val="clear" w:color="auto" w:fill="E2E2E2"/>
          </w:tcPr>
          <w:p w14:paraId="7D44385B"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Vykonávacie predpisy</w:t>
            </w:r>
          </w:p>
        </w:tc>
      </w:tr>
      <w:tr w:rsidR="007C3F79" w:rsidRPr="00EB512D" w14:paraId="6DE55364" w14:textId="77777777" w:rsidTr="00B359C5">
        <w:tc>
          <w:tcPr>
            <w:tcW w:w="6203" w:type="dxa"/>
            <w:gridSpan w:val="6"/>
            <w:tcBorders>
              <w:top w:val="single" w:sz="4" w:space="0" w:color="FFFFFF"/>
              <w:bottom w:val="nil"/>
              <w:right w:val="nil"/>
            </w:tcBorders>
            <w:shd w:val="clear" w:color="auto" w:fill="FFFFFF"/>
          </w:tcPr>
          <w:p w14:paraId="65E9E196" w14:textId="77777777" w:rsidR="007C3F79" w:rsidRPr="00EB512D" w:rsidRDefault="007C3F79" w:rsidP="00B359C5">
            <w:pPr>
              <w:rPr>
                <w:i/>
              </w:rPr>
            </w:pPr>
          </w:p>
        </w:tc>
        <w:tc>
          <w:tcPr>
            <w:tcW w:w="1417" w:type="dxa"/>
            <w:gridSpan w:val="2"/>
            <w:tcBorders>
              <w:top w:val="single" w:sz="4" w:space="0" w:color="FFFFFF"/>
              <w:left w:val="nil"/>
              <w:bottom w:val="nil"/>
              <w:right w:val="nil"/>
            </w:tcBorders>
            <w:shd w:val="clear" w:color="auto" w:fill="FFFFFF"/>
          </w:tcPr>
          <w:p w14:paraId="58803260" w14:textId="77777777" w:rsidR="007C3F79" w:rsidRPr="00EB512D" w:rsidRDefault="007C3F79" w:rsidP="00B359C5">
            <w:pPr>
              <w:jc w:val="center"/>
            </w:pPr>
            <w:r w:rsidRPr="00EB512D">
              <w:rPr>
                <w:rFonts w:ascii="Segoe UI Symbol" w:eastAsia="MS Mincho" w:hAnsi="Segoe UI Symbol" w:cs="Segoe UI Symbol"/>
              </w:rPr>
              <w:t>☐</w:t>
            </w:r>
            <w:r w:rsidRPr="00EB512D">
              <w:t xml:space="preserve">  Áno</w:t>
            </w:r>
          </w:p>
        </w:tc>
        <w:tc>
          <w:tcPr>
            <w:tcW w:w="1560" w:type="dxa"/>
            <w:gridSpan w:val="2"/>
            <w:tcBorders>
              <w:top w:val="single" w:sz="4" w:space="0" w:color="FFFFFF"/>
              <w:left w:val="nil"/>
              <w:bottom w:val="nil"/>
            </w:tcBorders>
            <w:shd w:val="clear" w:color="auto" w:fill="FFFFFF"/>
          </w:tcPr>
          <w:p w14:paraId="49196285" w14:textId="77777777" w:rsidR="007C3F79" w:rsidRPr="00EB512D" w:rsidRDefault="007C3F79" w:rsidP="00B359C5">
            <w:pPr>
              <w:jc w:val="center"/>
            </w:pPr>
            <w:r w:rsidRPr="00EB512D">
              <w:rPr>
                <w:rFonts w:ascii="Segoe UI Symbol" w:eastAsia="MS Mincho" w:hAnsi="Segoe UI Symbol" w:cs="Segoe UI Symbol"/>
              </w:rPr>
              <w:t>☒</w:t>
            </w:r>
            <w:r w:rsidRPr="00EB512D">
              <w:t xml:space="preserve">  Nie</w:t>
            </w:r>
          </w:p>
        </w:tc>
      </w:tr>
      <w:tr w:rsidR="007C3F79" w:rsidRPr="00EB512D" w14:paraId="200EA9E6" w14:textId="77777777" w:rsidTr="00B359C5">
        <w:tc>
          <w:tcPr>
            <w:tcW w:w="9180" w:type="dxa"/>
            <w:gridSpan w:val="10"/>
            <w:tcBorders>
              <w:top w:val="nil"/>
            </w:tcBorders>
            <w:shd w:val="clear" w:color="auto" w:fill="FFFFFF"/>
          </w:tcPr>
          <w:p w14:paraId="11BD23AF" w14:textId="77777777" w:rsidR="007C3F79" w:rsidRPr="00EB512D" w:rsidRDefault="007C3F79" w:rsidP="00B359C5"/>
        </w:tc>
      </w:tr>
      <w:tr w:rsidR="007C3F79" w:rsidRPr="00EB512D" w14:paraId="1098378E" w14:textId="77777777" w:rsidTr="00B359C5">
        <w:tc>
          <w:tcPr>
            <w:tcW w:w="9180" w:type="dxa"/>
            <w:gridSpan w:val="10"/>
            <w:tcBorders>
              <w:bottom w:val="single" w:sz="4" w:space="0" w:color="FFFFFF"/>
            </w:tcBorders>
            <w:shd w:val="clear" w:color="auto" w:fill="E2E2E2"/>
          </w:tcPr>
          <w:p w14:paraId="6D988E4E"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 xml:space="preserve">Transpozícia práva EÚ </w:t>
            </w:r>
          </w:p>
        </w:tc>
      </w:tr>
      <w:tr w:rsidR="007C3F79" w:rsidRPr="00EB512D" w14:paraId="756DF6F6" w14:textId="77777777" w:rsidTr="00B359C5">
        <w:trPr>
          <w:trHeight w:val="157"/>
        </w:trPr>
        <w:tc>
          <w:tcPr>
            <w:tcW w:w="9180" w:type="dxa"/>
            <w:gridSpan w:val="10"/>
            <w:tcBorders>
              <w:top w:val="nil"/>
              <w:left w:val="single" w:sz="4" w:space="0" w:color="000000"/>
              <w:bottom w:val="nil"/>
            </w:tcBorders>
            <w:shd w:val="clear" w:color="auto" w:fill="FFFFFF"/>
          </w:tcPr>
          <w:p w14:paraId="3A9807BF" w14:textId="77777777" w:rsidR="007C3F79" w:rsidRPr="00EB512D" w:rsidRDefault="007C3F79" w:rsidP="00B359C5">
            <w:r w:rsidRPr="00EB512D">
              <w:t>Národná právna úprava nejde nad rámec minimálnych požiadaviek EÚ.</w:t>
            </w:r>
          </w:p>
        </w:tc>
      </w:tr>
      <w:tr w:rsidR="007C3F79" w:rsidRPr="00EB512D" w14:paraId="4CEB79D7" w14:textId="77777777" w:rsidTr="00B359C5">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14:paraId="16A82DA3" w14:textId="77777777" w:rsidR="007C3F79" w:rsidRPr="00EB512D" w:rsidRDefault="007C3F79" w:rsidP="00B359C5">
            <w:pPr>
              <w:jc w:val="center"/>
            </w:pPr>
          </w:p>
        </w:tc>
      </w:tr>
      <w:tr w:rsidR="007C3F79" w:rsidRPr="00EB512D" w14:paraId="302A99A1" w14:textId="77777777" w:rsidTr="00B359C5">
        <w:tc>
          <w:tcPr>
            <w:tcW w:w="9180" w:type="dxa"/>
            <w:gridSpan w:val="10"/>
            <w:tcBorders>
              <w:bottom w:val="single" w:sz="4" w:space="0" w:color="FFFFFF"/>
            </w:tcBorders>
            <w:shd w:val="clear" w:color="auto" w:fill="E2E2E2"/>
          </w:tcPr>
          <w:p w14:paraId="00AE0CB8"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Preskúmanie účelnosti**</w:t>
            </w:r>
          </w:p>
        </w:tc>
      </w:tr>
      <w:tr w:rsidR="007C3F79" w:rsidRPr="00EB512D" w14:paraId="5C0D08DC" w14:textId="77777777" w:rsidTr="00B359C5">
        <w:tc>
          <w:tcPr>
            <w:tcW w:w="9180" w:type="dxa"/>
            <w:gridSpan w:val="10"/>
            <w:tcBorders>
              <w:top w:val="single" w:sz="4" w:space="0" w:color="FFFFFF"/>
            </w:tcBorders>
            <w:shd w:val="clear" w:color="auto" w:fill="FFFFFF"/>
          </w:tcPr>
          <w:p w14:paraId="6D548476" w14:textId="77777777" w:rsidR="007C3F79" w:rsidRPr="00EB512D" w:rsidRDefault="007C3F79" w:rsidP="00B359C5">
            <w:pPr>
              <w:jc w:val="both"/>
            </w:pPr>
            <w:r w:rsidRPr="00EB512D">
              <w:t xml:space="preserve">Preskúmanie účinnosti </w:t>
            </w:r>
            <w:proofErr w:type="gramStart"/>
            <w:r w:rsidRPr="00EB512D">
              <w:t>a</w:t>
            </w:r>
            <w:proofErr w:type="gramEnd"/>
            <w:r w:rsidRPr="00EB512D">
              <w:t> účelnosti navrhovaného predpisu bude vykonávané priebežne po nadobudnutí účinnosti.</w:t>
            </w:r>
          </w:p>
          <w:p w14:paraId="5E6A9971" w14:textId="77777777" w:rsidR="007C3F79" w:rsidRPr="00EB512D" w:rsidRDefault="007C3F79" w:rsidP="00B359C5">
            <w:pPr>
              <w:jc w:val="both"/>
              <w:rPr>
                <w:i/>
              </w:rPr>
            </w:pPr>
          </w:p>
          <w:p w14:paraId="3A8D5BF1" w14:textId="77777777" w:rsidR="007C3F79" w:rsidRPr="00EB512D" w:rsidRDefault="007C3F79" w:rsidP="00B359C5">
            <w:pPr>
              <w:jc w:val="both"/>
              <w:rPr>
                <w:i/>
              </w:rPr>
            </w:pPr>
          </w:p>
        </w:tc>
      </w:tr>
      <w:tr w:rsidR="007C3F79" w:rsidRPr="00EB512D" w14:paraId="29760BC8" w14:textId="77777777" w:rsidTr="00B359C5">
        <w:trPr>
          <w:trHeight w:val="577"/>
        </w:trPr>
        <w:tc>
          <w:tcPr>
            <w:tcW w:w="9180" w:type="dxa"/>
            <w:gridSpan w:val="10"/>
            <w:tcBorders>
              <w:bottom w:val="single" w:sz="4" w:space="0" w:color="FFFFFF"/>
            </w:tcBorders>
            <w:shd w:val="clear" w:color="auto" w:fill="E2E2E2"/>
            <w:vAlign w:val="center"/>
          </w:tcPr>
          <w:p w14:paraId="7B19D7BB"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Vplyvy navrhovaného materiálu</w:t>
            </w:r>
          </w:p>
        </w:tc>
      </w:tr>
      <w:tr w:rsidR="007C3F79" w:rsidRPr="00EB512D" w14:paraId="6629A8E6" w14:textId="77777777" w:rsidTr="00B359C5">
        <w:tc>
          <w:tcPr>
            <w:tcW w:w="3812" w:type="dxa"/>
            <w:tcBorders>
              <w:bottom w:val="nil"/>
            </w:tcBorders>
            <w:shd w:val="clear" w:color="auto" w:fill="E2E2E2"/>
          </w:tcPr>
          <w:p w14:paraId="30AED265" w14:textId="77777777" w:rsidR="007C3F79" w:rsidRPr="00EB512D" w:rsidRDefault="007C3F79" w:rsidP="00B359C5">
            <w:pPr>
              <w:rPr>
                <w:b/>
              </w:rPr>
            </w:pPr>
            <w:r w:rsidRPr="00EB512D">
              <w:rPr>
                <w:b/>
              </w:rPr>
              <w:t>Vplyvy na rozpočet verejnej správy</w:t>
            </w:r>
          </w:p>
        </w:tc>
        <w:tc>
          <w:tcPr>
            <w:tcW w:w="541" w:type="dxa"/>
            <w:gridSpan w:val="2"/>
            <w:tcBorders>
              <w:right w:val="nil"/>
            </w:tcBorders>
            <w:shd w:val="clear" w:color="auto" w:fill="auto"/>
          </w:tcPr>
          <w:p w14:paraId="3DCA4542"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13CFC348" w14:textId="77777777" w:rsidR="007C3F79" w:rsidRPr="00EB512D" w:rsidRDefault="007C3F79" w:rsidP="00B359C5">
            <w:pPr>
              <w:rPr>
                <w:b/>
              </w:rPr>
            </w:pPr>
            <w:r w:rsidRPr="00EB512D">
              <w:rPr>
                <w:b/>
              </w:rPr>
              <w:t>Pozitívne</w:t>
            </w:r>
          </w:p>
        </w:tc>
        <w:tc>
          <w:tcPr>
            <w:tcW w:w="569" w:type="dxa"/>
            <w:tcBorders>
              <w:left w:val="nil"/>
              <w:right w:val="nil"/>
            </w:tcBorders>
            <w:shd w:val="clear" w:color="auto" w:fill="auto"/>
          </w:tcPr>
          <w:p w14:paraId="24834D84"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5C4188CF" w14:textId="77777777" w:rsidR="007C3F79" w:rsidRPr="00EB512D" w:rsidRDefault="007C3F79" w:rsidP="00B359C5">
            <w:pPr>
              <w:rPr>
                <w:b/>
              </w:rPr>
            </w:pPr>
            <w:r w:rsidRPr="00EB512D">
              <w:rPr>
                <w:b/>
              </w:rPr>
              <w:t>Žiadne</w:t>
            </w:r>
          </w:p>
        </w:tc>
        <w:tc>
          <w:tcPr>
            <w:tcW w:w="547" w:type="dxa"/>
            <w:gridSpan w:val="2"/>
            <w:tcBorders>
              <w:left w:val="nil"/>
              <w:right w:val="nil"/>
            </w:tcBorders>
            <w:shd w:val="clear" w:color="auto" w:fill="auto"/>
          </w:tcPr>
          <w:p w14:paraId="592A4E74" w14:textId="77777777" w:rsidR="007C3F79" w:rsidRPr="00EB512D" w:rsidRDefault="007C3F79" w:rsidP="00B359C5">
            <w:pPr>
              <w:ind w:left="-107" w:right="-108"/>
              <w:jc w:val="center"/>
              <w:rPr>
                <w:b/>
              </w:rPr>
            </w:pPr>
            <w:r w:rsidRPr="00EB512D">
              <w:rPr>
                <w:rFonts w:ascii="Segoe UI Symbol" w:eastAsia="MS Mincho" w:hAnsi="Segoe UI Symbol" w:cs="Segoe UI Symbol"/>
                <w:b/>
              </w:rPr>
              <w:t>☒</w:t>
            </w:r>
          </w:p>
        </w:tc>
        <w:tc>
          <w:tcPr>
            <w:tcW w:w="1297" w:type="dxa"/>
            <w:tcBorders>
              <w:left w:val="nil"/>
            </w:tcBorders>
            <w:shd w:val="clear" w:color="auto" w:fill="auto"/>
          </w:tcPr>
          <w:p w14:paraId="4710AF80" w14:textId="77777777" w:rsidR="007C3F79" w:rsidRPr="00EB512D" w:rsidRDefault="007C3F79" w:rsidP="00B359C5">
            <w:pPr>
              <w:ind w:left="34"/>
              <w:rPr>
                <w:b/>
              </w:rPr>
            </w:pPr>
            <w:r w:rsidRPr="00EB512D">
              <w:rPr>
                <w:b/>
              </w:rPr>
              <w:t>Negatívne</w:t>
            </w:r>
          </w:p>
        </w:tc>
      </w:tr>
      <w:tr w:rsidR="007C3F79" w:rsidRPr="00EB512D" w14:paraId="0D34578D" w14:textId="77777777" w:rsidTr="00B359C5">
        <w:tc>
          <w:tcPr>
            <w:tcW w:w="3812" w:type="dxa"/>
            <w:tcBorders>
              <w:top w:val="nil"/>
              <w:bottom w:val="single" w:sz="4" w:space="0" w:color="000000"/>
            </w:tcBorders>
            <w:shd w:val="clear" w:color="auto" w:fill="E2E2E2"/>
          </w:tcPr>
          <w:p w14:paraId="674172DE" w14:textId="77777777" w:rsidR="007C3F79" w:rsidRPr="00EB512D" w:rsidRDefault="007C3F79" w:rsidP="00B359C5">
            <w:r w:rsidRPr="00EB512D">
              <w:t xml:space="preserve">    z toho rozpočtovo zabezpečené vplyvy</w:t>
            </w:r>
          </w:p>
        </w:tc>
        <w:tc>
          <w:tcPr>
            <w:tcW w:w="541" w:type="dxa"/>
            <w:gridSpan w:val="2"/>
            <w:tcBorders>
              <w:right w:val="nil"/>
            </w:tcBorders>
            <w:shd w:val="clear" w:color="auto" w:fill="auto"/>
          </w:tcPr>
          <w:p w14:paraId="54E09D64" w14:textId="77777777" w:rsidR="007C3F79" w:rsidRPr="00EB512D" w:rsidRDefault="007C3F79" w:rsidP="00B359C5">
            <w:pPr>
              <w:jc w:val="cente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4802F100" w14:textId="77777777" w:rsidR="007C3F79" w:rsidRPr="00EB512D" w:rsidRDefault="007C3F79" w:rsidP="00B359C5">
            <w:r w:rsidRPr="00EB512D">
              <w:t xml:space="preserve">Áno </w:t>
            </w:r>
          </w:p>
        </w:tc>
        <w:tc>
          <w:tcPr>
            <w:tcW w:w="569" w:type="dxa"/>
            <w:tcBorders>
              <w:left w:val="nil"/>
              <w:right w:val="nil"/>
            </w:tcBorders>
            <w:shd w:val="clear" w:color="auto" w:fill="auto"/>
          </w:tcPr>
          <w:p w14:paraId="33E46784" w14:textId="77777777" w:rsidR="007C3F79" w:rsidRPr="00EB512D" w:rsidRDefault="007C3F79" w:rsidP="00B359C5">
            <w:pPr>
              <w:jc w:val="cente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5C63F69D" w14:textId="77777777" w:rsidR="007C3F79" w:rsidRPr="00EB512D" w:rsidRDefault="007C3F79" w:rsidP="00B359C5">
            <w:r w:rsidRPr="00EB512D">
              <w:t>Nie</w:t>
            </w:r>
          </w:p>
        </w:tc>
        <w:tc>
          <w:tcPr>
            <w:tcW w:w="547" w:type="dxa"/>
            <w:gridSpan w:val="2"/>
            <w:tcBorders>
              <w:left w:val="nil"/>
              <w:right w:val="nil"/>
            </w:tcBorders>
            <w:shd w:val="clear" w:color="auto" w:fill="auto"/>
          </w:tcPr>
          <w:p w14:paraId="01F8BFB4" w14:textId="77777777" w:rsidR="007C3F79" w:rsidRPr="00EB512D" w:rsidRDefault="007C3F79" w:rsidP="00B359C5">
            <w:pPr>
              <w:ind w:left="-107" w:right="-108"/>
              <w:jc w:val="center"/>
            </w:pPr>
            <w:r w:rsidRPr="00EB512D">
              <w:rPr>
                <w:rFonts w:ascii="Segoe UI Symbol" w:eastAsia="MS Mincho" w:hAnsi="Segoe UI Symbol" w:cs="Segoe UI Symbol"/>
              </w:rPr>
              <w:t>☐</w:t>
            </w:r>
          </w:p>
        </w:tc>
        <w:tc>
          <w:tcPr>
            <w:tcW w:w="1297" w:type="dxa"/>
            <w:tcBorders>
              <w:left w:val="nil"/>
            </w:tcBorders>
            <w:shd w:val="clear" w:color="auto" w:fill="auto"/>
          </w:tcPr>
          <w:p w14:paraId="3EDF07A0" w14:textId="77777777" w:rsidR="007C3F79" w:rsidRPr="00EB512D" w:rsidRDefault="007C3F79" w:rsidP="00B359C5">
            <w:pPr>
              <w:ind w:left="34"/>
            </w:pPr>
            <w:r w:rsidRPr="00EB512D">
              <w:t>Čiastočne</w:t>
            </w:r>
          </w:p>
        </w:tc>
      </w:tr>
      <w:tr w:rsidR="007C3F79" w:rsidRPr="00EB512D" w14:paraId="70D9672B" w14:textId="77777777" w:rsidTr="00B359C5">
        <w:tc>
          <w:tcPr>
            <w:tcW w:w="3812" w:type="dxa"/>
            <w:tcBorders>
              <w:top w:val="single" w:sz="4" w:space="0" w:color="000000"/>
              <w:bottom w:val="nil"/>
            </w:tcBorders>
            <w:shd w:val="clear" w:color="auto" w:fill="E2E2E2"/>
          </w:tcPr>
          <w:p w14:paraId="2C0F7F36" w14:textId="77777777" w:rsidR="007C3F79" w:rsidRPr="00EB512D" w:rsidRDefault="007C3F79" w:rsidP="00B359C5">
            <w:pPr>
              <w:rPr>
                <w:b/>
              </w:rPr>
            </w:pPr>
            <w:r w:rsidRPr="00EB512D">
              <w:rPr>
                <w:b/>
              </w:rPr>
              <w:t>Vplyvy na podnikateľské prostredie</w:t>
            </w:r>
          </w:p>
        </w:tc>
        <w:tc>
          <w:tcPr>
            <w:tcW w:w="541" w:type="dxa"/>
            <w:gridSpan w:val="2"/>
            <w:tcBorders>
              <w:right w:val="nil"/>
            </w:tcBorders>
            <w:shd w:val="clear" w:color="auto" w:fill="auto"/>
          </w:tcPr>
          <w:p w14:paraId="698FFCED"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53E706C8" w14:textId="77777777" w:rsidR="007C3F79" w:rsidRPr="00EB512D" w:rsidRDefault="007C3F79" w:rsidP="00B359C5">
            <w:pPr>
              <w:ind w:right="-108"/>
              <w:rPr>
                <w:b/>
              </w:rPr>
            </w:pPr>
            <w:r w:rsidRPr="00EB512D">
              <w:rPr>
                <w:b/>
              </w:rPr>
              <w:t>Pozitívne</w:t>
            </w:r>
          </w:p>
        </w:tc>
        <w:tc>
          <w:tcPr>
            <w:tcW w:w="569" w:type="dxa"/>
            <w:tcBorders>
              <w:left w:val="nil"/>
              <w:right w:val="nil"/>
            </w:tcBorders>
            <w:shd w:val="clear" w:color="auto" w:fill="auto"/>
          </w:tcPr>
          <w:p w14:paraId="60FC1C11"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42CDAA37" w14:textId="77777777" w:rsidR="007C3F79" w:rsidRPr="00EB512D" w:rsidRDefault="007C3F79" w:rsidP="00B359C5">
            <w:pPr>
              <w:rPr>
                <w:b/>
              </w:rPr>
            </w:pPr>
            <w:r w:rsidRPr="00EB512D">
              <w:rPr>
                <w:b/>
              </w:rPr>
              <w:t>Žiadne</w:t>
            </w:r>
          </w:p>
        </w:tc>
        <w:tc>
          <w:tcPr>
            <w:tcW w:w="547" w:type="dxa"/>
            <w:gridSpan w:val="2"/>
            <w:tcBorders>
              <w:left w:val="nil"/>
              <w:right w:val="nil"/>
            </w:tcBorders>
            <w:shd w:val="clear" w:color="auto" w:fill="auto"/>
          </w:tcPr>
          <w:p w14:paraId="6707EB5A"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left w:val="nil"/>
            </w:tcBorders>
            <w:shd w:val="clear" w:color="auto" w:fill="auto"/>
          </w:tcPr>
          <w:p w14:paraId="35DCC0B3" w14:textId="77777777" w:rsidR="007C3F79" w:rsidRPr="00EB512D" w:rsidRDefault="007C3F79" w:rsidP="00B359C5">
            <w:pPr>
              <w:ind w:left="54"/>
              <w:rPr>
                <w:b/>
              </w:rPr>
            </w:pPr>
            <w:r w:rsidRPr="00EB512D">
              <w:rPr>
                <w:b/>
              </w:rPr>
              <w:t xml:space="preserve">Negatívne </w:t>
            </w:r>
          </w:p>
        </w:tc>
      </w:tr>
      <w:tr w:rsidR="007C3F79" w:rsidRPr="00EB512D" w14:paraId="5066D3B7" w14:textId="77777777" w:rsidTr="00B359C5">
        <w:tc>
          <w:tcPr>
            <w:tcW w:w="3812" w:type="dxa"/>
            <w:tcBorders>
              <w:top w:val="nil"/>
              <w:left w:val="single" w:sz="4" w:space="0" w:color="000000"/>
              <w:bottom w:val="single" w:sz="4" w:space="0" w:color="000000"/>
              <w:right w:val="single" w:sz="4" w:space="0" w:color="000000"/>
            </w:tcBorders>
            <w:shd w:val="clear" w:color="auto" w:fill="E2E2E2"/>
          </w:tcPr>
          <w:p w14:paraId="5F57DC26" w14:textId="77777777" w:rsidR="007C3F79" w:rsidRPr="00EB512D" w:rsidRDefault="007C3F79" w:rsidP="00B359C5">
            <w:r w:rsidRPr="00EB512D">
              <w:t xml:space="preserve">    z toho vplyvy na MSP</w:t>
            </w:r>
          </w:p>
        </w:tc>
        <w:tc>
          <w:tcPr>
            <w:tcW w:w="541" w:type="dxa"/>
            <w:gridSpan w:val="2"/>
            <w:tcBorders>
              <w:left w:val="single" w:sz="4" w:space="0" w:color="000000"/>
              <w:right w:val="nil"/>
            </w:tcBorders>
            <w:shd w:val="clear" w:color="auto" w:fill="auto"/>
          </w:tcPr>
          <w:p w14:paraId="48A57DA3" w14:textId="77777777" w:rsidR="007C3F79" w:rsidRPr="00EB512D" w:rsidRDefault="007C3F79" w:rsidP="00B359C5">
            <w:pPr>
              <w:jc w:val="cente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0FD1BC45" w14:textId="77777777" w:rsidR="007C3F79" w:rsidRPr="00EB512D" w:rsidRDefault="007C3F79" w:rsidP="00B359C5">
            <w:pPr>
              <w:ind w:right="-108"/>
            </w:pPr>
            <w:r w:rsidRPr="00EB512D">
              <w:t xml:space="preserve">Pozitívne  </w:t>
            </w:r>
          </w:p>
        </w:tc>
        <w:tc>
          <w:tcPr>
            <w:tcW w:w="569" w:type="dxa"/>
            <w:tcBorders>
              <w:left w:val="nil"/>
              <w:right w:val="nil"/>
            </w:tcBorders>
            <w:shd w:val="clear" w:color="auto" w:fill="auto"/>
          </w:tcPr>
          <w:p w14:paraId="7C3065AD" w14:textId="77777777" w:rsidR="007C3F79" w:rsidRPr="00EB512D" w:rsidRDefault="007C3F79" w:rsidP="00B359C5">
            <w:pPr>
              <w:jc w:val="cente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67B98A0B" w14:textId="77777777" w:rsidR="007C3F79" w:rsidRPr="00EB512D" w:rsidRDefault="007C3F79" w:rsidP="00B359C5">
            <w:r w:rsidRPr="00EB512D">
              <w:t>Žiadne</w:t>
            </w:r>
          </w:p>
        </w:tc>
        <w:tc>
          <w:tcPr>
            <w:tcW w:w="547" w:type="dxa"/>
            <w:gridSpan w:val="2"/>
            <w:tcBorders>
              <w:left w:val="nil"/>
              <w:right w:val="nil"/>
            </w:tcBorders>
            <w:shd w:val="clear" w:color="auto" w:fill="auto"/>
          </w:tcPr>
          <w:p w14:paraId="53F1ACEC" w14:textId="77777777" w:rsidR="007C3F79" w:rsidRPr="00EB512D" w:rsidRDefault="007C3F79" w:rsidP="00B359C5">
            <w:pPr>
              <w:jc w:val="center"/>
            </w:pPr>
            <w:r w:rsidRPr="00EB512D">
              <w:rPr>
                <w:rFonts w:ascii="Segoe UI Symbol" w:eastAsia="MS Mincho" w:hAnsi="Segoe UI Symbol" w:cs="Segoe UI Symbol"/>
                <w:b/>
              </w:rPr>
              <w:t>☐</w:t>
            </w:r>
          </w:p>
        </w:tc>
        <w:tc>
          <w:tcPr>
            <w:tcW w:w="1297" w:type="dxa"/>
            <w:tcBorders>
              <w:left w:val="nil"/>
            </w:tcBorders>
            <w:shd w:val="clear" w:color="auto" w:fill="auto"/>
          </w:tcPr>
          <w:p w14:paraId="7983CD45" w14:textId="77777777" w:rsidR="007C3F79" w:rsidRPr="00EB512D" w:rsidRDefault="007C3F79" w:rsidP="00B359C5">
            <w:pPr>
              <w:ind w:left="54"/>
            </w:pPr>
            <w:r w:rsidRPr="00EB512D">
              <w:t>Negatívne</w:t>
            </w:r>
          </w:p>
        </w:tc>
      </w:tr>
      <w:tr w:rsidR="007C3F79" w:rsidRPr="00EB512D" w14:paraId="10599A98" w14:textId="77777777" w:rsidTr="00B359C5">
        <w:tc>
          <w:tcPr>
            <w:tcW w:w="3812" w:type="dxa"/>
            <w:tcBorders>
              <w:top w:val="single" w:sz="4" w:space="0" w:color="000000"/>
            </w:tcBorders>
            <w:shd w:val="clear" w:color="auto" w:fill="E2E2E2"/>
          </w:tcPr>
          <w:p w14:paraId="13D4F2DE" w14:textId="77777777" w:rsidR="007C3F79" w:rsidRPr="00EB512D" w:rsidRDefault="007C3F79" w:rsidP="00B359C5">
            <w:pPr>
              <w:rPr>
                <w:b/>
              </w:rPr>
            </w:pPr>
            <w:r w:rsidRPr="00EB512D">
              <w:rPr>
                <w:b/>
              </w:rPr>
              <w:t>Sociálne vplyvy</w:t>
            </w:r>
          </w:p>
        </w:tc>
        <w:tc>
          <w:tcPr>
            <w:tcW w:w="541" w:type="dxa"/>
            <w:gridSpan w:val="2"/>
            <w:tcBorders>
              <w:right w:val="nil"/>
            </w:tcBorders>
            <w:shd w:val="clear" w:color="auto" w:fill="auto"/>
          </w:tcPr>
          <w:p w14:paraId="6B75EAE3"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25C1082B" w14:textId="77777777" w:rsidR="007C3F79" w:rsidRPr="00EB512D" w:rsidRDefault="007C3F79" w:rsidP="00B359C5">
            <w:pPr>
              <w:ind w:right="-108"/>
              <w:rPr>
                <w:b/>
              </w:rPr>
            </w:pPr>
            <w:r w:rsidRPr="00EB512D">
              <w:rPr>
                <w:b/>
              </w:rPr>
              <w:t>Pozitívne</w:t>
            </w:r>
          </w:p>
        </w:tc>
        <w:tc>
          <w:tcPr>
            <w:tcW w:w="569" w:type="dxa"/>
            <w:tcBorders>
              <w:left w:val="nil"/>
              <w:right w:val="nil"/>
            </w:tcBorders>
            <w:shd w:val="clear" w:color="auto" w:fill="auto"/>
          </w:tcPr>
          <w:p w14:paraId="79631D47"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6A672DD1" w14:textId="77777777" w:rsidR="007C3F79" w:rsidRPr="00EB512D" w:rsidRDefault="007C3F79" w:rsidP="00B359C5">
            <w:pPr>
              <w:rPr>
                <w:b/>
              </w:rPr>
            </w:pPr>
            <w:r w:rsidRPr="00EB512D">
              <w:rPr>
                <w:b/>
              </w:rPr>
              <w:t>Žiadne</w:t>
            </w:r>
          </w:p>
        </w:tc>
        <w:tc>
          <w:tcPr>
            <w:tcW w:w="547" w:type="dxa"/>
            <w:gridSpan w:val="2"/>
            <w:tcBorders>
              <w:left w:val="nil"/>
              <w:right w:val="nil"/>
            </w:tcBorders>
            <w:shd w:val="clear" w:color="auto" w:fill="auto"/>
          </w:tcPr>
          <w:p w14:paraId="1355A30A"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left w:val="nil"/>
            </w:tcBorders>
            <w:shd w:val="clear" w:color="auto" w:fill="auto"/>
          </w:tcPr>
          <w:p w14:paraId="575C70A0" w14:textId="77777777" w:rsidR="007C3F79" w:rsidRPr="00EB512D" w:rsidRDefault="007C3F79" w:rsidP="00B359C5">
            <w:pPr>
              <w:ind w:left="54"/>
              <w:rPr>
                <w:b/>
              </w:rPr>
            </w:pPr>
            <w:r w:rsidRPr="00EB512D">
              <w:rPr>
                <w:b/>
              </w:rPr>
              <w:t>Negatívne</w:t>
            </w:r>
          </w:p>
        </w:tc>
      </w:tr>
      <w:tr w:rsidR="007C3F79" w:rsidRPr="00EB512D" w14:paraId="452541B5" w14:textId="77777777" w:rsidTr="00B359C5">
        <w:tc>
          <w:tcPr>
            <w:tcW w:w="3812" w:type="dxa"/>
            <w:shd w:val="clear" w:color="auto" w:fill="E2E2E2"/>
          </w:tcPr>
          <w:p w14:paraId="588C8558" w14:textId="77777777" w:rsidR="007C3F79" w:rsidRPr="00EB512D" w:rsidRDefault="007C3F79" w:rsidP="00B359C5">
            <w:pPr>
              <w:rPr>
                <w:b/>
              </w:rPr>
            </w:pPr>
            <w:r w:rsidRPr="00EB512D">
              <w:rPr>
                <w:b/>
              </w:rPr>
              <w:t>Vplyvy na životné prostredie</w:t>
            </w:r>
          </w:p>
        </w:tc>
        <w:tc>
          <w:tcPr>
            <w:tcW w:w="541" w:type="dxa"/>
            <w:gridSpan w:val="2"/>
            <w:tcBorders>
              <w:right w:val="nil"/>
            </w:tcBorders>
            <w:shd w:val="clear" w:color="auto" w:fill="auto"/>
          </w:tcPr>
          <w:p w14:paraId="21E46FCA"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53A164A9" w14:textId="77777777" w:rsidR="007C3F79" w:rsidRPr="00EB512D" w:rsidRDefault="007C3F79" w:rsidP="00B359C5">
            <w:pPr>
              <w:ind w:right="-108"/>
              <w:rPr>
                <w:b/>
              </w:rPr>
            </w:pPr>
            <w:r w:rsidRPr="00EB512D">
              <w:rPr>
                <w:b/>
              </w:rPr>
              <w:t>Pozitívne</w:t>
            </w:r>
          </w:p>
        </w:tc>
        <w:tc>
          <w:tcPr>
            <w:tcW w:w="569" w:type="dxa"/>
            <w:tcBorders>
              <w:left w:val="nil"/>
              <w:right w:val="nil"/>
            </w:tcBorders>
            <w:shd w:val="clear" w:color="auto" w:fill="auto"/>
          </w:tcPr>
          <w:p w14:paraId="719F7DC9"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0EA9726C" w14:textId="77777777" w:rsidR="007C3F79" w:rsidRPr="00EB512D" w:rsidRDefault="007C3F79" w:rsidP="00B359C5">
            <w:pPr>
              <w:rPr>
                <w:b/>
              </w:rPr>
            </w:pPr>
            <w:r w:rsidRPr="00EB512D">
              <w:rPr>
                <w:b/>
              </w:rPr>
              <w:t>Žiadne</w:t>
            </w:r>
          </w:p>
        </w:tc>
        <w:tc>
          <w:tcPr>
            <w:tcW w:w="547" w:type="dxa"/>
            <w:gridSpan w:val="2"/>
            <w:tcBorders>
              <w:left w:val="nil"/>
              <w:right w:val="nil"/>
            </w:tcBorders>
            <w:shd w:val="clear" w:color="auto" w:fill="auto"/>
          </w:tcPr>
          <w:p w14:paraId="15974A04"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left w:val="nil"/>
            </w:tcBorders>
            <w:shd w:val="clear" w:color="auto" w:fill="auto"/>
          </w:tcPr>
          <w:p w14:paraId="67FF3871" w14:textId="77777777" w:rsidR="007C3F79" w:rsidRPr="00EB512D" w:rsidRDefault="007C3F79" w:rsidP="00B359C5">
            <w:pPr>
              <w:ind w:left="54"/>
              <w:rPr>
                <w:b/>
              </w:rPr>
            </w:pPr>
            <w:r w:rsidRPr="00EB512D">
              <w:rPr>
                <w:b/>
              </w:rPr>
              <w:t>Negatívne</w:t>
            </w:r>
          </w:p>
        </w:tc>
      </w:tr>
      <w:tr w:rsidR="007C3F79" w:rsidRPr="00EB512D" w14:paraId="7859FF69" w14:textId="77777777" w:rsidTr="00B359C5">
        <w:tc>
          <w:tcPr>
            <w:tcW w:w="3812" w:type="dxa"/>
            <w:shd w:val="clear" w:color="auto" w:fill="E2E2E2"/>
          </w:tcPr>
          <w:p w14:paraId="4156A3DB" w14:textId="77777777" w:rsidR="007C3F79" w:rsidRPr="00EB512D" w:rsidRDefault="007C3F79" w:rsidP="00B359C5">
            <w:pPr>
              <w:rPr>
                <w:b/>
              </w:rPr>
            </w:pPr>
            <w:r w:rsidRPr="00EB512D">
              <w:rPr>
                <w:b/>
              </w:rPr>
              <w:t>Vplyvy na informatizáciu</w:t>
            </w:r>
          </w:p>
        </w:tc>
        <w:tc>
          <w:tcPr>
            <w:tcW w:w="541" w:type="dxa"/>
            <w:gridSpan w:val="2"/>
            <w:tcBorders>
              <w:right w:val="nil"/>
            </w:tcBorders>
            <w:shd w:val="clear" w:color="auto" w:fill="auto"/>
          </w:tcPr>
          <w:p w14:paraId="33D8E000"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right w:val="nil"/>
            </w:tcBorders>
            <w:shd w:val="clear" w:color="auto" w:fill="auto"/>
          </w:tcPr>
          <w:p w14:paraId="221638DE" w14:textId="77777777" w:rsidR="007C3F79" w:rsidRPr="00EB512D" w:rsidRDefault="007C3F79" w:rsidP="00B359C5">
            <w:pPr>
              <w:ind w:right="-108"/>
              <w:rPr>
                <w:b/>
              </w:rPr>
            </w:pPr>
            <w:r w:rsidRPr="00EB512D">
              <w:rPr>
                <w:b/>
              </w:rPr>
              <w:t>Pozitívne</w:t>
            </w:r>
          </w:p>
        </w:tc>
        <w:tc>
          <w:tcPr>
            <w:tcW w:w="569" w:type="dxa"/>
            <w:tcBorders>
              <w:left w:val="nil"/>
              <w:right w:val="nil"/>
            </w:tcBorders>
            <w:shd w:val="clear" w:color="auto" w:fill="auto"/>
          </w:tcPr>
          <w:p w14:paraId="49906075"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right w:val="nil"/>
            </w:tcBorders>
            <w:shd w:val="clear" w:color="auto" w:fill="auto"/>
          </w:tcPr>
          <w:p w14:paraId="42D1511B" w14:textId="77777777" w:rsidR="007C3F79" w:rsidRPr="00EB512D" w:rsidRDefault="007C3F79" w:rsidP="00B359C5">
            <w:pPr>
              <w:rPr>
                <w:b/>
              </w:rPr>
            </w:pPr>
            <w:r w:rsidRPr="00EB512D">
              <w:rPr>
                <w:b/>
              </w:rPr>
              <w:t>Žiadne</w:t>
            </w:r>
          </w:p>
        </w:tc>
        <w:tc>
          <w:tcPr>
            <w:tcW w:w="547" w:type="dxa"/>
            <w:gridSpan w:val="2"/>
            <w:tcBorders>
              <w:left w:val="nil"/>
              <w:right w:val="nil"/>
            </w:tcBorders>
            <w:shd w:val="clear" w:color="auto" w:fill="auto"/>
          </w:tcPr>
          <w:p w14:paraId="73214229"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left w:val="nil"/>
            </w:tcBorders>
            <w:shd w:val="clear" w:color="auto" w:fill="auto"/>
          </w:tcPr>
          <w:p w14:paraId="5DF4186D" w14:textId="77777777" w:rsidR="007C3F79" w:rsidRPr="00EB512D" w:rsidRDefault="007C3F79" w:rsidP="00B359C5">
            <w:pPr>
              <w:ind w:left="54"/>
              <w:rPr>
                <w:b/>
              </w:rPr>
            </w:pPr>
            <w:r w:rsidRPr="00EB512D">
              <w:rPr>
                <w:b/>
              </w:rPr>
              <w:t>Negatívne</w:t>
            </w:r>
          </w:p>
        </w:tc>
      </w:tr>
      <w:tr w:rsidR="007C3F79" w:rsidRPr="00EB512D" w14:paraId="54FA4545" w14:textId="77777777" w:rsidTr="00B359C5">
        <w:tc>
          <w:tcPr>
            <w:tcW w:w="3812" w:type="dxa"/>
            <w:vMerge w:val="restart"/>
            <w:shd w:val="clear" w:color="auto" w:fill="E2E2E2"/>
          </w:tcPr>
          <w:p w14:paraId="2FA85BFA" w14:textId="77777777" w:rsidR="007C3F79" w:rsidRPr="00EB512D" w:rsidRDefault="007C3F79" w:rsidP="00B359C5">
            <w:pPr>
              <w:jc w:val="both"/>
              <w:rPr>
                <w:szCs w:val="20"/>
              </w:rPr>
            </w:pPr>
            <w:r w:rsidRPr="00EB512D">
              <w:rPr>
                <w:b/>
                <w:bCs/>
                <w:szCs w:val="20"/>
              </w:rPr>
              <w:t>Vplyvy na služby pre občana z toho</w:t>
            </w:r>
            <w:r w:rsidRPr="00EB512D">
              <w:rPr>
                <w:szCs w:val="20"/>
              </w:rPr>
              <w:br/>
              <w:t xml:space="preserve">vplyvy služieb verejnej správy na občana </w:t>
            </w:r>
          </w:p>
          <w:p w14:paraId="68DD50F9" w14:textId="77777777" w:rsidR="007C3F79" w:rsidRPr="00EB512D" w:rsidRDefault="007C3F79" w:rsidP="00B359C5">
            <w:pPr>
              <w:rPr>
                <w:b/>
              </w:rPr>
            </w:pPr>
            <w:r w:rsidRPr="00EB512D">
              <w:rPr>
                <w:szCs w:val="20"/>
              </w:rPr>
              <w:t>vplyvy na procesy služieb vo verejnej správe</w:t>
            </w:r>
          </w:p>
        </w:tc>
        <w:tc>
          <w:tcPr>
            <w:tcW w:w="541" w:type="dxa"/>
            <w:gridSpan w:val="2"/>
            <w:tcBorders>
              <w:bottom w:val="single" w:sz="4" w:space="0" w:color="FFFFFF" w:themeColor="background1"/>
              <w:right w:val="nil"/>
            </w:tcBorders>
            <w:shd w:val="clear" w:color="auto" w:fill="auto"/>
          </w:tcPr>
          <w:p w14:paraId="0D78416B" w14:textId="77777777" w:rsidR="007C3F79" w:rsidRPr="00EB512D" w:rsidRDefault="007C3F79" w:rsidP="00B359C5">
            <w:pPr>
              <w:jc w:val="center"/>
              <w:rPr>
                <w:rFonts w:eastAsia="MS Mincho"/>
                <w:b/>
              </w:rPr>
            </w:pPr>
          </w:p>
          <w:p w14:paraId="59725AFE"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left w:val="nil"/>
              <w:bottom w:val="single" w:sz="4" w:space="0" w:color="FFFFFF" w:themeColor="background1"/>
              <w:right w:val="nil"/>
            </w:tcBorders>
            <w:shd w:val="clear" w:color="auto" w:fill="auto"/>
          </w:tcPr>
          <w:p w14:paraId="1319BA29" w14:textId="77777777" w:rsidR="007C3F79" w:rsidRPr="00EB512D" w:rsidRDefault="007C3F79" w:rsidP="00B359C5">
            <w:pPr>
              <w:ind w:right="-108"/>
              <w:rPr>
                <w:b/>
              </w:rPr>
            </w:pPr>
          </w:p>
          <w:p w14:paraId="5D078259" w14:textId="77777777" w:rsidR="007C3F79" w:rsidRPr="00EB512D" w:rsidRDefault="007C3F79" w:rsidP="00B359C5">
            <w:pPr>
              <w:ind w:right="-108"/>
              <w:rPr>
                <w:b/>
              </w:rPr>
            </w:pPr>
            <w:r w:rsidRPr="00EB512D">
              <w:rPr>
                <w:b/>
              </w:rPr>
              <w:t>Pozitívne</w:t>
            </w:r>
          </w:p>
        </w:tc>
        <w:tc>
          <w:tcPr>
            <w:tcW w:w="569" w:type="dxa"/>
            <w:tcBorders>
              <w:left w:val="nil"/>
              <w:bottom w:val="single" w:sz="4" w:space="0" w:color="FFFFFF" w:themeColor="background1"/>
              <w:right w:val="nil"/>
            </w:tcBorders>
            <w:shd w:val="clear" w:color="auto" w:fill="auto"/>
          </w:tcPr>
          <w:p w14:paraId="042066CE" w14:textId="77777777" w:rsidR="007C3F79" w:rsidRPr="00EB512D" w:rsidRDefault="007C3F79" w:rsidP="00B359C5">
            <w:pPr>
              <w:jc w:val="center"/>
              <w:rPr>
                <w:rFonts w:eastAsia="MS Mincho"/>
                <w:b/>
              </w:rPr>
            </w:pPr>
          </w:p>
          <w:p w14:paraId="6A149179"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left w:val="nil"/>
              <w:bottom w:val="single" w:sz="4" w:space="0" w:color="FFFFFF" w:themeColor="background1"/>
              <w:right w:val="nil"/>
            </w:tcBorders>
            <w:shd w:val="clear" w:color="auto" w:fill="auto"/>
          </w:tcPr>
          <w:p w14:paraId="321DC858" w14:textId="77777777" w:rsidR="007C3F79" w:rsidRPr="00EB512D" w:rsidRDefault="007C3F79" w:rsidP="00B359C5">
            <w:pPr>
              <w:rPr>
                <w:b/>
              </w:rPr>
            </w:pPr>
          </w:p>
          <w:p w14:paraId="3B9B9556" w14:textId="77777777" w:rsidR="007C3F79" w:rsidRPr="00EB512D" w:rsidRDefault="007C3F79" w:rsidP="00B359C5">
            <w:pPr>
              <w:rPr>
                <w:b/>
              </w:rPr>
            </w:pPr>
            <w:r w:rsidRPr="00EB512D">
              <w:rPr>
                <w:b/>
              </w:rPr>
              <w:t>Žiadne</w:t>
            </w:r>
          </w:p>
        </w:tc>
        <w:tc>
          <w:tcPr>
            <w:tcW w:w="547" w:type="dxa"/>
            <w:gridSpan w:val="2"/>
            <w:tcBorders>
              <w:left w:val="nil"/>
              <w:bottom w:val="single" w:sz="4" w:space="0" w:color="FFFFFF" w:themeColor="background1"/>
              <w:right w:val="nil"/>
            </w:tcBorders>
            <w:shd w:val="clear" w:color="auto" w:fill="auto"/>
          </w:tcPr>
          <w:p w14:paraId="5ABCD503" w14:textId="77777777" w:rsidR="007C3F79" w:rsidRPr="00EB512D" w:rsidRDefault="007C3F79" w:rsidP="00B359C5">
            <w:pPr>
              <w:jc w:val="center"/>
              <w:rPr>
                <w:rFonts w:eastAsia="MS Mincho"/>
                <w:b/>
              </w:rPr>
            </w:pPr>
          </w:p>
          <w:p w14:paraId="1944CCF4"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left w:val="nil"/>
              <w:bottom w:val="single" w:sz="4" w:space="0" w:color="FFFFFF" w:themeColor="background1"/>
            </w:tcBorders>
            <w:shd w:val="clear" w:color="auto" w:fill="auto"/>
          </w:tcPr>
          <w:p w14:paraId="7F775F97" w14:textId="77777777" w:rsidR="007C3F79" w:rsidRPr="00EB512D" w:rsidRDefault="007C3F79" w:rsidP="00B359C5">
            <w:pPr>
              <w:ind w:left="54"/>
              <w:rPr>
                <w:b/>
              </w:rPr>
            </w:pPr>
          </w:p>
          <w:p w14:paraId="219B117A" w14:textId="77777777" w:rsidR="007C3F79" w:rsidRPr="00EB512D" w:rsidRDefault="007C3F79" w:rsidP="00B359C5">
            <w:pPr>
              <w:ind w:left="54"/>
              <w:rPr>
                <w:b/>
              </w:rPr>
            </w:pPr>
            <w:r w:rsidRPr="00EB512D">
              <w:rPr>
                <w:b/>
              </w:rPr>
              <w:t>Negatívne</w:t>
            </w:r>
          </w:p>
        </w:tc>
      </w:tr>
      <w:tr w:rsidR="007C3F79" w:rsidRPr="00EB512D" w14:paraId="4BF51A71" w14:textId="77777777" w:rsidTr="00B359C5">
        <w:tc>
          <w:tcPr>
            <w:tcW w:w="3812" w:type="dxa"/>
            <w:vMerge/>
            <w:shd w:val="clear" w:color="auto" w:fill="E2E2E2"/>
          </w:tcPr>
          <w:p w14:paraId="20403AA4" w14:textId="77777777" w:rsidR="007C3F79" w:rsidRPr="00EB512D" w:rsidRDefault="007C3F79" w:rsidP="00B359C5">
            <w:pPr>
              <w:rPr>
                <w:b/>
              </w:rPr>
            </w:pPr>
          </w:p>
        </w:tc>
        <w:tc>
          <w:tcPr>
            <w:tcW w:w="541" w:type="dxa"/>
            <w:gridSpan w:val="2"/>
            <w:tcBorders>
              <w:top w:val="single" w:sz="4" w:space="0" w:color="FFFFFF" w:themeColor="background1"/>
              <w:right w:val="nil"/>
            </w:tcBorders>
            <w:shd w:val="clear" w:color="auto" w:fill="auto"/>
          </w:tcPr>
          <w:p w14:paraId="5B165F7F" w14:textId="77777777" w:rsidR="007C3F79" w:rsidRPr="00EB512D" w:rsidRDefault="007C3F79" w:rsidP="00B359C5">
            <w:pPr>
              <w:jc w:val="center"/>
              <w:rPr>
                <w:rFonts w:eastAsia="MS Mincho"/>
                <w:b/>
              </w:rPr>
            </w:pPr>
          </w:p>
          <w:p w14:paraId="045A74A4"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top w:val="single" w:sz="4" w:space="0" w:color="FFFFFF" w:themeColor="background1"/>
              <w:left w:val="nil"/>
              <w:right w:val="nil"/>
            </w:tcBorders>
            <w:shd w:val="clear" w:color="auto" w:fill="auto"/>
          </w:tcPr>
          <w:p w14:paraId="1D396177" w14:textId="77777777" w:rsidR="007C3F79" w:rsidRPr="00EB512D" w:rsidRDefault="007C3F79" w:rsidP="00B359C5">
            <w:pPr>
              <w:ind w:right="-108"/>
              <w:rPr>
                <w:b/>
              </w:rPr>
            </w:pPr>
          </w:p>
          <w:p w14:paraId="3D5CDA50" w14:textId="77777777" w:rsidR="007C3F79" w:rsidRPr="00EB512D" w:rsidRDefault="007C3F79" w:rsidP="00B359C5">
            <w:pPr>
              <w:ind w:right="-108"/>
              <w:rPr>
                <w:b/>
              </w:rPr>
            </w:pPr>
            <w:r w:rsidRPr="00EB512D">
              <w:rPr>
                <w:b/>
              </w:rPr>
              <w:t>Pozitívne</w:t>
            </w:r>
          </w:p>
        </w:tc>
        <w:tc>
          <w:tcPr>
            <w:tcW w:w="569" w:type="dxa"/>
            <w:tcBorders>
              <w:top w:val="single" w:sz="4" w:space="0" w:color="FFFFFF" w:themeColor="background1"/>
              <w:left w:val="nil"/>
              <w:right w:val="nil"/>
            </w:tcBorders>
            <w:shd w:val="clear" w:color="auto" w:fill="auto"/>
          </w:tcPr>
          <w:p w14:paraId="2E2FFEDD" w14:textId="77777777" w:rsidR="007C3F79" w:rsidRPr="00EB512D" w:rsidRDefault="007C3F79" w:rsidP="00B359C5">
            <w:pPr>
              <w:jc w:val="center"/>
              <w:rPr>
                <w:rFonts w:eastAsia="MS Mincho"/>
                <w:b/>
              </w:rPr>
            </w:pPr>
          </w:p>
          <w:p w14:paraId="025128EC"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top w:val="single" w:sz="4" w:space="0" w:color="FFFFFF" w:themeColor="background1"/>
              <w:left w:val="nil"/>
              <w:right w:val="nil"/>
            </w:tcBorders>
            <w:shd w:val="clear" w:color="auto" w:fill="auto"/>
          </w:tcPr>
          <w:p w14:paraId="7E9BA7E4" w14:textId="77777777" w:rsidR="007C3F79" w:rsidRPr="00EB512D" w:rsidRDefault="007C3F79" w:rsidP="00B359C5">
            <w:pPr>
              <w:rPr>
                <w:b/>
              </w:rPr>
            </w:pPr>
          </w:p>
          <w:p w14:paraId="3484E4F2" w14:textId="77777777" w:rsidR="007C3F79" w:rsidRPr="00EB512D" w:rsidRDefault="007C3F79" w:rsidP="00B359C5">
            <w:pPr>
              <w:rPr>
                <w:b/>
              </w:rPr>
            </w:pPr>
            <w:r w:rsidRPr="00EB512D">
              <w:rPr>
                <w:b/>
              </w:rPr>
              <w:t>Žiadne</w:t>
            </w:r>
          </w:p>
        </w:tc>
        <w:tc>
          <w:tcPr>
            <w:tcW w:w="547" w:type="dxa"/>
            <w:gridSpan w:val="2"/>
            <w:tcBorders>
              <w:top w:val="single" w:sz="4" w:space="0" w:color="FFFFFF" w:themeColor="background1"/>
              <w:left w:val="nil"/>
              <w:right w:val="nil"/>
            </w:tcBorders>
            <w:shd w:val="clear" w:color="auto" w:fill="auto"/>
          </w:tcPr>
          <w:p w14:paraId="694FDFEB" w14:textId="77777777" w:rsidR="007C3F79" w:rsidRPr="00EB512D" w:rsidRDefault="007C3F79" w:rsidP="00B359C5">
            <w:pPr>
              <w:jc w:val="center"/>
              <w:rPr>
                <w:rFonts w:eastAsia="MS Mincho"/>
                <w:b/>
              </w:rPr>
            </w:pPr>
          </w:p>
          <w:p w14:paraId="384E2991"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top w:val="single" w:sz="4" w:space="0" w:color="FFFFFF" w:themeColor="background1"/>
              <w:left w:val="nil"/>
            </w:tcBorders>
            <w:shd w:val="clear" w:color="auto" w:fill="auto"/>
          </w:tcPr>
          <w:p w14:paraId="299D686F" w14:textId="77777777" w:rsidR="007C3F79" w:rsidRPr="00EB512D" w:rsidRDefault="007C3F79" w:rsidP="00B359C5">
            <w:pPr>
              <w:ind w:left="54"/>
              <w:rPr>
                <w:b/>
              </w:rPr>
            </w:pPr>
          </w:p>
          <w:p w14:paraId="16BC2C1D" w14:textId="77777777" w:rsidR="007C3F79" w:rsidRPr="00EB512D" w:rsidRDefault="007C3F79" w:rsidP="00B359C5">
            <w:pPr>
              <w:ind w:left="54"/>
              <w:rPr>
                <w:b/>
              </w:rPr>
            </w:pPr>
            <w:r w:rsidRPr="00EB512D">
              <w:rPr>
                <w:b/>
              </w:rPr>
              <w:t xml:space="preserve">Negatívne </w:t>
            </w:r>
          </w:p>
        </w:tc>
      </w:tr>
      <w:tr w:rsidR="007C3F79" w:rsidRPr="00EB512D" w14:paraId="01372895" w14:textId="77777777" w:rsidTr="00B359C5">
        <w:tc>
          <w:tcPr>
            <w:tcW w:w="3812" w:type="dxa"/>
            <w:shd w:val="clear" w:color="auto" w:fill="E2E2E2"/>
          </w:tcPr>
          <w:p w14:paraId="15044CF3" w14:textId="77777777" w:rsidR="007C3F79" w:rsidRPr="00EB512D" w:rsidRDefault="007C3F79" w:rsidP="00B359C5">
            <w:pPr>
              <w:rPr>
                <w:b/>
              </w:rPr>
            </w:pPr>
            <w:r w:rsidRPr="00EB512D">
              <w:rPr>
                <w:b/>
                <w:bCs/>
              </w:rPr>
              <w:t>Vplyvy na manželstvo, rodičovstvo a rodinu</w:t>
            </w:r>
          </w:p>
        </w:tc>
        <w:tc>
          <w:tcPr>
            <w:tcW w:w="541" w:type="dxa"/>
            <w:gridSpan w:val="2"/>
            <w:tcBorders>
              <w:top w:val="single" w:sz="4" w:space="0" w:color="FFFFFF" w:themeColor="background1"/>
              <w:right w:val="nil"/>
            </w:tcBorders>
            <w:shd w:val="clear" w:color="auto" w:fill="auto"/>
          </w:tcPr>
          <w:p w14:paraId="6108CF55"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81" w:type="dxa"/>
            <w:gridSpan w:val="2"/>
            <w:tcBorders>
              <w:top w:val="single" w:sz="4" w:space="0" w:color="FFFFFF" w:themeColor="background1"/>
              <w:left w:val="nil"/>
              <w:right w:val="nil"/>
            </w:tcBorders>
            <w:shd w:val="clear" w:color="auto" w:fill="auto"/>
          </w:tcPr>
          <w:p w14:paraId="2A06CD8A" w14:textId="77777777" w:rsidR="007C3F79" w:rsidRPr="00EB512D" w:rsidRDefault="007C3F79" w:rsidP="00B359C5">
            <w:pPr>
              <w:ind w:right="-108"/>
              <w:rPr>
                <w:b/>
              </w:rPr>
            </w:pPr>
            <w:r w:rsidRPr="00EB512D">
              <w:rPr>
                <w:b/>
              </w:rPr>
              <w:t>Pozitívne</w:t>
            </w:r>
          </w:p>
        </w:tc>
        <w:tc>
          <w:tcPr>
            <w:tcW w:w="569" w:type="dxa"/>
            <w:tcBorders>
              <w:top w:val="single" w:sz="4" w:space="0" w:color="FFFFFF" w:themeColor="background1"/>
              <w:left w:val="nil"/>
              <w:right w:val="nil"/>
            </w:tcBorders>
            <w:shd w:val="clear" w:color="auto" w:fill="auto"/>
          </w:tcPr>
          <w:p w14:paraId="620802EB"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133" w:type="dxa"/>
            <w:tcBorders>
              <w:top w:val="single" w:sz="4" w:space="0" w:color="FFFFFF" w:themeColor="background1"/>
              <w:left w:val="nil"/>
              <w:right w:val="nil"/>
            </w:tcBorders>
            <w:shd w:val="clear" w:color="auto" w:fill="auto"/>
          </w:tcPr>
          <w:p w14:paraId="6864DEC4" w14:textId="77777777" w:rsidR="007C3F79" w:rsidRPr="00EB512D" w:rsidRDefault="007C3F79" w:rsidP="00B359C5">
            <w:pPr>
              <w:rPr>
                <w:b/>
              </w:rPr>
            </w:pPr>
            <w:r w:rsidRPr="00EB512D">
              <w:rPr>
                <w:b/>
              </w:rPr>
              <w:t>Žiadne</w:t>
            </w:r>
          </w:p>
        </w:tc>
        <w:tc>
          <w:tcPr>
            <w:tcW w:w="547" w:type="dxa"/>
            <w:gridSpan w:val="2"/>
            <w:tcBorders>
              <w:top w:val="single" w:sz="4" w:space="0" w:color="FFFFFF" w:themeColor="background1"/>
              <w:left w:val="nil"/>
              <w:right w:val="nil"/>
            </w:tcBorders>
            <w:shd w:val="clear" w:color="auto" w:fill="auto"/>
          </w:tcPr>
          <w:p w14:paraId="00C2E68A" w14:textId="77777777" w:rsidR="007C3F79" w:rsidRPr="00EB512D" w:rsidRDefault="007C3F79" w:rsidP="00B359C5">
            <w:pPr>
              <w:jc w:val="center"/>
              <w:rPr>
                <w:b/>
              </w:rPr>
            </w:pPr>
            <w:r w:rsidRPr="00EB512D">
              <w:rPr>
                <w:rFonts w:ascii="Segoe UI Symbol" w:eastAsia="MS Mincho" w:hAnsi="Segoe UI Symbol" w:cs="Segoe UI Symbol"/>
                <w:b/>
              </w:rPr>
              <w:t>☐</w:t>
            </w:r>
          </w:p>
        </w:tc>
        <w:tc>
          <w:tcPr>
            <w:tcW w:w="1297" w:type="dxa"/>
            <w:tcBorders>
              <w:top w:val="single" w:sz="4" w:space="0" w:color="FFFFFF" w:themeColor="background1"/>
              <w:left w:val="nil"/>
            </w:tcBorders>
            <w:shd w:val="clear" w:color="auto" w:fill="auto"/>
          </w:tcPr>
          <w:p w14:paraId="5012EDBC" w14:textId="77777777" w:rsidR="007C3F79" w:rsidRPr="00EB512D" w:rsidRDefault="007C3F79" w:rsidP="00B359C5">
            <w:pPr>
              <w:ind w:left="54"/>
              <w:rPr>
                <w:b/>
              </w:rPr>
            </w:pPr>
            <w:r w:rsidRPr="00EB512D">
              <w:rPr>
                <w:b/>
              </w:rPr>
              <w:t>Negatívne</w:t>
            </w:r>
          </w:p>
        </w:tc>
      </w:tr>
      <w:tr w:rsidR="007C3F79" w:rsidRPr="00EB512D" w14:paraId="2E95C0CB" w14:textId="77777777" w:rsidTr="00B359C5">
        <w:tc>
          <w:tcPr>
            <w:tcW w:w="9180" w:type="dxa"/>
            <w:gridSpan w:val="10"/>
            <w:tcBorders>
              <w:bottom w:val="nil"/>
            </w:tcBorders>
            <w:shd w:val="clear" w:color="auto" w:fill="E2E2E2"/>
          </w:tcPr>
          <w:p w14:paraId="3C1C8E8E"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Poznámky</w:t>
            </w:r>
          </w:p>
        </w:tc>
      </w:tr>
      <w:tr w:rsidR="007C3F79" w:rsidRPr="00EB512D" w14:paraId="1C68CB65" w14:textId="77777777" w:rsidTr="00B359C5">
        <w:trPr>
          <w:trHeight w:val="713"/>
        </w:trPr>
        <w:tc>
          <w:tcPr>
            <w:tcW w:w="9180" w:type="dxa"/>
            <w:gridSpan w:val="10"/>
            <w:tcBorders>
              <w:top w:val="nil"/>
              <w:bottom w:val="single" w:sz="4" w:space="0" w:color="FFFFFF"/>
            </w:tcBorders>
            <w:shd w:val="clear" w:color="auto" w:fill="auto"/>
          </w:tcPr>
          <w:p w14:paraId="4211FD91" w14:textId="77777777" w:rsidR="007C3F79" w:rsidRPr="00EB512D" w:rsidRDefault="007C3F79" w:rsidP="00B359C5">
            <w:pPr>
              <w:jc w:val="both"/>
            </w:pPr>
            <w:r w:rsidRPr="00EB512D">
              <w:rPr>
                <w:u w:val="single"/>
              </w:rPr>
              <w:lastRenderedPageBreak/>
              <w:t>K vplyvom na rozpočet verejnej správy</w:t>
            </w:r>
            <w:r w:rsidRPr="00EB512D">
              <w:t xml:space="preserve">: </w:t>
            </w:r>
          </w:p>
          <w:p w14:paraId="47398B00" w14:textId="77777777" w:rsidR="007C3F79" w:rsidRPr="00EB512D" w:rsidRDefault="007C3F79" w:rsidP="00B359C5">
            <w:pPr>
              <w:jc w:val="both"/>
            </w:pPr>
            <w:r w:rsidRPr="00EB512D">
              <w:t xml:space="preserve">Návrh zákona bude mať z dôvodu realizácie projektov informatizácie spoločnosti výrazný hospodársky a finančný dosah, a to na verejné financie formou presunu plánovaných výdavkov medzi rozpočtové kapitoly nových navrhnutých správcov ISVS resp. modulov a vzniku nových nákladov pri implementácii novovzniknutých požiadaviek na úpravu existujúcich a vytvorenie nových informačných systémov. </w:t>
            </w:r>
          </w:p>
          <w:p w14:paraId="05966B5A" w14:textId="77777777" w:rsidR="007C3F79" w:rsidRPr="00EB512D" w:rsidRDefault="007C3F79" w:rsidP="00B359C5">
            <w:pPr>
              <w:jc w:val="both"/>
            </w:pPr>
            <w:r w:rsidRPr="00EB512D">
              <w:t xml:space="preserve">Prínosom bude lepší výkon verejnej moci, založený na rýchlom </w:t>
            </w:r>
            <w:proofErr w:type="gramStart"/>
            <w:r w:rsidRPr="00EB512D">
              <w:t>a</w:t>
            </w:r>
            <w:proofErr w:type="gramEnd"/>
            <w:r w:rsidRPr="00EB512D">
              <w:t xml:space="preserve"> účelnom zdieľaní dát, kde možno očakávať celkové zníženie nákladov na získavanie údajov, napríklad o podnikateľských subjektoch, vrátane zníženia s tým súvisiacich administratívnych a materiálových nákladov. Súčasne dôjde ku skvalitneniu obsahu informačných systémov verejnej správy, a tým aj výkonu verejnej moci. </w:t>
            </w:r>
          </w:p>
          <w:p w14:paraId="76A101D5" w14:textId="77777777" w:rsidR="007C3F79" w:rsidRPr="00EB512D" w:rsidRDefault="007C3F79" w:rsidP="00B359C5">
            <w:pPr>
              <w:jc w:val="both"/>
            </w:pPr>
            <w:r w:rsidRPr="00EB512D">
              <w:t xml:space="preserve">Všetky moduly Ústredného portálu verejnej správy sú v správe ústredných orgánov verejnej správy. Ich tvorba a prevádzka je krytá z rozpočtovej kapitoly Úradu podpredsedu vlády SR pre investície </w:t>
            </w:r>
            <w:proofErr w:type="gramStart"/>
            <w:r w:rsidRPr="00EB512D">
              <w:t>a</w:t>
            </w:r>
            <w:proofErr w:type="gramEnd"/>
            <w:r w:rsidRPr="00EB512D">
              <w:t> informatizáciu (Národná agentúra pre sieťové a elektronické služby). K realizácii niektorých ustanovení zákona sú využívané nástroje, ktoré už v súčasnosti slúžia na realizáciu povinností vyplývajúcich zo tohto zákona. Celkový popis návrhu a jeho technická realizácia je bližšie popísaná v paragrafovom znení a dôvodovej správe všeobecnej časti návrhu zákona.</w:t>
            </w:r>
          </w:p>
          <w:p w14:paraId="19D033AE" w14:textId="77777777" w:rsidR="007C3F79" w:rsidRPr="00EB512D" w:rsidRDefault="007C3F79" w:rsidP="00B359C5">
            <w:pPr>
              <w:jc w:val="both"/>
            </w:pPr>
            <w:r w:rsidRPr="00EB512D">
              <w:rPr>
                <w:u w:val="single"/>
              </w:rPr>
              <w:t xml:space="preserve">K vplyvom na podnikateľské prostredie: </w:t>
            </w:r>
          </w:p>
          <w:p w14:paraId="635B51E1" w14:textId="77777777" w:rsidR="007C3F79" w:rsidRPr="00EB512D" w:rsidRDefault="007C3F79" w:rsidP="00B359C5">
            <w:pPr>
              <w:jc w:val="both"/>
            </w:pPr>
            <w:r w:rsidRPr="00EB512D">
              <w:t xml:space="preserve">Pozitívne vplyvy na podnikateľské prostredie sa predpokladajú z dôvodu, že predkladaný návrh zákona zjednodušuje procesy a poskytovanie služieb pre podnikateľské subjekty v nadväznosti na využívanie výsledkov projektov v oblasti eGov služieb a zabezpečuje sprostredkovanie kontaktu užívateľov, občanov a podnikateľov. Z hľadiska zvýšenia efektivity poskytovania služieb navrhovaná zmena bude mať vplyv na odstránenie časovej </w:t>
            </w:r>
            <w:proofErr w:type="gramStart"/>
            <w:r w:rsidRPr="00EB512D">
              <w:t>a</w:t>
            </w:r>
            <w:proofErr w:type="gramEnd"/>
            <w:r w:rsidRPr="00EB512D">
              <w:t xml:space="preserve"> administratívnej záťaže na pracovníkov vo vzťahu k zabezpečeniu údajov potrebných na výkon služieb. Jej cieľom je odbremeniť pracovníkov od zbytočnej manuálnej práce a zároveň zvýšiť kvalitu a dostupnosť údajov. Nevytvára nové pracovné miesta pre zamestnancov výskumu a vývoja v SR.</w:t>
            </w:r>
          </w:p>
          <w:p w14:paraId="4161235E" w14:textId="77777777" w:rsidR="007C3F79" w:rsidRPr="00EB512D" w:rsidRDefault="007C3F79" w:rsidP="00B359C5">
            <w:pPr>
              <w:jc w:val="both"/>
              <w:rPr>
                <w:u w:val="single"/>
              </w:rPr>
            </w:pPr>
            <w:r w:rsidRPr="00EB512D">
              <w:rPr>
                <w:u w:val="single"/>
              </w:rPr>
              <w:t xml:space="preserve">K vplyvom na služby pre občana: </w:t>
            </w:r>
          </w:p>
          <w:p w14:paraId="4696A5F0" w14:textId="77777777" w:rsidR="007C3F79" w:rsidRPr="00EB512D" w:rsidRDefault="007C3F79" w:rsidP="00B359C5">
            <w:pPr>
              <w:jc w:val="both"/>
            </w:pPr>
            <w:r w:rsidRPr="00EB512D">
              <w:t xml:space="preserve">Pozitívne vplyvy sa týkajú možnosti získavať údaje z registra fyzických osôb a používať na overenie totožnosti klientov eID (alebo doklad o pobyte) za rovnakých podmienok, ako v eGov službách, teda ako pri procese autentifikácie (napr. na portáli slovensko.sk) aj na účely kontaktu ich užívateľov, občanov a podnikateľov, so subjektmi v súkromnej sfére. Subjekt, ktorý je na základe platnej právnej úpravy oprávnený službu poskytovať je </w:t>
            </w:r>
            <w:proofErr w:type="gramStart"/>
            <w:r w:rsidRPr="00EB512D">
              <w:t>ten orgán</w:t>
            </w:r>
            <w:proofErr w:type="gramEnd"/>
            <w:r w:rsidRPr="00EB512D">
              <w:t xml:space="preserve"> verejnej moci, ktorý bude poskytovať súčinnosť pri poskytovaní údajov uvedených v bode 7.1.1. </w:t>
            </w:r>
            <w:proofErr w:type="gramStart"/>
            <w:r w:rsidRPr="00EB512D">
              <w:t>analýzy</w:t>
            </w:r>
            <w:proofErr w:type="gramEnd"/>
            <w:r w:rsidRPr="00EB512D">
              <w:t xml:space="preserve"> vplyvov na služby pre občana pre banky, pobočky zahraničných bánk, telekomunikačných operátorov, poštový podnik, Slovenský pozemkový fond. Negatívne vplyvy súvisia s povinnosťami, ktoré z navrhovanej právnej úpravy vyplývajú pre Ministerstvo vnútra SR, správcu Ústredného portálu verejnej správy a správcov špecializovaných portálov v zmysle zákona č. 305/2013 Z. z. o elektronickej podobe výkonu pôsobnosti orgánov verejnej moci </w:t>
            </w:r>
            <w:proofErr w:type="gramStart"/>
            <w:r w:rsidRPr="00EB512D">
              <w:t>a</w:t>
            </w:r>
            <w:proofErr w:type="gramEnd"/>
            <w:r w:rsidRPr="00EB512D">
              <w:t xml:space="preserve"> o zmene a doplnení niektorých zákonov (zákon o e-Governmente).     </w:t>
            </w:r>
          </w:p>
        </w:tc>
      </w:tr>
      <w:tr w:rsidR="007C3F79" w:rsidRPr="00EB512D" w14:paraId="39EEC3B4" w14:textId="77777777" w:rsidTr="00B359C5">
        <w:tc>
          <w:tcPr>
            <w:tcW w:w="9180" w:type="dxa"/>
            <w:gridSpan w:val="10"/>
            <w:tcBorders>
              <w:bottom w:val="single" w:sz="4" w:space="0" w:color="FFFFFF"/>
            </w:tcBorders>
            <w:shd w:val="clear" w:color="auto" w:fill="E2E2E2"/>
          </w:tcPr>
          <w:p w14:paraId="7B4FA80C"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Kontakt na spracovateľa</w:t>
            </w:r>
          </w:p>
        </w:tc>
      </w:tr>
      <w:tr w:rsidR="007C3F79" w:rsidRPr="00EB512D" w14:paraId="20DA7048" w14:textId="77777777" w:rsidTr="00B359C5">
        <w:trPr>
          <w:trHeight w:val="586"/>
        </w:trPr>
        <w:tc>
          <w:tcPr>
            <w:tcW w:w="9180" w:type="dxa"/>
            <w:gridSpan w:val="10"/>
            <w:tcBorders>
              <w:top w:val="single" w:sz="4" w:space="0" w:color="FFFFFF"/>
            </w:tcBorders>
            <w:shd w:val="clear" w:color="auto" w:fill="FFFFFF"/>
          </w:tcPr>
          <w:p w14:paraId="17D6A73C" w14:textId="77777777" w:rsidR="007C3F79" w:rsidRPr="00EB512D" w:rsidRDefault="007C3F79" w:rsidP="00B359C5">
            <w:pPr>
              <w:jc w:val="both"/>
              <w:rPr>
                <w:szCs w:val="20"/>
              </w:rPr>
            </w:pPr>
            <w:r w:rsidRPr="00EB512D">
              <w:rPr>
                <w:szCs w:val="20"/>
              </w:rPr>
              <w:t xml:space="preserve">02/2092 8243 </w:t>
            </w:r>
          </w:p>
        </w:tc>
      </w:tr>
      <w:tr w:rsidR="007C3F79" w:rsidRPr="00EB512D" w14:paraId="11111EA5" w14:textId="77777777" w:rsidTr="00B359C5">
        <w:tc>
          <w:tcPr>
            <w:tcW w:w="9180" w:type="dxa"/>
            <w:gridSpan w:val="10"/>
            <w:tcBorders>
              <w:bottom w:val="single" w:sz="4" w:space="0" w:color="FFFFFF"/>
            </w:tcBorders>
            <w:shd w:val="clear" w:color="auto" w:fill="E2E2E2"/>
          </w:tcPr>
          <w:p w14:paraId="77123892"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t>Zdroje</w:t>
            </w:r>
          </w:p>
        </w:tc>
      </w:tr>
      <w:tr w:rsidR="007C3F79" w:rsidRPr="00EB512D" w14:paraId="733A6D5E" w14:textId="77777777" w:rsidTr="00B359C5">
        <w:trPr>
          <w:trHeight w:val="401"/>
        </w:trPr>
        <w:tc>
          <w:tcPr>
            <w:tcW w:w="9180" w:type="dxa"/>
            <w:gridSpan w:val="10"/>
            <w:tcBorders>
              <w:top w:val="single" w:sz="4" w:space="0" w:color="FFFFFF"/>
            </w:tcBorders>
            <w:shd w:val="clear" w:color="auto" w:fill="FFFFFF"/>
          </w:tcPr>
          <w:p w14:paraId="58D15F1B" w14:textId="77777777" w:rsidR="007C3F79" w:rsidRPr="00EB512D" w:rsidRDefault="007C3F79" w:rsidP="00B359C5">
            <w:pPr>
              <w:jc w:val="both"/>
            </w:pPr>
            <w:r w:rsidRPr="00EB512D">
              <w:t xml:space="preserve">Konzultácie s dotknutými subjektmi (NASES a Slovensko.Digital) boli uskutočnené na základe predbežnej informácie zverejnenej na slov-lex.sk Úradom podpredsedu vlády Slovenskej republiky pre investície </w:t>
            </w:r>
            <w:proofErr w:type="gramStart"/>
            <w:r w:rsidRPr="00EB512D">
              <w:t>a</w:t>
            </w:r>
            <w:proofErr w:type="gramEnd"/>
            <w:r w:rsidRPr="00EB512D">
              <w:t xml:space="preserve"> informatizáciu pod číslom PI 2018/4. Ďalej Úrad podpredsedu vlády Slovenskej republiky pre investície </w:t>
            </w:r>
            <w:proofErr w:type="gramStart"/>
            <w:r w:rsidRPr="00EB512D">
              <w:t>a</w:t>
            </w:r>
            <w:proofErr w:type="gramEnd"/>
            <w:r w:rsidRPr="00EB512D">
              <w:t xml:space="preserve"> informatizáciu dňa 02.07.2018 začal </w:t>
            </w:r>
            <w:r w:rsidRPr="00EB512D">
              <w:lastRenderedPageBreak/>
              <w:t xml:space="preserve">konzultácie s podnikateľskými subjektmi. Uvedené konzultácie trvali od 02.07.2018 do 31.07.2018 elektronickou formou. </w:t>
            </w:r>
          </w:p>
        </w:tc>
      </w:tr>
      <w:tr w:rsidR="007C3F79" w:rsidRPr="00EB512D" w14:paraId="63215465" w14:textId="77777777" w:rsidTr="00B359C5">
        <w:tc>
          <w:tcPr>
            <w:tcW w:w="9180" w:type="dxa"/>
            <w:gridSpan w:val="10"/>
            <w:tcBorders>
              <w:bottom w:val="single" w:sz="4" w:space="0" w:color="FFFFFF"/>
            </w:tcBorders>
            <w:shd w:val="clear" w:color="auto" w:fill="E2E2E2"/>
          </w:tcPr>
          <w:p w14:paraId="238291D5" w14:textId="77777777" w:rsidR="007C3F79" w:rsidRPr="00EB512D" w:rsidRDefault="007C3F79" w:rsidP="007C3F79">
            <w:pPr>
              <w:pStyle w:val="Odsekzoznamu1"/>
              <w:numPr>
                <w:ilvl w:val="0"/>
                <w:numId w:val="9"/>
              </w:numPr>
              <w:spacing w:after="0" w:line="240" w:lineRule="auto"/>
              <w:ind w:left="426"/>
              <w:rPr>
                <w:rFonts w:ascii="Times New Roman" w:hAnsi="Times New Roman"/>
                <w:b/>
              </w:rPr>
            </w:pPr>
            <w:r w:rsidRPr="00EB512D">
              <w:rPr>
                <w:rFonts w:ascii="Times New Roman" w:hAnsi="Times New Roman"/>
                <w:b/>
              </w:rPr>
              <w:lastRenderedPageBreak/>
              <w:t>Stanovisko Komisie pre posudzovanie vybraných vplyvov z PPK</w:t>
            </w:r>
          </w:p>
        </w:tc>
      </w:tr>
      <w:tr w:rsidR="007C3F79" w:rsidRPr="00EB512D" w14:paraId="6BF27AB5" w14:textId="77777777" w:rsidTr="00B359C5">
        <w:tc>
          <w:tcPr>
            <w:tcW w:w="9180" w:type="dxa"/>
            <w:gridSpan w:val="10"/>
            <w:tcBorders>
              <w:top w:val="single" w:sz="4" w:space="0" w:color="FFFFFF"/>
            </w:tcBorders>
            <w:shd w:val="clear" w:color="auto" w:fill="FFFFFF"/>
          </w:tcPr>
          <w:p w14:paraId="10AF937E" w14:textId="77777777" w:rsidR="007C3F79" w:rsidRPr="00EB512D" w:rsidRDefault="007C3F79" w:rsidP="00B359C5">
            <w:pPr>
              <w:jc w:val="both"/>
            </w:pPr>
            <w:r w:rsidRPr="00EB512D">
              <w:t xml:space="preserve">STANOVISKO KOMISIE </w:t>
            </w:r>
          </w:p>
          <w:p w14:paraId="3AB9F25C" w14:textId="77777777" w:rsidR="007C3F79" w:rsidRPr="00EB512D" w:rsidRDefault="007C3F79" w:rsidP="00B359C5">
            <w:pPr>
              <w:jc w:val="both"/>
            </w:pPr>
          </w:p>
          <w:p w14:paraId="0A9385FF" w14:textId="77777777" w:rsidR="007C3F79" w:rsidRPr="00EB512D" w:rsidRDefault="007C3F79" w:rsidP="00B359C5">
            <w:pPr>
              <w:jc w:val="both"/>
            </w:pPr>
            <w:r w:rsidRPr="00EB512D">
              <w:t>(ZÁVEREČNÉ POSÚDENIE)</w:t>
            </w:r>
          </w:p>
          <w:p w14:paraId="5888418E" w14:textId="77777777" w:rsidR="007C3F79" w:rsidRPr="00EB512D" w:rsidRDefault="007C3F79" w:rsidP="00B359C5">
            <w:pPr>
              <w:jc w:val="both"/>
            </w:pPr>
          </w:p>
          <w:p w14:paraId="7E47CE15" w14:textId="77777777" w:rsidR="007C3F79" w:rsidRPr="00EB512D" w:rsidRDefault="007C3F79" w:rsidP="00B359C5">
            <w:pPr>
              <w:jc w:val="both"/>
            </w:pPr>
            <w:r w:rsidRPr="00EB512D">
              <w:t>K NÁVRHU</w:t>
            </w:r>
          </w:p>
          <w:p w14:paraId="23B9F23E" w14:textId="77777777" w:rsidR="007C3F79" w:rsidRPr="00EB512D" w:rsidRDefault="007C3F79" w:rsidP="00B359C5">
            <w:pPr>
              <w:jc w:val="both"/>
            </w:pPr>
          </w:p>
          <w:p w14:paraId="2F8EFCAE" w14:textId="77777777" w:rsidR="007C3F79" w:rsidRPr="00EB512D" w:rsidRDefault="007C3F79" w:rsidP="00B359C5">
            <w:pPr>
              <w:jc w:val="both"/>
            </w:pPr>
            <w:r w:rsidRPr="00EB512D">
              <w:t xml:space="preserve">ZÁKONA Č. 305/2013 Z. Z. O ELEKTRONICKEJ PODOBE VÝKONU PÔSOBNOSTI ORGÁNOV VEREJNEJ MOCI A O ZMENE A DOPLNENÍ NIEKTORÝCH ZÁKONOV (ZÁKON O E-GOVERNMENTE) V ZNENÍ NESKORŠÍCH PREDPISOV A O ZMENE A DOPLNENÍ NIEKTORÝCH ZÁKONOV </w:t>
            </w:r>
          </w:p>
          <w:p w14:paraId="1B8075FB" w14:textId="77777777" w:rsidR="007C3F79" w:rsidRPr="00EB512D" w:rsidRDefault="007C3F79" w:rsidP="00B359C5">
            <w:pPr>
              <w:jc w:val="both"/>
            </w:pPr>
          </w:p>
          <w:p w14:paraId="2A3ADEB3" w14:textId="77777777" w:rsidR="007C3F79" w:rsidRPr="00EB512D" w:rsidRDefault="007C3F79" w:rsidP="00B359C5">
            <w:pPr>
              <w:jc w:val="both"/>
            </w:pPr>
            <w:r w:rsidRPr="00EB512D">
              <w:t xml:space="preserve">I. Úvod: Úrad podpredsedu vlády Slovenskej republiky pre investície </w:t>
            </w:r>
            <w:proofErr w:type="gramStart"/>
            <w:r w:rsidRPr="00EB512D">
              <w:t>a</w:t>
            </w:r>
            <w:proofErr w:type="gramEnd"/>
            <w:r w:rsidRPr="00EB512D">
              <w:t xml:space="preserve"> informatizáciu dňa 22. </w:t>
            </w:r>
            <w:proofErr w:type="gramStart"/>
            <w:r w:rsidRPr="00EB512D">
              <w:t>marca</w:t>
            </w:r>
            <w:proofErr w:type="gramEnd"/>
            <w:r w:rsidRPr="00EB512D">
              <w:t xml:space="preserve"> 2019 predložil Stálej pracovnej komisii na posudzovanie vybraných vplyvov (ďalej len „Komisia“) na záverečné posúdenie vybraných vplyvov materiál: „Návrh zákona č. 305/2013 Z. z. o elektronickej podobe výkonu pôsobnosti orgánov verejnej moci a o zmene a doplnení niektorých zákonov (zákon o e-Governmente) v znení neskorších predpisov a o zmene a doplnení niektorých zákonov“. Materiál predpokladá negatívne vplyvy na rozpočet verejnej správy, ktoré sú rozpočtovo zabezpečené, pozitívne vplyvy na podnikateľské prostredie, vrátane pozitívnych vplyvov na MSP, pozitívne vplyvy na informatizáciu, pozitívne vplyvy služieb verejnej správy na občana a pozitívno-negatívne vplyvy na procesy služieb vo verejnej správe.</w:t>
            </w:r>
          </w:p>
          <w:p w14:paraId="2F7E3B91" w14:textId="77777777" w:rsidR="007C3F79" w:rsidRPr="00EB512D" w:rsidRDefault="007C3F79" w:rsidP="00B359C5">
            <w:pPr>
              <w:jc w:val="both"/>
            </w:pPr>
          </w:p>
          <w:p w14:paraId="18BFE88B" w14:textId="77777777" w:rsidR="007C3F79" w:rsidRPr="00EB512D" w:rsidRDefault="007C3F79" w:rsidP="00B359C5">
            <w:pPr>
              <w:jc w:val="both"/>
            </w:pPr>
            <w:r w:rsidRPr="00EB512D">
              <w:t>II. Pripomienky a návrhy zmien: Komisia uplatňuje k materiálu nasledovné pripomienky a odporúčania:</w:t>
            </w:r>
          </w:p>
          <w:p w14:paraId="1548DF2F" w14:textId="77777777" w:rsidR="007C3F79" w:rsidRPr="00EB512D" w:rsidRDefault="007C3F79" w:rsidP="00B359C5">
            <w:pPr>
              <w:jc w:val="both"/>
            </w:pPr>
          </w:p>
          <w:p w14:paraId="27A6DAE1" w14:textId="77777777" w:rsidR="007C3F79" w:rsidRPr="00EB512D" w:rsidRDefault="007C3F79" w:rsidP="00B359C5">
            <w:pPr>
              <w:jc w:val="both"/>
            </w:pPr>
            <w:r w:rsidRPr="00EB512D">
              <w:t>K doložke vybraných vplyvov</w:t>
            </w:r>
          </w:p>
          <w:p w14:paraId="4727A42F" w14:textId="77777777" w:rsidR="007C3F79" w:rsidRPr="00EB512D" w:rsidRDefault="007C3F79" w:rsidP="00B359C5">
            <w:pPr>
              <w:jc w:val="both"/>
            </w:pPr>
            <w:r w:rsidRPr="00EB512D">
              <w:t xml:space="preserve">V doložke vybraných vplyvov Komisia odporúča predkladateľovi doplniť bod 5. Alternatívne riešenia a bod 12. Zdroje, </w:t>
            </w:r>
            <w:proofErr w:type="gramStart"/>
            <w:r w:rsidRPr="00EB512D">
              <w:t>a to</w:t>
            </w:r>
            <w:proofErr w:type="gramEnd"/>
            <w:r w:rsidRPr="00EB512D">
              <w:t xml:space="preserve"> tak, aby boli v súlade s obsahovými požiadavkami Jednotnej metodiky na posudzovanie vybraných vplyvov.</w:t>
            </w:r>
          </w:p>
          <w:p w14:paraId="56D26CA0" w14:textId="77777777" w:rsidR="007C3F79" w:rsidRPr="00EB512D" w:rsidRDefault="007C3F79" w:rsidP="00B359C5">
            <w:pPr>
              <w:jc w:val="both"/>
            </w:pPr>
          </w:p>
          <w:p w14:paraId="619E0FE3" w14:textId="77777777" w:rsidR="007C3F79" w:rsidRPr="00EB512D" w:rsidRDefault="007C3F79" w:rsidP="00B359C5">
            <w:pPr>
              <w:jc w:val="both"/>
            </w:pPr>
            <w:r w:rsidRPr="00EB512D">
              <w:t xml:space="preserve">Stanovisko ÚPPVII: Pripomienky boli zapracované.  </w:t>
            </w:r>
          </w:p>
          <w:p w14:paraId="07D46889" w14:textId="77777777" w:rsidR="007C3F79" w:rsidRPr="00EB512D" w:rsidRDefault="007C3F79" w:rsidP="00B359C5">
            <w:pPr>
              <w:jc w:val="both"/>
            </w:pPr>
          </w:p>
          <w:p w14:paraId="7ABB06EA" w14:textId="77777777" w:rsidR="007C3F79" w:rsidRPr="00EB512D" w:rsidRDefault="007C3F79" w:rsidP="00B359C5">
            <w:pPr>
              <w:jc w:val="both"/>
            </w:pPr>
            <w:r w:rsidRPr="00EB512D">
              <w:t>K vplyvom na rozpočet verejnej správy</w:t>
            </w:r>
          </w:p>
          <w:p w14:paraId="74053338" w14:textId="77777777" w:rsidR="007C3F79" w:rsidRPr="00EB512D" w:rsidRDefault="007C3F79" w:rsidP="00B359C5">
            <w:pPr>
              <w:jc w:val="both"/>
            </w:pPr>
            <w:r w:rsidRPr="00EB512D">
              <w:t xml:space="preserve">V doložke vybraných vplyvov je uvedený negatívny vplyv na rozpočet verejnej správy ako rozpočtovo zabezpečený. </w:t>
            </w:r>
            <w:proofErr w:type="gramStart"/>
            <w:r w:rsidRPr="00EB512D">
              <w:t>Tento vplyv je v analýze vplyvov na rozpočet verejnej správy kvantifikovaný na rok 2019 v sume 1 800 000 eur, na rok 2020 v sume 9 300 000 eur (z toho: ŠR 3 320 000 eur, EÚ zdroje 5 000 000 eur, spolufinancovanie 980 000 eur), na rok 2021 v sume 13 600 000 eur (z toho: ŠR 660 000 eur, EÚ zdroje 10 000 000 eur, spolufinancovanie 2 940 000 eur) a na rok 2022 v sume 19 900 000 eur (z toho: EÚ zdroje 15 000 000 eur, spolufinancovanie 4 900 000 eur).</w:t>
            </w:r>
            <w:proofErr w:type="gramEnd"/>
            <w:r w:rsidRPr="00EB512D">
              <w:t xml:space="preserve"> Rozpočtovo nekrytý vplyv je nulový. V analýze vplyvov je potrebné zosúladiť údaje za výdavky v riadkoch „Výdavky verejnej správy celkom</w:t>
            </w:r>
            <w:proofErr w:type="gramStart"/>
            <w:r w:rsidRPr="00EB512D">
              <w:t>“ a</w:t>
            </w:r>
            <w:proofErr w:type="gramEnd"/>
            <w:r w:rsidRPr="00EB512D">
              <w:t xml:space="preserve"> „Financovanie zabezpečené v rozpočte“. Komisia upozorňuje, že EÚ zdroje sú rozpočtové prostriedky, neuvádzajú sa v riadku „Iné ako rozpočtové zdroje“, je potrebné ich uviesť v riadku „Financovanie zabezpečené v rozpočte“, a to vrátane spolufinancovania.</w:t>
            </w:r>
          </w:p>
          <w:p w14:paraId="068AE10F" w14:textId="77777777" w:rsidR="007C3F79" w:rsidRPr="00EB512D" w:rsidRDefault="007C3F79" w:rsidP="00B359C5">
            <w:pPr>
              <w:jc w:val="both"/>
            </w:pPr>
          </w:p>
          <w:p w14:paraId="18E8BDB7" w14:textId="77777777" w:rsidR="007C3F79" w:rsidRPr="00EB512D" w:rsidRDefault="007C3F79" w:rsidP="00B359C5">
            <w:pPr>
              <w:jc w:val="both"/>
            </w:pPr>
            <w:r w:rsidRPr="00EB512D">
              <w:t xml:space="preserve">Stanovisko ÚPPVII: Pripomienky boli zapracované.  </w:t>
            </w:r>
          </w:p>
          <w:p w14:paraId="33C2D0F9" w14:textId="77777777" w:rsidR="007C3F79" w:rsidRPr="00EB512D" w:rsidRDefault="007C3F79" w:rsidP="00B359C5">
            <w:pPr>
              <w:jc w:val="both"/>
            </w:pPr>
          </w:p>
          <w:p w14:paraId="53D7C2D6" w14:textId="77777777" w:rsidR="007C3F79" w:rsidRPr="00EB512D" w:rsidRDefault="007C3F79" w:rsidP="00B359C5">
            <w:pPr>
              <w:jc w:val="both"/>
            </w:pPr>
            <w:r w:rsidRPr="00EB512D">
              <w:t xml:space="preserve">III. Záver: Stála pracovná komisia na posudzovanie vybraných vplyvov vyjadruje </w:t>
            </w:r>
          </w:p>
          <w:p w14:paraId="175A788A" w14:textId="77777777" w:rsidR="007C3F79" w:rsidRPr="00EB512D" w:rsidRDefault="007C3F79" w:rsidP="00B359C5">
            <w:pPr>
              <w:jc w:val="both"/>
            </w:pPr>
          </w:p>
          <w:p w14:paraId="04CF1616" w14:textId="77777777" w:rsidR="007C3F79" w:rsidRPr="00EB512D" w:rsidRDefault="007C3F79" w:rsidP="00B359C5">
            <w:pPr>
              <w:jc w:val="both"/>
            </w:pPr>
            <w:r w:rsidRPr="00EB512D">
              <w:t>súhlasné stanovisko s návrhom na dopracovanie</w:t>
            </w:r>
          </w:p>
          <w:p w14:paraId="178EF634" w14:textId="77777777" w:rsidR="007C3F79" w:rsidRPr="00EB512D" w:rsidRDefault="007C3F79" w:rsidP="00B359C5">
            <w:pPr>
              <w:jc w:val="both"/>
            </w:pPr>
          </w:p>
          <w:p w14:paraId="6287E2CF" w14:textId="77777777" w:rsidR="007C3F79" w:rsidRPr="00EB512D" w:rsidRDefault="007C3F79" w:rsidP="00B359C5">
            <w:pPr>
              <w:jc w:val="both"/>
            </w:pPr>
            <w:proofErr w:type="gramStart"/>
            <w:r w:rsidRPr="00EB512D">
              <w:t>s</w:t>
            </w:r>
            <w:proofErr w:type="gramEnd"/>
            <w:r w:rsidRPr="00EB512D">
              <w:t xml:space="preserve"> materiálom, ktorý bol predložený na záverečné posúdenie s odporúčaním na jeho dopracovanie podľa pripomienok v bode II.</w:t>
            </w:r>
          </w:p>
          <w:p w14:paraId="121508B4" w14:textId="77777777" w:rsidR="007C3F79" w:rsidRPr="00EB512D" w:rsidRDefault="007C3F79" w:rsidP="00B359C5">
            <w:pPr>
              <w:jc w:val="both"/>
            </w:pPr>
          </w:p>
          <w:p w14:paraId="4BFB8B46" w14:textId="77777777" w:rsidR="007C3F79" w:rsidRPr="00EB512D" w:rsidRDefault="007C3F79" w:rsidP="00B359C5">
            <w:pPr>
              <w:jc w:val="both"/>
            </w:pPr>
            <w:r w:rsidRPr="00EB512D">
              <w:t>IV. Poznámka: Stanovisko Komisie k doložke je súčasťou materiálu predkladaného na rokovanie vlády Slovenskej republiky alebo na schválenie ministrovi, vedúcemu, predsedovi alebo riaditeľovi ostatného ústredného orgánu štátnej správy alebo vedúcemu iného orgánu.</w:t>
            </w:r>
          </w:p>
          <w:p w14:paraId="0C1AEAE1" w14:textId="77777777" w:rsidR="007C3F79" w:rsidRPr="00EB512D" w:rsidRDefault="007C3F79" w:rsidP="00B359C5">
            <w:pPr>
              <w:jc w:val="both"/>
            </w:pPr>
          </w:p>
          <w:p w14:paraId="7FB1632C" w14:textId="77777777" w:rsidR="007C3F79" w:rsidRPr="00EB512D" w:rsidRDefault="007C3F79" w:rsidP="00B359C5">
            <w:pPr>
              <w:jc w:val="both"/>
            </w:pPr>
            <w:r w:rsidRPr="00EB512D">
              <w:t>Ing. Rastislav Chovanec, PhD.</w:t>
            </w:r>
          </w:p>
          <w:p w14:paraId="533679FB" w14:textId="77777777" w:rsidR="007C3F79" w:rsidRPr="00EB512D" w:rsidRDefault="007C3F79" w:rsidP="00B359C5">
            <w:pPr>
              <w:jc w:val="both"/>
              <w:rPr>
                <w:highlight w:val="yellow"/>
              </w:rPr>
            </w:pPr>
            <w:r w:rsidRPr="00EB512D">
              <w:t>predseda komisie</w:t>
            </w:r>
          </w:p>
        </w:tc>
      </w:tr>
    </w:tbl>
    <w:p w14:paraId="58715E2A" w14:textId="1F70C733" w:rsidR="007C3F79" w:rsidRPr="00EB512D" w:rsidRDefault="007C3F79" w:rsidP="0079145B">
      <w:pPr>
        <w:ind w:firstLine="708"/>
        <w:jc w:val="both"/>
        <w:rPr>
          <w:lang w:val="sk-SK"/>
        </w:rPr>
      </w:pPr>
    </w:p>
    <w:p w14:paraId="44969FDB" w14:textId="2ED555B8" w:rsidR="007C3F79" w:rsidRPr="00EB512D" w:rsidRDefault="007C3F79" w:rsidP="0079145B">
      <w:pPr>
        <w:ind w:firstLine="708"/>
        <w:jc w:val="both"/>
        <w:rPr>
          <w:lang w:val="sk-SK"/>
        </w:rPr>
      </w:pPr>
    </w:p>
    <w:p w14:paraId="49464631" w14:textId="17FEC36B" w:rsidR="007C3F79" w:rsidRPr="00EB512D" w:rsidRDefault="007C3F79" w:rsidP="0079145B">
      <w:pPr>
        <w:ind w:firstLine="708"/>
        <w:jc w:val="both"/>
        <w:rPr>
          <w:lang w:val="sk-SK"/>
        </w:rPr>
      </w:pPr>
    </w:p>
    <w:p w14:paraId="239BAD20" w14:textId="52A57C58" w:rsidR="007C3F79" w:rsidRPr="00EB512D" w:rsidRDefault="007C3F79" w:rsidP="0079145B">
      <w:pPr>
        <w:ind w:firstLine="708"/>
        <w:jc w:val="both"/>
        <w:rPr>
          <w:lang w:val="sk-SK"/>
        </w:rPr>
      </w:pPr>
    </w:p>
    <w:p w14:paraId="31A02EAF" w14:textId="24E4EE95" w:rsidR="007C3F79" w:rsidRPr="00EB512D" w:rsidRDefault="007C3F79" w:rsidP="0079145B">
      <w:pPr>
        <w:ind w:firstLine="708"/>
        <w:jc w:val="both"/>
        <w:rPr>
          <w:lang w:val="sk-SK"/>
        </w:rPr>
      </w:pPr>
    </w:p>
    <w:p w14:paraId="7DA18CBD" w14:textId="1F2B9C58" w:rsidR="007C3F79" w:rsidRPr="00EB512D" w:rsidRDefault="007C3F79" w:rsidP="0079145B">
      <w:pPr>
        <w:ind w:firstLine="708"/>
        <w:jc w:val="both"/>
        <w:rPr>
          <w:lang w:val="sk-SK"/>
        </w:rPr>
      </w:pPr>
    </w:p>
    <w:p w14:paraId="6719AF83" w14:textId="11D15581" w:rsidR="007C3F79" w:rsidRPr="00EB512D" w:rsidRDefault="007C3F79" w:rsidP="0079145B">
      <w:pPr>
        <w:ind w:firstLine="708"/>
        <w:jc w:val="both"/>
        <w:rPr>
          <w:lang w:val="sk-SK"/>
        </w:rPr>
      </w:pPr>
    </w:p>
    <w:p w14:paraId="26C9EC7D" w14:textId="0C4F3EDE" w:rsidR="007C3F79" w:rsidRPr="00EB512D" w:rsidRDefault="007C3F79" w:rsidP="0079145B">
      <w:pPr>
        <w:ind w:firstLine="708"/>
        <w:jc w:val="both"/>
        <w:rPr>
          <w:lang w:val="sk-SK"/>
        </w:rPr>
      </w:pPr>
    </w:p>
    <w:p w14:paraId="572B7F19" w14:textId="08309E6B" w:rsidR="007C3F79" w:rsidRPr="00EB512D" w:rsidRDefault="007C3F79" w:rsidP="0079145B">
      <w:pPr>
        <w:ind w:firstLine="708"/>
        <w:jc w:val="both"/>
        <w:rPr>
          <w:lang w:val="sk-SK"/>
        </w:rPr>
      </w:pPr>
    </w:p>
    <w:p w14:paraId="4C3A1B74" w14:textId="4A1121F0" w:rsidR="007C3F79" w:rsidRPr="00EB512D" w:rsidRDefault="007C3F79" w:rsidP="0079145B">
      <w:pPr>
        <w:ind w:firstLine="708"/>
        <w:jc w:val="both"/>
        <w:rPr>
          <w:lang w:val="sk-SK"/>
        </w:rPr>
      </w:pPr>
    </w:p>
    <w:p w14:paraId="0E4FE183" w14:textId="40CEFAD7" w:rsidR="007C3F79" w:rsidRPr="00EB512D" w:rsidRDefault="007C3F79" w:rsidP="0079145B">
      <w:pPr>
        <w:ind w:firstLine="708"/>
        <w:jc w:val="both"/>
        <w:rPr>
          <w:lang w:val="sk-SK"/>
        </w:rPr>
      </w:pPr>
    </w:p>
    <w:p w14:paraId="5F79DA0D" w14:textId="218DF2AB" w:rsidR="007C3F79" w:rsidRPr="00EB512D" w:rsidRDefault="007C3F79" w:rsidP="0079145B">
      <w:pPr>
        <w:ind w:firstLine="708"/>
        <w:jc w:val="both"/>
        <w:rPr>
          <w:lang w:val="sk-SK"/>
        </w:rPr>
      </w:pPr>
    </w:p>
    <w:p w14:paraId="5DA33D85" w14:textId="4331FEED" w:rsidR="007C3F79" w:rsidRPr="00EB512D" w:rsidRDefault="007C3F79" w:rsidP="0079145B">
      <w:pPr>
        <w:ind w:firstLine="708"/>
        <w:jc w:val="both"/>
        <w:rPr>
          <w:lang w:val="sk-SK"/>
        </w:rPr>
      </w:pPr>
    </w:p>
    <w:p w14:paraId="700D9FD0" w14:textId="54E14975" w:rsidR="007C3F79" w:rsidRPr="00EB512D" w:rsidRDefault="007C3F79" w:rsidP="0079145B">
      <w:pPr>
        <w:ind w:firstLine="708"/>
        <w:jc w:val="both"/>
        <w:rPr>
          <w:lang w:val="sk-SK"/>
        </w:rPr>
      </w:pPr>
    </w:p>
    <w:p w14:paraId="61CBED69" w14:textId="21D396D9" w:rsidR="007C3F79" w:rsidRPr="00EB512D" w:rsidRDefault="007C3F79" w:rsidP="0079145B">
      <w:pPr>
        <w:ind w:firstLine="708"/>
        <w:jc w:val="both"/>
        <w:rPr>
          <w:lang w:val="sk-SK"/>
        </w:rPr>
      </w:pPr>
    </w:p>
    <w:p w14:paraId="4D4EB901" w14:textId="5E4F6684" w:rsidR="007C3F79" w:rsidRPr="00EB512D" w:rsidRDefault="007C3F79" w:rsidP="0079145B">
      <w:pPr>
        <w:ind w:firstLine="708"/>
        <w:jc w:val="both"/>
        <w:rPr>
          <w:lang w:val="sk-SK"/>
        </w:rPr>
      </w:pPr>
    </w:p>
    <w:p w14:paraId="271CCAC5" w14:textId="46059406" w:rsidR="007C3F79" w:rsidRPr="00EB512D" w:rsidRDefault="007C3F79" w:rsidP="0079145B">
      <w:pPr>
        <w:ind w:firstLine="708"/>
        <w:jc w:val="both"/>
        <w:rPr>
          <w:lang w:val="sk-SK"/>
        </w:rPr>
      </w:pPr>
    </w:p>
    <w:p w14:paraId="5F0C9387" w14:textId="14499F64" w:rsidR="007C3F79" w:rsidRPr="00EB512D" w:rsidRDefault="007C3F79" w:rsidP="0079145B">
      <w:pPr>
        <w:ind w:firstLine="708"/>
        <w:jc w:val="both"/>
        <w:rPr>
          <w:lang w:val="sk-SK"/>
        </w:rPr>
      </w:pPr>
    </w:p>
    <w:p w14:paraId="67747B0B" w14:textId="21054FDD" w:rsidR="007C3F79" w:rsidRPr="00EB512D" w:rsidRDefault="007C3F79" w:rsidP="0079145B">
      <w:pPr>
        <w:ind w:firstLine="708"/>
        <w:jc w:val="both"/>
        <w:rPr>
          <w:lang w:val="sk-SK"/>
        </w:rPr>
      </w:pPr>
    </w:p>
    <w:p w14:paraId="63D596AB" w14:textId="519B8F9B" w:rsidR="007C3F79" w:rsidRPr="00EB512D" w:rsidRDefault="007C3F79" w:rsidP="0079145B">
      <w:pPr>
        <w:ind w:firstLine="708"/>
        <w:jc w:val="both"/>
        <w:rPr>
          <w:lang w:val="sk-SK"/>
        </w:rPr>
      </w:pPr>
    </w:p>
    <w:p w14:paraId="57E117DB" w14:textId="10D68040" w:rsidR="007C3F79" w:rsidRPr="00EB512D" w:rsidRDefault="007C3F79" w:rsidP="0079145B">
      <w:pPr>
        <w:ind w:firstLine="708"/>
        <w:jc w:val="both"/>
        <w:rPr>
          <w:lang w:val="sk-SK"/>
        </w:rPr>
      </w:pPr>
    </w:p>
    <w:p w14:paraId="1002D3CC" w14:textId="7CE813D1" w:rsidR="007C3F79" w:rsidRPr="00EB512D" w:rsidRDefault="007C3F79" w:rsidP="0079145B">
      <w:pPr>
        <w:ind w:firstLine="708"/>
        <w:jc w:val="both"/>
        <w:rPr>
          <w:lang w:val="sk-SK"/>
        </w:rPr>
      </w:pPr>
    </w:p>
    <w:p w14:paraId="6E4D2139" w14:textId="2615B30F" w:rsidR="007C3F79" w:rsidRPr="00EB512D" w:rsidRDefault="007C3F79" w:rsidP="0079145B">
      <w:pPr>
        <w:ind w:firstLine="708"/>
        <w:jc w:val="both"/>
        <w:rPr>
          <w:lang w:val="sk-SK"/>
        </w:rPr>
      </w:pPr>
    </w:p>
    <w:p w14:paraId="29830936" w14:textId="38BAB254" w:rsidR="007C3F79" w:rsidRPr="00EB512D" w:rsidRDefault="007C3F79" w:rsidP="0079145B">
      <w:pPr>
        <w:ind w:firstLine="708"/>
        <w:jc w:val="both"/>
        <w:rPr>
          <w:lang w:val="sk-SK"/>
        </w:rPr>
      </w:pPr>
    </w:p>
    <w:p w14:paraId="6D58200C" w14:textId="46524916" w:rsidR="007C3F79" w:rsidRPr="00EB512D" w:rsidRDefault="007C3F79" w:rsidP="0079145B">
      <w:pPr>
        <w:ind w:firstLine="708"/>
        <w:jc w:val="both"/>
        <w:rPr>
          <w:lang w:val="sk-SK"/>
        </w:rPr>
      </w:pPr>
    </w:p>
    <w:p w14:paraId="5DCAB339" w14:textId="6392AC00" w:rsidR="007C3F79" w:rsidRPr="00EB512D" w:rsidRDefault="007C3F79" w:rsidP="0079145B">
      <w:pPr>
        <w:ind w:firstLine="708"/>
        <w:jc w:val="both"/>
        <w:rPr>
          <w:lang w:val="sk-SK"/>
        </w:rPr>
      </w:pPr>
    </w:p>
    <w:p w14:paraId="0CDD5BC3" w14:textId="627A0036" w:rsidR="007C3F79" w:rsidRPr="00EB512D" w:rsidRDefault="007C3F79" w:rsidP="0079145B">
      <w:pPr>
        <w:ind w:firstLine="708"/>
        <w:jc w:val="both"/>
        <w:rPr>
          <w:lang w:val="sk-SK"/>
        </w:rPr>
      </w:pPr>
    </w:p>
    <w:p w14:paraId="7D670C80" w14:textId="649E7781" w:rsidR="007C3F79" w:rsidRPr="00EB512D" w:rsidRDefault="007C3F79" w:rsidP="0079145B">
      <w:pPr>
        <w:ind w:firstLine="708"/>
        <w:jc w:val="both"/>
        <w:rPr>
          <w:lang w:val="sk-SK"/>
        </w:rPr>
      </w:pPr>
    </w:p>
    <w:p w14:paraId="2E5B78C4" w14:textId="24D63D12" w:rsidR="007C3F79" w:rsidRPr="00EB512D" w:rsidRDefault="007C3F79" w:rsidP="0079145B">
      <w:pPr>
        <w:ind w:firstLine="708"/>
        <w:jc w:val="both"/>
        <w:rPr>
          <w:lang w:val="sk-SK"/>
        </w:rPr>
      </w:pPr>
    </w:p>
    <w:p w14:paraId="49F1ADA9" w14:textId="4C513812" w:rsidR="007C3F79" w:rsidRPr="00EB512D" w:rsidRDefault="007C3F79" w:rsidP="0079145B">
      <w:pPr>
        <w:ind w:firstLine="708"/>
        <w:jc w:val="both"/>
        <w:rPr>
          <w:lang w:val="sk-SK"/>
        </w:rPr>
      </w:pPr>
    </w:p>
    <w:p w14:paraId="62E0F2FD" w14:textId="7FDF30BE" w:rsidR="007C3F79" w:rsidRPr="00EB512D" w:rsidRDefault="007C3F79" w:rsidP="0079145B">
      <w:pPr>
        <w:ind w:firstLine="708"/>
        <w:jc w:val="both"/>
        <w:rPr>
          <w:lang w:val="sk-SK"/>
        </w:rPr>
      </w:pPr>
    </w:p>
    <w:p w14:paraId="305DD5D2" w14:textId="2211C6DE" w:rsidR="007C3F79" w:rsidRPr="00EB512D" w:rsidRDefault="007C3F79" w:rsidP="0079145B">
      <w:pPr>
        <w:ind w:firstLine="708"/>
        <w:jc w:val="both"/>
        <w:rPr>
          <w:lang w:val="sk-SK"/>
        </w:rPr>
      </w:pPr>
    </w:p>
    <w:p w14:paraId="1F06F50A" w14:textId="685BA4E8" w:rsidR="007C3F79" w:rsidRPr="00EB512D" w:rsidRDefault="007C3F79" w:rsidP="0079145B">
      <w:pPr>
        <w:ind w:firstLine="708"/>
        <w:jc w:val="both"/>
        <w:rPr>
          <w:lang w:val="sk-SK"/>
        </w:rPr>
      </w:pPr>
    </w:p>
    <w:p w14:paraId="1ED23E30" w14:textId="3E97AC03" w:rsidR="007C3F79" w:rsidRPr="00EB512D" w:rsidRDefault="007C3F79" w:rsidP="0079145B">
      <w:pPr>
        <w:ind w:firstLine="708"/>
        <w:jc w:val="both"/>
        <w:rPr>
          <w:lang w:val="sk-SK"/>
        </w:rPr>
      </w:pPr>
    </w:p>
    <w:p w14:paraId="5BAED272" w14:textId="77777777" w:rsidR="007C3F79" w:rsidRPr="00EB512D" w:rsidRDefault="007C3F79" w:rsidP="0079145B">
      <w:pPr>
        <w:ind w:firstLine="708"/>
        <w:jc w:val="both"/>
        <w:rPr>
          <w:lang w:val="sk-SK"/>
        </w:rPr>
      </w:pPr>
    </w:p>
    <w:p w14:paraId="657CF4EE" w14:textId="5029308F" w:rsidR="007C3F79" w:rsidRPr="00EB512D" w:rsidRDefault="007C3F79" w:rsidP="0079145B">
      <w:pPr>
        <w:ind w:firstLine="708"/>
        <w:jc w:val="both"/>
        <w:rPr>
          <w:lang w:val="sk-SK"/>
        </w:rPr>
      </w:pPr>
    </w:p>
    <w:p w14:paraId="5738D04A" w14:textId="73C1E96A" w:rsidR="007C3F79" w:rsidRPr="00EB512D" w:rsidRDefault="007C3F79" w:rsidP="0079145B">
      <w:pPr>
        <w:ind w:firstLine="708"/>
        <w:jc w:val="both"/>
        <w:rPr>
          <w:lang w:val="sk-SK"/>
        </w:rPr>
      </w:pPr>
    </w:p>
    <w:p w14:paraId="4440D40C" w14:textId="77777777" w:rsidR="00EB512D" w:rsidRDefault="00EB512D" w:rsidP="007C3F79">
      <w:pPr>
        <w:jc w:val="center"/>
        <w:rPr>
          <w:b/>
          <w:bCs/>
          <w:sz w:val="28"/>
          <w:szCs w:val="28"/>
          <w:lang w:eastAsia="sk-SK"/>
        </w:rPr>
      </w:pPr>
    </w:p>
    <w:p w14:paraId="294A6CC3" w14:textId="518707BE" w:rsidR="007C3F79" w:rsidRPr="00EB512D" w:rsidRDefault="007C3F79" w:rsidP="007C3F79">
      <w:pPr>
        <w:jc w:val="center"/>
        <w:rPr>
          <w:b/>
          <w:bCs/>
          <w:sz w:val="28"/>
          <w:szCs w:val="28"/>
          <w:lang w:eastAsia="sk-SK"/>
        </w:rPr>
      </w:pPr>
      <w:r w:rsidRPr="00EB512D">
        <w:rPr>
          <w:b/>
          <w:bCs/>
          <w:sz w:val="28"/>
          <w:szCs w:val="28"/>
          <w:lang w:eastAsia="sk-SK"/>
        </w:rPr>
        <w:lastRenderedPageBreak/>
        <w:t xml:space="preserve">Analýza vplyvov </w:t>
      </w:r>
      <w:proofErr w:type="gramStart"/>
      <w:r w:rsidRPr="00EB512D">
        <w:rPr>
          <w:b/>
          <w:bCs/>
          <w:sz w:val="28"/>
          <w:szCs w:val="28"/>
          <w:lang w:eastAsia="sk-SK"/>
        </w:rPr>
        <w:t>na</w:t>
      </w:r>
      <w:proofErr w:type="gramEnd"/>
      <w:r w:rsidRPr="00EB512D">
        <w:rPr>
          <w:b/>
          <w:bCs/>
          <w:sz w:val="28"/>
          <w:szCs w:val="28"/>
          <w:lang w:eastAsia="sk-SK"/>
        </w:rPr>
        <w:t xml:space="preserve"> rozpočet verejnej správy,</w:t>
      </w:r>
    </w:p>
    <w:p w14:paraId="273B3B93" w14:textId="77777777" w:rsidR="007C3F79" w:rsidRPr="00EB512D" w:rsidRDefault="007C3F79" w:rsidP="007C3F79">
      <w:pPr>
        <w:jc w:val="center"/>
        <w:rPr>
          <w:b/>
          <w:bCs/>
          <w:sz w:val="28"/>
          <w:szCs w:val="28"/>
          <w:lang w:eastAsia="sk-SK"/>
        </w:rPr>
      </w:pPr>
      <w:proofErr w:type="gramStart"/>
      <w:r w:rsidRPr="00EB512D">
        <w:rPr>
          <w:b/>
          <w:bCs/>
          <w:sz w:val="28"/>
          <w:szCs w:val="28"/>
          <w:lang w:eastAsia="sk-SK"/>
        </w:rPr>
        <w:t>na</w:t>
      </w:r>
      <w:proofErr w:type="gramEnd"/>
      <w:r w:rsidRPr="00EB512D">
        <w:rPr>
          <w:b/>
          <w:bCs/>
          <w:sz w:val="28"/>
          <w:szCs w:val="28"/>
          <w:lang w:eastAsia="sk-SK"/>
        </w:rPr>
        <w:t xml:space="preserve"> zamestnanosť vo verejnej správe a financovanie návrhu</w:t>
      </w:r>
    </w:p>
    <w:p w14:paraId="26693BDD" w14:textId="77777777" w:rsidR="007C3F79" w:rsidRPr="00EB512D" w:rsidRDefault="007C3F79" w:rsidP="007C3F79">
      <w:pPr>
        <w:jc w:val="right"/>
        <w:rPr>
          <w:b/>
          <w:bCs/>
          <w:lang w:eastAsia="sk-SK"/>
        </w:rPr>
      </w:pPr>
    </w:p>
    <w:p w14:paraId="2E2A4F60" w14:textId="77777777" w:rsidR="007C3F79" w:rsidRPr="00EB512D" w:rsidRDefault="007C3F79" w:rsidP="007C3F79">
      <w:pPr>
        <w:rPr>
          <w:b/>
          <w:bCs/>
          <w:lang w:eastAsia="sk-SK"/>
        </w:rPr>
      </w:pPr>
    </w:p>
    <w:p w14:paraId="2833D14B" w14:textId="77777777" w:rsidR="007C3F79" w:rsidRPr="00EB512D" w:rsidRDefault="007C3F79" w:rsidP="007C3F79">
      <w:pPr>
        <w:rPr>
          <w:b/>
          <w:bCs/>
          <w:lang w:eastAsia="sk-SK"/>
        </w:rPr>
      </w:pPr>
      <w:r w:rsidRPr="00EB512D">
        <w:rPr>
          <w:b/>
          <w:bCs/>
          <w:lang w:eastAsia="sk-SK"/>
        </w:rPr>
        <w:t xml:space="preserve">2.1 Zhrnutie vplyvov </w:t>
      </w:r>
      <w:proofErr w:type="gramStart"/>
      <w:r w:rsidRPr="00EB512D">
        <w:rPr>
          <w:b/>
          <w:bCs/>
          <w:lang w:eastAsia="sk-SK"/>
        </w:rPr>
        <w:t>na</w:t>
      </w:r>
      <w:proofErr w:type="gramEnd"/>
      <w:r w:rsidRPr="00EB512D">
        <w:rPr>
          <w:b/>
          <w:bCs/>
          <w:lang w:eastAsia="sk-SK"/>
        </w:rPr>
        <w:t xml:space="preserve"> rozpočet verejnej správy v návrhu</w:t>
      </w:r>
    </w:p>
    <w:p w14:paraId="66F105A8" w14:textId="77777777" w:rsidR="007C3F79" w:rsidRPr="00EB512D" w:rsidRDefault="007C3F79" w:rsidP="007C3F79">
      <w:pPr>
        <w:jc w:val="right"/>
        <w:rPr>
          <w:sz w:val="20"/>
          <w:szCs w:val="20"/>
          <w:lang w:eastAsia="sk-SK"/>
        </w:rPr>
      </w:pPr>
    </w:p>
    <w:p w14:paraId="4772EEF3" w14:textId="77777777" w:rsidR="007C3F79" w:rsidRPr="00EB512D" w:rsidRDefault="007C3F79" w:rsidP="007C3F79">
      <w:pPr>
        <w:jc w:val="right"/>
        <w:rPr>
          <w:sz w:val="20"/>
          <w:szCs w:val="20"/>
          <w:lang w:eastAsia="sk-SK"/>
        </w:rPr>
      </w:pPr>
      <w:r w:rsidRPr="00EB512D">
        <w:rPr>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38"/>
        <w:gridCol w:w="1196"/>
        <w:gridCol w:w="1267"/>
        <w:gridCol w:w="1267"/>
      </w:tblGrid>
      <w:tr w:rsidR="007C3F79" w:rsidRPr="00EB512D" w14:paraId="4CAF2968" w14:textId="77777777" w:rsidTr="00B359C5">
        <w:trPr>
          <w:cantSplit/>
          <w:trHeight w:val="194"/>
          <w:jc w:val="center"/>
        </w:trPr>
        <w:tc>
          <w:tcPr>
            <w:tcW w:w="4661" w:type="dxa"/>
            <w:vMerge w:val="restart"/>
            <w:shd w:val="clear" w:color="auto" w:fill="BFBFBF"/>
            <w:vAlign w:val="center"/>
          </w:tcPr>
          <w:p w14:paraId="1F45AFDA" w14:textId="77777777" w:rsidR="007C3F79" w:rsidRPr="00EB512D" w:rsidRDefault="007C3F79" w:rsidP="00B359C5">
            <w:pPr>
              <w:jc w:val="center"/>
              <w:rPr>
                <w:b/>
                <w:bCs/>
                <w:lang w:eastAsia="sk-SK"/>
              </w:rPr>
            </w:pPr>
            <w:bookmarkStart w:id="0" w:name="OLE_LINK1"/>
            <w:r w:rsidRPr="00EB512D">
              <w:rPr>
                <w:b/>
                <w:bCs/>
                <w:lang w:eastAsia="sk-SK"/>
              </w:rPr>
              <w:t>Vplyvy na rozpočet verejnej správy</w:t>
            </w:r>
          </w:p>
        </w:tc>
        <w:tc>
          <w:tcPr>
            <w:tcW w:w="5068" w:type="dxa"/>
            <w:gridSpan w:val="4"/>
            <w:shd w:val="clear" w:color="auto" w:fill="BFBFBF"/>
            <w:vAlign w:val="center"/>
          </w:tcPr>
          <w:p w14:paraId="4F78144A" w14:textId="77777777" w:rsidR="007C3F79" w:rsidRPr="00EB512D" w:rsidRDefault="007C3F79" w:rsidP="00B359C5">
            <w:pPr>
              <w:jc w:val="center"/>
              <w:rPr>
                <w:b/>
                <w:bCs/>
                <w:lang w:eastAsia="sk-SK"/>
              </w:rPr>
            </w:pPr>
            <w:r w:rsidRPr="00EB512D">
              <w:rPr>
                <w:b/>
                <w:bCs/>
                <w:lang w:eastAsia="sk-SK"/>
              </w:rPr>
              <w:t>Vplyv na rozpočet verejnej správy (v eurách)</w:t>
            </w:r>
          </w:p>
        </w:tc>
      </w:tr>
      <w:tr w:rsidR="007C3F79" w:rsidRPr="00EB512D" w14:paraId="413DC765" w14:textId="77777777" w:rsidTr="00B359C5">
        <w:trPr>
          <w:cantSplit/>
          <w:trHeight w:val="70"/>
          <w:jc w:val="center"/>
        </w:trPr>
        <w:tc>
          <w:tcPr>
            <w:tcW w:w="4661" w:type="dxa"/>
            <w:vMerge/>
            <w:shd w:val="clear" w:color="auto" w:fill="BFBFBF"/>
            <w:vAlign w:val="center"/>
          </w:tcPr>
          <w:p w14:paraId="76D46267" w14:textId="77777777" w:rsidR="007C3F79" w:rsidRPr="00EB512D" w:rsidRDefault="007C3F79" w:rsidP="00B359C5">
            <w:pPr>
              <w:jc w:val="center"/>
              <w:rPr>
                <w:b/>
                <w:bCs/>
                <w:lang w:eastAsia="sk-SK"/>
              </w:rPr>
            </w:pPr>
          </w:p>
        </w:tc>
        <w:tc>
          <w:tcPr>
            <w:tcW w:w="1338" w:type="dxa"/>
            <w:shd w:val="clear" w:color="auto" w:fill="BFBFBF"/>
            <w:vAlign w:val="center"/>
          </w:tcPr>
          <w:p w14:paraId="4CD011A3" w14:textId="77777777" w:rsidR="007C3F79" w:rsidRPr="00EB512D" w:rsidRDefault="007C3F79" w:rsidP="00B359C5">
            <w:pPr>
              <w:jc w:val="center"/>
              <w:rPr>
                <w:b/>
                <w:bCs/>
                <w:lang w:eastAsia="sk-SK"/>
              </w:rPr>
            </w:pPr>
            <w:r w:rsidRPr="00EB512D">
              <w:rPr>
                <w:b/>
                <w:bCs/>
                <w:lang w:eastAsia="sk-SK"/>
              </w:rPr>
              <w:t>2019</w:t>
            </w:r>
          </w:p>
        </w:tc>
        <w:tc>
          <w:tcPr>
            <w:tcW w:w="1196" w:type="dxa"/>
            <w:shd w:val="clear" w:color="auto" w:fill="BFBFBF"/>
            <w:vAlign w:val="center"/>
          </w:tcPr>
          <w:p w14:paraId="65417CBE" w14:textId="77777777" w:rsidR="007C3F79" w:rsidRPr="00EB512D" w:rsidRDefault="007C3F79" w:rsidP="00B359C5">
            <w:pPr>
              <w:jc w:val="center"/>
              <w:rPr>
                <w:b/>
                <w:bCs/>
                <w:lang w:eastAsia="sk-SK"/>
              </w:rPr>
            </w:pPr>
            <w:r w:rsidRPr="00EB512D">
              <w:rPr>
                <w:b/>
                <w:bCs/>
                <w:lang w:eastAsia="sk-SK"/>
              </w:rPr>
              <w:t>2020</w:t>
            </w:r>
          </w:p>
        </w:tc>
        <w:tc>
          <w:tcPr>
            <w:tcW w:w="1267" w:type="dxa"/>
            <w:shd w:val="clear" w:color="auto" w:fill="BFBFBF"/>
            <w:vAlign w:val="center"/>
          </w:tcPr>
          <w:p w14:paraId="1C5B7FC2" w14:textId="77777777" w:rsidR="007C3F79" w:rsidRPr="00EB512D" w:rsidRDefault="007C3F79" w:rsidP="00B359C5">
            <w:pPr>
              <w:jc w:val="center"/>
              <w:rPr>
                <w:b/>
                <w:bCs/>
                <w:lang w:eastAsia="sk-SK"/>
              </w:rPr>
            </w:pPr>
            <w:r w:rsidRPr="00EB512D">
              <w:rPr>
                <w:b/>
                <w:bCs/>
                <w:lang w:eastAsia="sk-SK"/>
              </w:rPr>
              <w:t>2021</w:t>
            </w:r>
          </w:p>
        </w:tc>
        <w:tc>
          <w:tcPr>
            <w:tcW w:w="1267" w:type="dxa"/>
            <w:shd w:val="clear" w:color="auto" w:fill="BFBFBF"/>
            <w:vAlign w:val="center"/>
          </w:tcPr>
          <w:p w14:paraId="7D40FD2E" w14:textId="77777777" w:rsidR="007C3F79" w:rsidRPr="00EB512D" w:rsidRDefault="007C3F79" w:rsidP="00B359C5">
            <w:pPr>
              <w:jc w:val="center"/>
              <w:rPr>
                <w:b/>
                <w:bCs/>
                <w:lang w:eastAsia="sk-SK"/>
              </w:rPr>
            </w:pPr>
            <w:r w:rsidRPr="00EB512D">
              <w:rPr>
                <w:b/>
                <w:bCs/>
                <w:lang w:eastAsia="sk-SK"/>
              </w:rPr>
              <w:t>2022</w:t>
            </w:r>
          </w:p>
        </w:tc>
      </w:tr>
      <w:tr w:rsidR="007C3F79" w:rsidRPr="00EB512D" w14:paraId="674D56CE" w14:textId="77777777" w:rsidTr="00B359C5">
        <w:trPr>
          <w:trHeight w:val="70"/>
          <w:jc w:val="center"/>
        </w:trPr>
        <w:tc>
          <w:tcPr>
            <w:tcW w:w="4661" w:type="dxa"/>
            <w:shd w:val="clear" w:color="auto" w:fill="C0C0C0"/>
            <w:noWrap/>
            <w:vAlign w:val="center"/>
          </w:tcPr>
          <w:p w14:paraId="7A1746EE" w14:textId="77777777" w:rsidR="007C3F79" w:rsidRPr="00EB512D" w:rsidRDefault="007C3F79" w:rsidP="00B359C5">
            <w:pPr>
              <w:rPr>
                <w:lang w:eastAsia="sk-SK"/>
              </w:rPr>
            </w:pPr>
            <w:r w:rsidRPr="00EB512D">
              <w:rPr>
                <w:b/>
                <w:bCs/>
                <w:lang w:eastAsia="sk-SK"/>
              </w:rPr>
              <w:t>Príjmy verejnej správy celkom</w:t>
            </w:r>
          </w:p>
        </w:tc>
        <w:tc>
          <w:tcPr>
            <w:tcW w:w="1338" w:type="dxa"/>
            <w:shd w:val="clear" w:color="auto" w:fill="C0C0C0"/>
            <w:vAlign w:val="center"/>
          </w:tcPr>
          <w:p w14:paraId="6A08FF1C" w14:textId="77777777" w:rsidR="007C3F79" w:rsidRPr="00EB512D" w:rsidRDefault="007C3F79" w:rsidP="00B359C5">
            <w:pPr>
              <w:jc w:val="right"/>
              <w:rPr>
                <w:b/>
                <w:bCs/>
                <w:lang w:eastAsia="sk-SK"/>
              </w:rPr>
            </w:pPr>
            <w:r w:rsidRPr="00EB512D">
              <w:rPr>
                <w:b/>
                <w:bCs/>
                <w:lang w:eastAsia="sk-SK"/>
              </w:rPr>
              <w:t>0</w:t>
            </w:r>
          </w:p>
        </w:tc>
        <w:tc>
          <w:tcPr>
            <w:tcW w:w="1196" w:type="dxa"/>
            <w:shd w:val="clear" w:color="auto" w:fill="C0C0C0"/>
            <w:vAlign w:val="center"/>
          </w:tcPr>
          <w:p w14:paraId="762FCFAD"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C0C0C0"/>
            <w:vAlign w:val="center"/>
          </w:tcPr>
          <w:p w14:paraId="233F1F61"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C0C0C0"/>
            <w:vAlign w:val="center"/>
          </w:tcPr>
          <w:p w14:paraId="47A385B5" w14:textId="77777777" w:rsidR="007C3F79" w:rsidRPr="00EB512D" w:rsidRDefault="007C3F79" w:rsidP="00B359C5">
            <w:pPr>
              <w:jc w:val="right"/>
              <w:rPr>
                <w:b/>
                <w:bCs/>
                <w:lang w:eastAsia="sk-SK"/>
              </w:rPr>
            </w:pPr>
            <w:r w:rsidRPr="00EB512D">
              <w:rPr>
                <w:b/>
                <w:bCs/>
                <w:lang w:eastAsia="sk-SK"/>
              </w:rPr>
              <w:t>0</w:t>
            </w:r>
          </w:p>
        </w:tc>
      </w:tr>
      <w:tr w:rsidR="007C3F79" w:rsidRPr="00EB512D" w14:paraId="4E2EEA02" w14:textId="77777777" w:rsidTr="00B359C5">
        <w:trPr>
          <w:trHeight w:val="132"/>
          <w:jc w:val="center"/>
        </w:trPr>
        <w:tc>
          <w:tcPr>
            <w:tcW w:w="4661" w:type="dxa"/>
            <w:noWrap/>
            <w:vAlign w:val="center"/>
          </w:tcPr>
          <w:p w14:paraId="1D0805D0" w14:textId="77777777" w:rsidR="007C3F79" w:rsidRPr="00EB512D" w:rsidRDefault="007C3F79" w:rsidP="00B359C5">
            <w:pPr>
              <w:rPr>
                <w:lang w:eastAsia="sk-SK"/>
              </w:rPr>
            </w:pPr>
            <w:r w:rsidRPr="00EB512D">
              <w:rPr>
                <w:lang w:eastAsia="sk-SK"/>
              </w:rPr>
              <w:t>v tom: za každý subjekt verejnej správy zvlášť</w:t>
            </w:r>
          </w:p>
        </w:tc>
        <w:tc>
          <w:tcPr>
            <w:tcW w:w="1338" w:type="dxa"/>
            <w:noWrap/>
            <w:vAlign w:val="center"/>
          </w:tcPr>
          <w:p w14:paraId="57D3C265" w14:textId="77777777" w:rsidR="007C3F79" w:rsidRPr="00EB512D" w:rsidRDefault="007C3F79" w:rsidP="00B359C5">
            <w:pPr>
              <w:jc w:val="right"/>
              <w:rPr>
                <w:lang w:eastAsia="sk-SK"/>
              </w:rPr>
            </w:pPr>
            <w:r w:rsidRPr="00EB512D">
              <w:rPr>
                <w:lang w:eastAsia="sk-SK"/>
              </w:rPr>
              <w:t>0</w:t>
            </w:r>
          </w:p>
        </w:tc>
        <w:tc>
          <w:tcPr>
            <w:tcW w:w="1196" w:type="dxa"/>
            <w:noWrap/>
            <w:vAlign w:val="center"/>
          </w:tcPr>
          <w:p w14:paraId="71D5819E" w14:textId="77777777" w:rsidR="007C3F79" w:rsidRPr="00EB512D" w:rsidRDefault="007C3F79" w:rsidP="00B359C5">
            <w:pPr>
              <w:jc w:val="right"/>
              <w:rPr>
                <w:lang w:eastAsia="sk-SK"/>
              </w:rPr>
            </w:pPr>
            <w:r w:rsidRPr="00EB512D">
              <w:rPr>
                <w:lang w:eastAsia="sk-SK"/>
              </w:rPr>
              <w:t>0</w:t>
            </w:r>
          </w:p>
        </w:tc>
        <w:tc>
          <w:tcPr>
            <w:tcW w:w="1267" w:type="dxa"/>
            <w:noWrap/>
            <w:vAlign w:val="center"/>
          </w:tcPr>
          <w:p w14:paraId="26DA7DF1" w14:textId="77777777" w:rsidR="007C3F79" w:rsidRPr="00EB512D" w:rsidRDefault="007C3F79" w:rsidP="00B359C5">
            <w:pPr>
              <w:jc w:val="right"/>
              <w:rPr>
                <w:lang w:eastAsia="sk-SK"/>
              </w:rPr>
            </w:pPr>
            <w:r w:rsidRPr="00EB512D">
              <w:rPr>
                <w:lang w:eastAsia="sk-SK"/>
              </w:rPr>
              <w:t>0</w:t>
            </w:r>
          </w:p>
        </w:tc>
        <w:tc>
          <w:tcPr>
            <w:tcW w:w="1267" w:type="dxa"/>
            <w:noWrap/>
            <w:vAlign w:val="center"/>
          </w:tcPr>
          <w:p w14:paraId="271E3DA0" w14:textId="77777777" w:rsidR="007C3F79" w:rsidRPr="00EB512D" w:rsidRDefault="007C3F79" w:rsidP="00B359C5">
            <w:pPr>
              <w:jc w:val="right"/>
              <w:rPr>
                <w:lang w:eastAsia="sk-SK"/>
              </w:rPr>
            </w:pPr>
            <w:r w:rsidRPr="00EB512D">
              <w:rPr>
                <w:lang w:eastAsia="sk-SK"/>
              </w:rPr>
              <w:t>0</w:t>
            </w:r>
          </w:p>
        </w:tc>
      </w:tr>
      <w:tr w:rsidR="007C3F79" w:rsidRPr="00EB512D" w14:paraId="0709EF2F" w14:textId="77777777" w:rsidTr="00B359C5">
        <w:trPr>
          <w:trHeight w:val="70"/>
          <w:jc w:val="center"/>
        </w:trPr>
        <w:tc>
          <w:tcPr>
            <w:tcW w:w="4661" w:type="dxa"/>
            <w:noWrap/>
            <w:vAlign w:val="center"/>
          </w:tcPr>
          <w:p w14:paraId="78D4221E" w14:textId="77777777" w:rsidR="007C3F79" w:rsidRPr="00EB512D" w:rsidRDefault="007C3F79" w:rsidP="00B359C5">
            <w:pPr>
              <w:rPr>
                <w:b/>
                <w:bCs/>
                <w:i/>
                <w:iCs/>
                <w:lang w:eastAsia="sk-SK"/>
              </w:rPr>
            </w:pPr>
            <w:r w:rsidRPr="00EB512D">
              <w:rPr>
                <w:b/>
                <w:bCs/>
                <w:i/>
                <w:iCs/>
                <w:lang w:eastAsia="sk-SK"/>
              </w:rPr>
              <w:t xml:space="preserve">z toho:  </w:t>
            </w:r>
          </w:p>
        </w:tc>
        <w:tc>
          <w:tcPr>
            <w:tcW w:w="1338" w:type="dxa"/>
            <w:noWrap/>
            <w:vAlign w:val="center"/>
          </w:tcPr>
          <w:p w14:paraId="7D2DDF77" w14:textId="77777777" w:rsidR="007C3F79" w:rsidRPr="00EB512D" w:rsidRDefault="007C3F79" w:rsidP="00B359C5">
            <w:pPr>
              <w:jc w:val="right"/>
              <w:rPr>
                <w:b/>
                <w:bCs/>
                <w:iCs/>
                <w:lang w:eastAsia="sk-SK"/>
              </w:rPr>
            </w:pPr>
          </w:p>
        </w:tc>
        <w:tc>
          <w:tcPr>
            <w:tcW w:w="1196" w:type="dxa"/>
            <w:noWrap/>
            <w:vAlign w:val="center"/>
          </w:tcPr>
          <w:p w14:paraId="63E2E11F" w14:textId="77777777" w:rsidR="007C3F79" w:rsidRPr="00EB512D" w:rsidRDefault="007C3F79" w:rsidP="00B359C5">
            <w:pPr>
              <w:jc w:val="right"/>
              <w:rPr>
                <w:b/>
                <w:bCs/>
                <w:iCs/>
                <w:lang w:eastAsia="sk-SK"/>
              </w:rPr>
            </w:pPr>
          </w:p>
        </w:tc>
        <w:tc>
          <w:tcPr>
            <w:tcW w:w="1267" w:type="dxa"/>
            <w:noWrap/>
            <w:vAlign w:val="center"/>
          </w:tcPr>
          <w:p w14:paraId="11E35D13" w14:textId="77777777" w:rsidR="007C3F79" w:rsidRPr="00EB512D" w:rsidRDefault="007C3F79" w:rsidP="00B359C5">
            <w:pPr>
              <w:jc w:val="right"/>
              <w:rPr>
                <w:b/>
                <w:bCs/>
                <w:iCs/>
                <w:lang w:eastAsia="sk-SK"/>
              </w:rPr>
            </w:pPr>
          </w:p>
        </w:tc>
        <w:tc>
          <w:tcPr>
            <w:tcW w:w="1267" w:type="dxa"/>
            <w:noWrap/>
            <w:vAlign w:val="center"/>
          </w:tcPr>
          <w:p w14:paraId="5A764A36" w14:textId="77777777" w:rsidR="007C3F79" w:rsidRPr="00EB512D" w:rsidRDefault="007C3F79" w:rsidP="00B359C5">
            <w:pPr>
              <w:jc w:val="right"/>
              <w:rPr>
                <w:b/>
                <w:bCs/>
                <w:iCs/>
                <w:lang w:eastAsia="sk-SK"/>
              </w:rPr>
            </w:pPr>
          </w:p>
        </w:tc>
      </w:tr>
      <w:tr w:rsidR="007C3F79" w:rsidRPr="00EB512D" w14:paraId="535E77D2" w14:textId="77777777" w:rsidTr="00B359C5">
        <w:trPr>
          <w:trHeight w:val="125"/>
          <w:jc w:val="center"/>
        </w:trPr>
        <w:tc>
          <w:tcPr>
            <w:tcW w:w="4661" w:type="dxa"/>
            <w:noWrap/>
            <w:vAlign w:val="center"/>
          </w:tcPr>
          <w:p w14:paraId="23299154" w14:textId="77777777" w:rsidR="007C3F79" w:rsidRPr="00EB512D" w:rsidRDefault="007C3F79" w:rsidP="00B359C5">
            <w:pPr>
              <w:rPr>
                <w:b/>
                <w:bCs/>
                <w:i/>
                <w:iCs/>
                <w:lang w:eastAsia="sk-SK"/>
              </w:rPr>
            </w:pPr>
            <w:r w:rsidRPr="00EB512D">
              <w:rPr>
                <w:b/>
                <w:bCs/>
                <w:i/>
                <w:iCs/>
                <w:lang w:eastAsia="sk-SK"/>
              </w:rPr>
              <w:t>- vplyv na ŠR</w:t>
            </w:r>
          </w:p>
        </w:tc>
        <w:tc>
          <w:tcPr>
            <w:tcW w:w="1338" w:type="dxa"/>
            <w:noWrap/>
            <w:vAlign w:val="center"/>
          </w:tcPr>
          <w:p w14:paraId="0CB90049"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304CAFE9"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09054AC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2B1157B5"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CA2E6DB" w14:textId="77777777" w:rsidTr="00B359C5">
        <w:trPr>
          <w:trHeight w:val="125"/>
          <w:jc w:val="center"/>
        </w:trPr>
        <w:tc>
          <w:tcPr>
            <w:tcW w:w="4661" w:type="dxa"/>
            <w:noWrap/>
            <w:vAlign w:val="center"/>
          </w:tcPr>
          <w:p w14:paraId="6A278E8D" w14:textId="77777777" w:rsidR="007C3F79" w:rsidRPr="00EB512D" w:rsidRDefault="007C3F79" w:rsidP="00B359C5">
            <w:pPr>
              <w:ind w:left="259"/>
              <w:rPr>
                <w:b/>
                <w:bCs/>
                <w:i/>
                <w:iCs/>
                <w:lang w:eastAsia="sk-SK"/>
              </w:rPr>
            </w:pPr>
            <w:r w:rsidRPr="00EB512D">
              <w:rPr>
                <w:bCs/>
                <w:i/>
                <w:iCs/>
                <w:lang w:eastAsia="sk-SK"/>
              </w:rPr>
              <w:t>Rozpočtové prostriedky</w:t>
            </w:r>
          </w:p>
        </w:tc>
        <w:tc>
          <w:tcPr>
            <w:tcW w:w="1338" w:type="dxa"/>
            <w:noWrap/>
            <w:vAlign w:val="center"/>
          </w:tcPr>
          <w:p w14:paraId="0A949A35"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01EC94B6"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6C11B918"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EF6C9A6"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69AD7A0" w14:textId="77777777" w:rsidTr="00B359C5">
        <w:trPr>
          <w:trHeight w:val="125"/>
          <w:jc w:val="center"/>
        </w:trPr>
        <w:tc>
          <w:tcPr>
            <w:tcW w:w="4661" w:type="dxa"/>
            <w:noWrap/>
            <w:vAlign w:val="center"/>
          </w:tcPr>
          <w:p w14:paraId="707F3BA5" w14:textId="77777777" w:rsidR="007C3F79" w:rsidRPr="00EB512D" w:rsidRDefault="007C3F79" w:rsidP="00B359C5">
            <w:pPr>
              <w:ind w:left="259"/>
              <w:rPr>
                <w:bCs/>
                <w:i/>
                <w:iCs/>
                <w:lang w:eastAsia="sk-SK"/>
              </w:rPr>
            </w:pPr>
            <w:r w:rsidRPr="00EB512D">
              <w:rPr>
                <w:bCs/>
                <w:i/>
                <w:iCs/>
                <w:lang w:eastAsia="sk-SK"/>
              </w:rPr>
              <w:t>EÚ zdroje</w:t>
            </w:r>
          </w:p>
        </w:tc>
        <w:tc>
          <w:tcPr>
            <w:tcW w:w="1338" w:type="dxa"/>
            <w:noWrap/>
            <w:vAlign w:val="center"/>
          </w:tcPr>
          <w:p w14:paraId="5C200BD8" w14:textId="77777777" w:rsidR="007C3F79" w:rsidRPr="00EB512D" w:rsidRDefault="007C3F79" w:rsidP="00B359C5">
            <w:pPr>
              <w:jc w:val="right"/>
              <w:rPr>
                <w:lang w:eastAsia="sk-SK"/>
              </w:rPr>
            </w:pPr>
            <w:r w:rsidRPr="00EB512D">
              <w:rPr>
                <w:lang w:eastAsia="sk-SK"/>
              </w:rPr>
              <w:t>0</w:t>
            </w:r>
          </w:p>
        </w:tc>
        <w:tc>
          <w:tcPr>
            <w:tcW w:w="1196" w:type="dxa"/>
            <w:noWrap/>
            <w:vAlign w:val="center"/>
          </w:tcPr>
          <w:p w14:paraId="547354AE" w14:textId="77777777" w:rsidR="007C3F79" w:rsidRPr="00EB512D" w:rsidRDefault="007C3F79" w:rsidP="00B359C5">
            <w:pPr>
              <w:jc w:val="right"/>
              <w:rPr>
                <w:lang w:eastAsia="sk-SK"/>
              </w:rPr>
            </w:pPr>
            <w:r w:rsidRPr="00EB512D">
              <w:rPr>
                <w:lang w:eastAsia="sk-SK"/>
              </w:rPr>
              <w:t>0</w:t>
            </w:r>
          </w:p>
        </w:tc>
        <w:tc>
          <w:tcPr>
            <w:tcW w:w="1267" w:type="dxa"/>
            <w:noWrap/>
            <w:vAlign w:val="center"/>
          </w:tcPr>
          <w:p w14:paraId="678470AC" w14:textId="77777777" w:rsidR="007C3F79" w:rsidRPr="00EB512D" w:rsidRDefault="007C3F79" w:rsidP="00B359C5">
            <w:pPr>
              <w:jc w:val="right"/>
              <w:rPr>
                <w:lang w:eastAsia="sk-SK"/>
              </w:rPr>
            </w:pPr>
            <w:r w:rsidRPr="00EB512D">
              <w:rPr>
                <w:lang w:eastAsia="sk-SK"/>
              </w:rPr>
              <w:t>0</w:t>
            </w:r>
          </w:p>
        </w:tc>
        <w:tc>
          <w:tcPr>
            <w:tcW w:w="1267" w:type="dxa"/>
            <w:noWrap/>
            <w:vAlign w:val="center"/>
          </w:tcPr>
          <w:p w14:paraId="5EE3720A" w14:textId="77777777" w:rsidR="007C3F79" w:rsidRPr="00EB512D" w:rsidRDefault="007C3F79" w:rsidP="00B359C5">
            <w:pPr>
              <w:jc w:val="right"/>
              <w:rPr>
                <w:lang w:eastAsia="sk-SK"/>
              </w:rPr>
            </w:pPr>
            <w:r w:rsidRPr="00EB512D">
              <w:rPr>
                <w:lang w:eastAsia="sk-SK"/>
              </w:rPr>
              <w:t>0</w:t>
            </w:r>
          </w:p>
        </w:tc>
      </w:tr>
      <w:tr w:rsidR="007C3F79" w:rsidRPr="00EB512D" w14:paraId="2E6D589D" w14:textId="77777777" w:rsidTr="00B359C5">
        <w:trPr>
          <w:trHeight w:val="125"/>
          <w:jc w:val="center"/>
        </w:trPr>
        <w:tc>
          <w:tcPr>
            <w:tcW w:w="4661" w:type="dxa"/>
            <w:noWrap/>
            <w:vAlign w:val="center"/>
          </w:tcPr>
          <w:p w14:paraId="0D4F07D8" w14:textId="77777777" w:rsidR="007C3F79" w:rsidRPr="00EB512D" w:rsidRDefault="007C3F79" w:rsidP="00B359C5">
            <w:pPr>
              <w:rPr>
                <w:b/>
                <w:bCs/>
                <w:i/>
                <w:iCs/>
                <w:lang w:eastAsia="sk-SK"/>
              </w:rPr>
            </w:pPr>
            <w:r w:rsidRPr="00EB512D">
              <w:rPr>
                <w:b/>
                <w:bCs/>
                <w:i/>
                <w:iCs/>
                <w:lang w:eastAsia="sk-SK"/>
              </w:rPr>
              <w:t>- vplyv na obce</w:t>
            </w:r>
          </w:p>
        </w:tc>
        <w:tc>
          <w:tcPr>
            <w:tcW w:w="1338" w:type="dxa"/>
            <w:noWrap/>
            <w:vAlign w:val="center"/>
          </w:tcPr>
          <w:p w14:paraId="2BECA078"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2FD4DB82"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3F5E1BF"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5AE215DB"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9CC7720" w14:textId="77777777" w:rsidTr="00B359C5">
        <w:trPr>
          <w:trHeight w:val="125"/>
          <w:jc w:val="center"/>
        </w:trPr>
        <w:tc>
          <w:tcPr>
            <w:tcW w:w="4661" w:type="dxa"/>
            <w:noWrap/>
            <w:vAlign w:val="center"/>
          </w:tcPr>
          <w:p w14:paraId="33ED41A6" w14:textId="77777777" w:rsidR="007C3F79" w:rsidRPr="00EB512D" w:rsidRDefault="007C3F79" w:rsidP="00B359C5">
            <w:pPr>
              <w:rPr>
                <w:b/>
                <w:bCs/>
                <w:i/>
                <w:iCs/>
                <w:lang w:eastAsia="sk-SK"/>
              </w:rPr>
            </w:pPr>
            <w:r w:rsidRPr="00EB512D">
              <w:rPr>
                <w:b/>
                <w:bCs/>
                <w:i/>
                <w:iCs/>
                <w:lang w:eastAsia="sk-SK"/>
              </w:rPr>
              <w:t>- vplyv na vyššie územné celky</w:t>
            </w:r>
          </w:p>
        </w:tc>
        <w:tc>
          <w:tcPr>
            <w:tcW w:w="1338" w:type="dxa"/>
            <w:noWrap/>
            <w:vAlign w:val="center"/>
          </w:tcPr>
          <w:p w14:paraId="2FFC4324"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7BA87AA4"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0975D91F"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09173156"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766A6D08" w14:textId="77777777" w:rsidTr="00B359C5">
        <w:trPr>
          <w:trHeight w:val="125"/>
          <w:jc w:val="center"/>
        </w:trPr>
        <w:tc>
          <w:tcPr>
            <w:tcW w:w="4661" w:type="dxa"/>
            <w:noWrap/>
            <w:vAlign w:val="center"/>
          </w:tcPr>
          <w:p w14:paraId="1402DA06" w14:textId="77777777" w:rsidR="007C3F79" w:rsidRPr="00EB512D" w:rsidRDefault="007C3F79" w:rsidP="00B359C5">
            <w:pPr>
              <w:rPr>
                <w:b/>
                <w:bCs/>
                <w:i/>
                <w:iCs/>
                <w:lang w:eastAsia="sk-SK"/>
              </w:rPr>
            </w:pPr>
            <w:r w:rsidRPr="00EB512D">
              <w:rPr>
                <w:b/>
                <w:bCs/>
                <w:i/>
                <w:iCs/>
                <w:lang w:eastAsia="sk-SK"/>
              </w:rPr>
              <w:t>- vplyv na ostatné subjekty verejnej správy</w:t>
            </w:r>
          </w:p>
        </w:tc>
        <w:tc>
          <w:tcPr>
            <w:tcW w:w="1338" w:type="dxa"/>
            <w:noWrap/>
            <w:vAlign w:val="center"/>
          </w:tcPr>
          <w:p w14:paraId="4C72D206"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6BF012B5"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40AA47C"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57551744"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897F134" w14:textId="77777777" w:rsidTr="00B359C5">
        <w:trPr>
          <w:trHeight w:val="125"/>
          <w:jc w:val="center"/>
        </w:trPr>
        <w:tc>
          <w:tcPr>
            <w:tcW w:w="4661" w:type="dxa"/>
            <w:shd w:val="clear" w:color="auto" w:fill="C0C0C0"/>
            <w:noWrap/>
            <w:vAlign w:val="center"/>
          </w:tcPr>
          <w:p w14:paraId="6BE5CA3C" w14:textId="77777777" w:rsidR="007C3F79" w:rsidRPr="00EB512D" w:rsidRDefault="007C3F79" w:rsidP="00B359C5">
            <w:pPr>
              <w:rPr>
                <w:b/>
                <w:bCs/>
                <w:lang w:eastAsia="sk-SK"/>
              </w:rPr>
            </w:pPr>
            <w:r w:rsidRPr="00EB512D">
              <w:rPr>
                <w:b/>
                <w:bCs/>
                <w:lang w:eastAsia="sk-SK"/>
              </w:rPr>
              <w:t>Výdavky verejnej správy celkom</w:t>
            </w:r>
          </w:p>
        </w:tc>
        <w:tc>
          <w:tcPr>
            <w:tcW w:w="1338" w:type="dxa"/>
            <w:shd w:val="clear" w:color="auto" w:fill="C0C0C0"/>
            <w:noWrap/>
            <w:vAlign w:val="center"/>
          </w:tcPr>
          <w:p w14:paraId="698C4339" w14:textId="77777777" w:rsidR="007C3F79" w:rsidRPr="00EB512D" w:rsidRDefault="007C3F79" w:rsidP="00B359C5">
            <w:pPr>
              <w:jc w:val="right"/>
              <w:rPr>
                <w:b/>
                <w:bCs/>
                <w:lang w:eastAsia="sk-SK"/>
              </w:rPr>
            </w:pPr>
            <w:r w:rsidRPr="00EB512D">
              <w:rPr>
                <w:b/>
                <w:bCs/>
                <w:iCs/>
                <w:lang w:eastAsia="sk-SK"/>
              </w:rPr>
              <w:t>1 800 000</w:t>
            </w:r>
          </w:p>
        </w:tc>
        <w:tc>
          <w:tcPr>
            <w:tcW w:w="1196" w:type="dxa"/>
            <w:shd w:val="clear" w:color="auto" w:fill="C0C0C0"/>
            <w:noWrap/>
            <w:vAlign w:val="center"/>
          </w:tcPr>
          <w:p w14:paraId="44FBE368" w14:textId="77777777" w:rsidR="007C3F79" w:rsidRPr="00EB512D" w:rsidRDefault="007C3F79" w:rsidP="00B359C5">
            <w:pPr>
              <w:jc w:val="right"/>
              <w:rPr>
                <w:b/>
                <w:bCs/>
                <w:lang w:eastAsia="sk-SK"/>
              </w:rPr>
            </w:pPr>
            <w:r w:rsidRPr="00EB512D">
              <w:rPr>
                <w:b/>
                <w:bCs/>
                <w:lang w:eastAsia="sk-SK"/>
              </w:rPr>
              <w:t>9 300 000</w:t>
            </w:r>
          </w:p>
        </w:tc>
        <w:tc>
          <w:tcPr>
            <w:tcW w:w="1267" w:type="dxa"/>
            <w:shd w:val="clear" w:color="auto" w:fill="C0C0C0"/>
            <w:noWrap/>
            <w:vAlign w:val="center"/>
          </w:tcPr>
          <w:p w14:paraId="0E4FF6BC" w14:textId="77777777" w:rsidR="007C3F79" w:rsidRPr="00EB512D" w:rsidRDefault="007C3F79" w:rsidP="00B359C5">
            <w:pPr>
              <w:jc w:val="right"/>
              <w:rPr>
                <w:b/>
                <w:bCs/>
                <w:lang w:eastAsia="sk-SK"/>
              </w:rPr>
            </w:pPr>
            <w:r w:rsidRPr="00EB512D">
              <w:rPr>
                <w:b/>
                <w:bCs/>
                <w:lang w:eastAsia="sk-SK"/>
              </w:rPr>
              <w:t>13 600 000</w:t>
            </w:r>
          </w:p>
        </w:tc>
        <w:tc>
          <w:tcPr>
            <w:tcW w:w="1267" w:type="dxa"/>
            <w:shd w:val="clear" w:color="auto" w:fill="C0C0C0"/>
            <w:noWrap/>
            <w:vAlign w:val="center"/>
          </w:tcPr>
          <w:p w14:paraId="2CB937A1" w14:textId="77777777" w:rsidR="007C3F79" w:rsidRPr="00EB512D" w:rsidRDefault="007C3F79" w:rsidP="00B359C5">
            <w:pPr>
              <w:jc w:val="right"/>
              <w:rPr>
                <w:b/>
                <w:bCs/>
                <w:lang w:eastAsia="sk-SK"/>
              </w:rPr>
            </w:pPr>
            <w:r w:rsidRPr="00EB512D">
              <w:rPr>
                <w:b/>
                <w:bCs/>
                <w:lang w:eastAsia="sk-SK"/>
              </w:rPr>
              <w:t xml:space="preserve">19 900 000   </w:t>
            </w:r>
          </w:p>
        </w:tc>
      </w:tr>
      <w:tr w:rsidR="007C3F79" w:rsidRPr="00EB512D" w14:paraId="3D2CF4F4" w14:textId="77777777" w:rsidTr="00B359C5">
        <w:trPr>
          <w:trHeight w:val="70"/>
          <w:jc w:val="center"/>
        </w:trPr>
        <w:tc>
          <w:tcPr>
            <w:tcW w:w="4661" w:type="dxa"/>
            <w:noWrap/>
            <w:vAlign w:val="center"/>
          </w:tcPr>
          <w:p w14:paraId="580D504D" w14:textId="77777777" w:rsidR="007C3F79" w:rsidRPr="00EB512D" w:rsidRDefault="007C3F79" w:rsidP="00B359C5">
            <w:pPr>
              <w:rPr>
                <w:lang w:eastAsia="sk-SK"/>
              </w:rPr>
            </w:pPr>
            <w:r w:rsidRPr="00EB512D">
              <w:rPr>
                <w:lang w:eastAsia="sk-SK"/>
              </w:rPr>
              <w:t>Úrad podpredsedu vlády SR pre investície a informatizáciu</w:t>
            </w:r>
          </w:p>
        </w:tc>
        <w:tc>
          <w:tcPr>
            <w:tcW w:w="1338" w:type="dxa"/>
            <w:noWrap/>
            <w:vAlign w:val="center"/>
          </w:tcPr>
          <w:p w14:paraId="11CE6FD8" w14:textId="77777777" w:rsidR="007C3F79" w:rsidRPr="00EB512D" w:rsidRDefault="007C3F79" w:rsidP="00B359C5">
            <w:pPr>
              <w:jc w:val="right"/>
              <w:rPr>
                <w:b/>
                <w:bCs/>
                <w:iCs/>
                <w:lang w:eastAsia="sk-SK"/>
              </w:rPr>
            </w:pPr>
            <w:r w:rsidRPr="00EB512D">
              <w:rPr>
                <w:b/>
                <w:bCs/>
                <w:iCs/>
                <w:lang w:eastAsia="sk-SK"/>
              </w:rPr>
              <w:t>1 800 000</w:t>
            </w:r>
          </w:p>
        </w:tc>
        <w:tc>
          <w:tcPr>
            <w:tcW w:w="1196" w:type="dxa"/>
            <w:noWrap/>
            <w:vAlign w:val="center"/>
          </w:tcPr>
          <w:p w14:paraId="37A56B17" w14:textId="77777777" w:rsidR="007C3F79" w:rsidRPr="00EB512D" w:rsidRDefault="007C3F79" w:rsidP="00B359C5">
            <w:pPr>
              <w:jc w:val="right"/>
              <w:rPr>
                <w:b/>
                <w:bCs/>
                <w:iCs/>
                <w:lang w:eastAsia="sk-SK"/>
              </w:rPr>
            </w:pPr>
            <w:r w:rsidRPr="00EB512D">
              <w:rPr>
                <w:b/>
                <w:bCs/>
                <w:iCs/>
                <w:lang w:eastAsia="sk-SK"/>
              </w:rPr>
              <w:t>3 320 000</w:t>
            </w:r>
          </w:p>
        </w:tc>
        <w:tc>
          <w:tcPr>
            <w:tcW w:w="1267" w:type="dxa"/>
            <w:noWrap/>
            <w:vAlign w:val="center"/>
          </w:tcPr>
          <w:p w14:paraId="600A1EFB" w14:textId="77777777" w:rsidR="007C3F79" w:rsidRPr="00EB512D" w:rsidRDefault="007C3F79" w:rsidP="00B359C5">
            <w:pPr>
              <w:jc w:val="right"/>
              <w:rPr>
                <w:b/>
                <w:bCs/>
                <w:iCs/>
                <w:lang w:eastAsia="sk-SK"/>
              </w:rPr>
            </w:pPr>
            <w:r w:rsidRPr="00EB512D">
              <w:rPr>
                <w:b/>
                <w:bCs/>
                <w:iCs/>
                <w:lang w:eastAsia="sk-SK"/>
              </w:rPr>
              <w:t>660 000</w:t>
            </w:r>
          </w:p>
        </w:tc>
        <w:tc>
          <w:tcPr>
            <w:tcW w:w="1267" w:type="dxa"/>
            <w:noWrap/>
            <w:vAlign w:val="center"/>
          </w:tcPr>
          <w:p w14:paraId="7F5363EA" w14:textId="77777777" w:rsidR="007C3F79" w:rsidRPr="00EB512D" w:rsidRDefault="007C3F79" w:rsidP="00B359C5">
            <w:pPr>
              <w:jc w:val="right"/>
              <w:rPr>
                <w:lang w:eastAsia="sk-SK"/>
              </w:rPr>
            </w:pPr>
            <w:r w:rsidRPr="00EB512D">
              <w:rPr>
                <w:lang w:eastAsia="sk-SK"/>
              </w:rPr>
              <w:t>0</w:t>
            </w:r>
          </w:p>
        </w:tc>
      </w:tr>
      <w:tr w:rsidR="007C3F79" w:rsidRPr="00EB512D" w14:paraId="2822D1E4" w14:textId="77777777" w:rsidTr="00B359C5">
        <w:trPr>
          <w:trHeight w:val="70"/>
          <w:jc w:val="center"/>
        </w:trPr>
        <w:tc>
          <w:tcPr>
            <w:tcW w:w="4661" w:type="dxa"/>
            <w:noWrap/>
            <w:vAlign w:val="center"/>
          </w:tcPr>
          <w:p w14:paraId="00BE12AE" w14:textId="77777777" w:rsidR="007C3F79" w:rsidRPr="00EB512D" w:rsidRDefault="007C3F79" w:rsidP="00B359C5">
            <w:pPr>
              <w:rPr>
                <w:b/>
                <w:bCs/>
                <w:i/>
                <w:iCs/>
                <w:lang w:eastAsia="sk-SK"/>
              </w:rPr>
            </w:pPr>
            <w:r w:rsidRPr="00EB512D">
              <w:rPr>
                <w:b/>
                <w:bCs/>
                <w:i/>
                <w:iCs/>
                <w:lang w:eastAsia="sk-SK"/>
              </w:rPr>
              <w:t xml:space="preserve">z toho: </w:t>
            </w:r>
          </w:p>
        </w:tc>
        <w:tc>
          <w:tcPr>
            <w:tcW w:w="1338" w:type="dxa"/>
            <w:noWrap/>
            <w:vAlign w:val="center"/>
          </w:tcPr>
          <w:p w14:paraId="16DF4F1E" w14:textId="77777777" w:rsidR="007C3F79" w:rsidRPr="00EB512D" w:rsidRDefault="007C3F79" w:rsidP="00B359C5">
            <w:pPr>
              <w:jc w:val="right"/>
              <w:rPr>
                <w:b/>
                <w:bCs/>
                <w:iCs/>
                <w:lang w:eastAsia="sk-SK"/>
              </w:rPr>
            </w:pPr>
          </w:p>
        </w:tc>
        <w:tc>
          <w:tcPr>
            <w:tcW w:w="1196" w:type="dxa"/>
            <w:noWrap/>
            <w:vAlign w:val="center"/>
          </w:tcPr>
          <w:p w14:paraId="0FEAE454" w14:textId="77777777" w:rsidR="007C3F79" w:rsidRPr="00EB512D" w:rsidRDefault="007C3F79" w:rsidP="00B359C5">
            <w:pPr>
              <w:jc w:val="right"/>
              <w:rPr>
                <w:b/>
                <w:bCs/>
                <w:iCs/>
                <w:lang w:eastAsia="sk-SK"/>
              </w:rPr>
            </w:pPr>
          </w:p>
        </w:tc>
        <w:tc>
          <w:tcPr>
            <w:tcW w:w="1267" w:type="dxa"/>
            <w:noWrap/>
            <w:vAlign w:val="center"/>
          </w:tcPr>
          <w:p w14:paraId="414632DC" w14:textId="77777777" w:rsidR="007C3F79" w:rsidRPr="00EB512D" w:rsidRDefault="007C3F79" w:rsidP="00B359C5">
            <w:pPr>
              <w:jc w:val="right"/>
              <w:rPr>
                <w:b/>
                <w:bCs/>
                <w:iCs/>
                <w:lang w:eastAsia="sk-SK"/>
              </w:rPr>
            </w:pPr>
          </w:p>
        </w:tc>
        <w:tc>
          <w:tcPr>
            <w:tcW w:w="1267" w:type="dxa"/>
            <w:noWrap/>
            <w:vAlign w:val="center"/>
          </w:tcPr>
          <w:p w14:paraId="3D19F6EE" w14:textId="77777777" w:rsidR="007C3F79" w:rsidRPr="00EB512D" w:rsidRDefault="007C3F79" w:rsidP="00B359C5">
            <w:pPr>
              <w:jc w:val="right"/>
              <w:rPr>
                <w:b/>
                <w:bCs/>
                <w:iCs/>
                <w:lang w:eastAsia="sk-SK"/>
              </w:rPr>
            </w:pPr>
          </w:p>
        </w:tc>
      </w:tr>
      <w:tr w:rsidR="007C3F79" w:rsidRPr="00EB512D" w14:paraId="125A4FF1" w14:textId="77777777" w:rsidTr="00B359C5">
        <w:trPr>
          <w:trHeight w:val="70"/>
          <w:jc w:val="center"/>
        </w:trPr>
        <w:tc>
          <w:tcPr>
            <w:tcW w:w="4661" w:type="dxa"/>
            <w:noWrap/>
            <w:vAlign w:val="center"/>
          </w:tcPr>
          <w:p w14:paraId="5ADAF1F7" w14:textId="77777777" w:rsidR="007C3F79" w:rsidRPr="00EB512D" w:rsidRDefault="007C3F79" w:rsidP="00B359C5">
            <w:pPr>
              <w:rPr>
                <w:b/>
                <w:bCs/>
                <w:i/>
                <w:iCs/>
                <w:lang w:eastAsia="sk-SK"/>
              </w:rPr>
            </w:pPr>
            <w:r w:rsidRPr="00EB512D">
              <w:rPr>
                <w:b/>
                <w:bCs/>
                <w:i/>
                <w:iCs/>
                <w:lang w:eastAsia="sk-SK"/>
              </w:rPr>
              <w:t>- vplyv na ŠR</w:t>
            </w:r>
          </w:p>
        </w:tc>
        <w:tc>
          <w:tcPr>
            <w:tcW w:w="1338" w:type="dxa"/>
            <w:noWrap/>
            <w:vAlign w:val="center"/>
          </w:tcPr>
          <w:p w14:paraId="1C817E47"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2ED632B3"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6A63CCC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1B2C5C8"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0510755" w14:textId="77777777" w:rsidTr="00B359C5">
        <w:trPr>
          <w:trHeight w:val="70"/>
          <w:jc w:val="center"/>
        </w:trPr>
        <w:tc>
          <w:tcPr>
            <w:tcW w:w="4661" w:type="dxa"/>
            <w:noWrap/>
            <w:vAlign w:val="center"/>
          </w:tcPr>
          <w:p w14:paraId="2DB99290" w14:textId="77777777" w:rsidR="007C3F79" w:rsidRPr="00EB512D" w:rsidRDefault="007C3F79" w:rsidP="00B359C5">
            <w:pPr>
              <w:ind w:left="259"/>
              <w:rPr>
                <w:b/>
                <w:bCs/>
                <w:i/>
                <w:iCs/>
                <w:lang w:eastAsia="sk-SK"/>
              </w:rPr>
            </w:pPr>
            <w:r w:rsidRPr="00EB512D">
              <w:rPr>
                <w:bCs/>
                <w:i/>
                <w:iCs/>
                <w:lang w:eastAsia="sk-SK"/>
              </w:rPr>
              <w:t>Rozpočtové prostriedky</w:t>
            </w:r>
          </w:p>
        </w:tc>
        <w:tc>
          <w:tcPr>
            <w:tcW w:w="1338" w:type="dxa"/>
            <w:noWrap/>
            <w:vAlign w:val="center"/>
          </w:tcPr>
          <w:p w14:paraId="43387920" w14:textId="77777777" w:rsidR="007C3F79" w:rsidRPr="00EB512D" w:rsidRDefault="007C3F79" w:rsidP="00B359C5">
            <w:pPr>
              <w:jc w:val="right"/>
              <w:rPr>
                <w:b/>
                <w:bCs/>
                <w:iCs/>
                <w:lang w:eastAsia="sk-SK"/>
              </w:rPr>
            </w:pPr>
            <w:r w:rsidRPr="00EB512D">
              <w:rPr>
                <w:b/>
                <w:bCs/>
                <w:iCs/>
                <w:lang w:eastAsia="sk-SK"/>
              </w:rPr>
              <w:t>1 800 000</w:t>
            </w:r>
          </w:p>
        </w:tc>
        <w:tc>
          <w:tcPr>
            <w:tcW w:w="1196" w:type="dxa"/>
            <w:noWrap/>
            <w:vAlign w:val="center"/>
          </w:tcPr>
          <w:p w14:paraId="688BA028" w14:textId="77777777" w:rsidR="007C3F79" w:rsidRPr="00EB512D" w:rsidRDefault="007C3F79" w:rsidP="00B359C5">
            <w:pPr>
              <w:jc w:val="right"/>
              <w:rPr>
                <w:b/>
                <w:bCs/>
                <w:iCs/>
                <w:lang w:eastAsia="sk-SK"/>
              </w:rPr>
            </w:pPr>
            <w:r w:rsidRPr="00EB512D">
              <w:rPr>
                <w:b/>
                <w:bCs/>
                <w:iCs/>
                <w:lang w:eastAsia="sk-SK"/>
              </w:rPr>
              <w:t>3 320 000</w:t>
            </w:r>
          </w:p>
        </w:tc>
        <w:tc>
          <w:tcPr>
            <w:tcW w:w="1267" w:type="dxa"/>
            <w:noWrap/>
            <w:vAlign w:val="center"/>
          </w:tcPr>
          <w:p w14:paraId="4F8C0F13" w14:textId="77777777" w:rsidR="007C3F79" w:rsidRPr="00EB512D" w:rsidRDefault="007C3F79" w:rsidP="00B359C5">
            <w:pPr>
              <w:jc w:val="right"/>
              <w:rPr>
                <w:b/>
                <w:bCs/>
                <w:iCs/>
                <w:lang w:eastAsia="sk-SK"/>
              </w:rPr>
            </w:pPr>
            <w:r w:rsidRPr="00EB512D">
              <w:rPr>
                <w:b/>
                <w:bCs/>
                <w:iCs/>
                <w:lang w:eastAsia="sk-SK"/>
              </w:rPr>
              <w:t>660 000</w:t>
            </w:r>
          </w:p>
        </w:tc>
        <w:tc>
          <w:tcPr>
            <w:tcW w:w="1267" w:type="dxa"/>
            <w:noWrap/>
            <w:vAlign w:val="center"/>
          </w:tcPr>
          <w:p w14:paraId="4B2B1EFF"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3E9D1CEA" w14:textId="77777777" w:rsidTr="00B359C5">
        <w:trPr>
          <w:trHeight w:val="70"/>
          <w:jc w:val="center"/>
        </w:trPr>
        <w:tc>
          <w:tcPr>
            <w:tcW w:w="4661" w:type="dxa"/>
            <w:noWrap/>
            <w:vAlign w:val="center"/>
          </w:tcPr>
          <w:p w14:paraId="4F933AE5" w14:textId="77777777" w:rsidR="007C3F79" w:rsidRPr="00EB512D" w:rsidRDefault="007C3F79" w:rsidP="00B359C5">
            <w:pPr>
              <w:rPr>
                <w:bCs/>
                <w:iCs/>
                <w:lang w:eastAsia="sk-SK"/>
              </w:rPr>
            </w:pPr>
            <w:r w:rsidRPr="00EB512D">
              <w:rPr>
                <w:bCs/>
                <w:i/>
                <w:iCs/>
                <w:lang w:eastAsia="sk-SK"/>
              </w:rPr>
              <w:t xml:space="preserve">    EÚ zdroje (Projekt EÚ na OpenAPI (OPII))                                               </w:t>
            </w:r>
          </w:p>
        </w:tc>
        <w:tc>
          <w:tcPr>
            <w:tcW w:w="1338" w:type="dxa"/>
            <w:noWrap/>
            <w:vAlign w:val="center"/>
          </w:tcPr>
          <w:p w14:paraId="5E473610" w14:textId="77777777" w:rsidR="007C3F79" w:rsidRPr="00EB512D" w:rsidRDefault="007C3F79" w:rsidP="00B359C5">
            <w:pPr>
              <w:jc w:val="right"/>
              <w:rPr>
                <w:lang w:eastAsia="sk-SK"/>
              </w:rPr>
            </w:pPr>
          </w:p>
        </w:tc>
        <w:tc>
          <w:tcPr>
            <w:tcW w:w="1196" w:type="dxa"/>
            <w:noWrap/>
            <w:vAlign w:val="center"/>
          </w:tcPr>
          <w:p w14:paraId="6CF1D99A" w14:textId="77777777" w:rsidR="007C3F79" w:rsidRPr="00EB512D" w:rsidRDefault="007C3F79" w:rsidP="00B359C5">
            <w:pPr>
              <w:jc w:val="right"/>
              <w:rPr>
                <w:lang w:eastAsia="sk-SK"/>
              </w:rPr>
            </w:pPr>
            <w:r w:rsidRPr="00EB512D">
              <w:rPr>
                <w:lang w:eastAsia="sk-SK"/>
              </w:rPr>
              <w:t>5 000 000</w:t>
            </w:r>
          </w:p>
        </w:tc>
        <w:tc>
          <w:tcPr>
            <w:tcW w:w="1267" w:type="dxa"/>
            <w:noWrap/>
            <w:vAlign w:val="center"/>
          </w:tcPr>
          <w:p w14:paraId="1535E854" w14:textId="77777777" w:rsidR="007C3F79" w:rsidRPr="00EB512D" w:rsidRDefault="007C3F79" w:rsidP="00B359C5">
            <w:pPr>
              <w:jc w:val="center"/>
              <w:rPr>
                <w:lang w:eastAsia="sk-SK"/>
              </w:rPr>
            </w:pPr>
            <w:r w:rsidRPr="00EB512D">
              <w:rPr>
                <w:lang w:eastAsia="sk-SK"/>
              </w:rPr>
              <w:t>10 000 000</w:t>
            </w:r>
          </w:p>
        </w:tc>
        <w:tc>
          <w:tcPr>
            <w:tcW w:w="1267" w:type="dxa"/>
            <w:noWrap/>
            <w:vAlign w:val="center"/>
          </w:tcPr>
          <w:p w14:paraId="501E89E6" w14:textId="77777777" w:rsidR="007C3F79" w:rsidRPr="00EB512D" w:rsidRDefault="007C3F79" w:rsidP="00B359C5">
            <w:pPr>
              <w:jc w:val="right"/>
              <w:rPr>
                <w:lang w:eastAsia="sk-SK"/>
              </w:rPr>
            </w:pPr>
            <w:r w:rsidRPr="00EB512D">
              <w:rPr>
                <w:lang w:eastAsia="sk-SK"/>
              </w:rPr>
              <w:t>15 000 000</w:t>
            </w:r>
          </w:p>
        </w:tc>
      </w:tr>
      <w:tr w:rsidR="007C3F79" w:rsidRPr="00EB512D" w14:paraId="5DE2958C" w14:textId="77777777" w:rsidTr="00B359C5">
        <w:trPr>
          <w:trHeight w:val="70"/>
          <w:jc w:val="center"/>
        </w:trPr>
        <w:tc>
          <w:tcPr>
            <w:tcW w:w="4661" w:type="dxa"/>
            <w:noWrap/>
            <w:vAlign w:val="center"/>
          </w:tcPr>
          <w:p w14:paraId="2C6B071D" w14:textId="77777777" w:rsidR="007C3F79" w:rsidRPr="00EB512D" w:rsidRDefault="007C3F79" w:rsidP="00B359C5">
            <w:pPr>
              <w:rPr>
                <w:bCs/>
                <w:iCs/>
                <w:lang w:eastAsia="sk-SK"/>
              </w:rPr>
            </w:pPr>
            <w:r w:rsidRPr="00EB512D">
              <w:rPr>
                <w:bCs/>
                <w:i/>
                <w:iCs/>
                <w:lang w:eastAsia="sk-SK"/>
              </w:rPr>
              <w:t xml:space="preserve">    Spolufinancovanie</w:t>
            </w:r>
          </w:p>
        </w:tc>
        <w:tc>
          <w:tcPr>
            <w:tcW w:w="1338" w:type="dxa"/>
            <w:noWrap/>
            <w:vAlign w:val="center"/>
          </w:tcPr>
          <w:p w14:paraId="20FCAFAA" w14:textId="77777777" w:rsidR="007C3F79" w:rsidRPr="00EB512D" w:rsidRDefault="007C3F79" w:rsidP="00B359C5">
            <w:pPr>
              <w:jc w:val="right"/>
              <w:rPr>
                <w:lang w:eastAsia="sk-SK"/>
              </w:rPr>
            </w:pPr>
            <w:r w:rsidRPr="00EB512D">
              <w:rPr>
                <w:lang w:eastAsia="sk-SK"/>
              </w:rPr>
              <w:t>0</w:t>
            </w:r>
          </w:p>
        </w:tc>
        <w:tc>
          <w:tcPr>
            <w:tcW w:w="1196" w:type="dxa"/>
            <w:noWrap/>
            <w:vAlign w:val="center"/>
          </w:tcPr>
          <w:p w14:paraId="18EBD537" w14:textId="77777777" w:rsidR="007C3F79" w:rsidRPr="00EB512D" w:rsidRDefault="007C3F79" w:rsidP="00B359C5">
            <w:pPr>
              <w:jc w:val="right"/>
              <w:rPr>
                <w:lang w:eastAsia="sk-SK"/>
              </w:rPr>
            </w:pPr>
            <w:r w:rsidRPr="00EB512D">
              <w:rPr>
                <w:lang w:eastAsia="sk-SK"/>
              </w:rPr>
              <w:t> 980 000</w:t>
            </w:r>
          </w:p>
        </w:tc>
        <w:tc>
          <w:tcPr>
            <w:tcW w:w="1267" w:type="dxa"/>
            <w:noWrap/>
            <w:vAlign w:val="center"/>
          </w:tcPr>
          <w:p w14:paraId="2A5F6B42" w14:textId="77777777" w:rsidR="007C3F79" w:rsidRPr="00EB512D" w:rsidRDefault="007C3F79" w:rsidP="00B359C5">
            <w:pPr>
              <w:jc w:val="right"/>
              <w:rPr>
                <w:lang w:eastAsia="sk-SK"/>
              </w:rPr>
            </w:pPr>
            <w:r w:rsidRPr="00EB512D">
              <w:rPr>
                <w:lang w:eastAsia="sk-SK"/>
              </w:rPr>
              <w:t>2 940 000</w:t>
            </w:r>
          </w:p>
        </w:tc>
        <w:tc>
          <w:tcPr>
            <w:tcW w:w="1267" w:type="dxa"/>
            <w:noWrap/>
            <w:vAlign w:val="center"/>
          </w:tcPr>
          <w:p w14:paraId="29A2995F" w14:textId="77777777" w:rsidR="007C3F79" w:rsidRPr="00EB512D" w:rsidRDefault="007C3F79" w:rsidP="00B359C5">
            <w:pPr>
              <w:jc w:val="right"/>
              <w:rPr>
                <w:lang w:eastAsia="sk-SK"/>
              </w:rPr>
            </w:pPr>
            <w:r w:rsidRPr="00EB512D">
              <w:rPr>
                <w:lang w:eastAsia="sk-SK"/>
              </w:rPr>
              <w:t>4 900 000</w:t>
            </w:r>
          </w:p>
        </w:tc>
      </w:tr>
      <w:tr w:rsidR="007C3F79" w:rsidRPr="00EB512D" w14:paraId="575A7729" w14:textId="77777777" w:rsidTr="00B359C5">
        <w:trPr>
          <w:trHeight w:val="125"/>
          <w:jc w:val="center"/>
        </w:trPr>
        <w:tc>
          <w:tcPr>
            <w:tcW w:w="4661" w:type="dxa"/>
            <w:noWrap/>
            <w:vAlign w:val="center"/>
          </w:tcPr>
          <w:p w14:paraId="588FF300" w14:textId="77777777" w:rsidR="007C3F79" w:rsidRPr="00EB512D" w:rsidRDefault="007C3F79" w:rsidP="00B359C5">
            <w:pPr>
              <w:rPr>
                <w:b/>
                <w:bCs/>
                <w:i/>
                <w:iCs/>
                <w:lang w:eastAsia="sk-SK"/>
              </w:rPr>
            </w:pPr>
            <w:r w:rsidRPr="00EB512D">
              <w:rPr>
                <w:b/>
                <w:bCs/>
                <w:i/>
                <w:iCs/>
                <w:lang w:eastAsia="sk-SK"/>
              </w:rPr>
              <w:t>- vplyv na obce</w:t>
            </w:r>
          </w:p>
        </w:tc>
        <w:tc>
          <w:tcPr>
            <w:tcW w:w="1338" w:type="dxa"/>
            <w:noWrap/>
            <w:vAlign w:val="center"/>
          </w:tcPr>
          <w:p w14:paraId="256A2A5B"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74E7B95A"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8BE98CB"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42F8A18D"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108CBFF5" w14:textId="77777777" w:rsidTr="00B359C5">
        <w:trPr>
          <w:trHeight w:val="125"/>
          <w:jc w:val="center"/>
        </w:trPr>
        <w:tc>
          <w:tcPr>
            <w:tcW w:w="4661" w:type="dxa"/>
            <w:noWrap/>
            <w:vAlign w:val="center"/>
          </w:tcPr>
          <w:p w14:paraId="449A5109" w14:textId="77777777" w:rsidR="007C3F79" w:rsidRPr="00EB512D" w:rsidRDefault="007C3F79" w:rsidP="00B359C5">
            <w:pPr>
              <w:rPr>
                <w:b/>
                <w:bCs/>
                <w:i/>
                <w:iCs/>
                <w:lang w:eastAsia="sk-SK"/>
              </w:rPr>
            </w:pPr>
            <w:r w:rsidRPr="00EB512D">
              <w:rPr>
                <w:b/>
                <w:bCs/>
                <w:i/>
                <w:iCs/>
                <w:lang w:eastAsia="sk-SK"/>
              </w:rPr>
              <w:t>- vplyv na vyššie územné celky</w:t>
            </w:r>
          </w:p>
        </w:tc>
        <w:tc>
          <w:tcPr>
            <w:tcW w:w="1338" w:type="dxa"/>
            <w:noWrap/>
            <w:vAlign w:val="center"/>
          </w:tcPr>
          <w:p w14:paraId="6F23AABF"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465A517B"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1F4AB56"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25DB8F0"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1D2D2889" w14:textId="77777777" w:rsidTr="00B359C5">
        <w:trPr>
          <w:trHeight w:val="70"/>
          <w:jc w:val="center"/>
        </w:trPr>
        <w:tc>
          <w:tcPr>
            <w:tcW w:w="4661" w:type="dxa"/>
            <w:noWrap/>
            <w:vAlign w:val="center"/>
          </w:tcPr>
          <w:p w14:paraId="02ACDBB8" w14:textId="77777777" w:rsidR="007C3F79" w:rsidRPr="00EB512D" w:rsidRDefault="007C3F79" w:rsidP="00B359C5">
            <w:pPr>
              <w:rPr>
                <w:b/>
                <w:bCs/>
                <w:lang w:eastAsia="sk-SK"/>
              </w:rPr>
            </w:pPr>
            <w:r w:rsidRPr="00EB512D">
              <w:rPr>
                <w:b/>
                <w:bCs/>
                <w:i/>
                <w:iCs/>
                <w:lang w:eastAsia="sk-SK"/>
              </w:rPr>
              <w:t>- vplyv na ostatné subjekty verejnej správy</w:t>
            </w:r>
          </w:p>
        </w:tc>
        <w:tc>
          <w:tcPr>
            <w:tcW w:w="1338" w:type="dxa"/>
            <w:noWrap/>
            <w:vAlign w:val="center"/>
          </w:tcPr>
          <w:p w14:paraId="3C75E0C9"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113D48AE"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719F487"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39C6DD86"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6E3C6557" w14:textId="77777777" w:rsidTr="00B359C5">
        <w:trPr>
          <w:trHeight w:val="70"/>
          <w:jc w:val="center"/>
        </w:trPr>
        <w:tc>
          <w:tcPr>
            <w:tcW w:w="4661" w:type="dxa"/>
            <w:shd w:val="clear" w:color="auto" w:fill="BFBFBF"/>
            <w:noWrap/>
            <w:vAlign w:val="center"/>
          </w:tcPr>
          <w:p w14:paraId="6878D4DA" w14:textId="77777777" w:rsidR="007C3F79" w:rsidRPr="00EB512D" w:rsidRDefault="007C3F79" w:rsidP="00B359C5">
            <w:pPr>
              <w:rPr>
                <w:b/>
                <w:bCs/>
                <w:lang w:eastAsia="sk-SK"/>
              </w:rPr>
            </w:pPr>
            <w:r w:rsidRPr="00EB512D">
              <w:rPr>
                <w:b/>
                <w:bCs/>
                <w:lang w:eastAsia="sk-SK"/>
              </w:rPr>
              <w:t xml:space="preserve">Vplyv na počet zamestnancov </w:t>
            </w:r>
          </w:p>
        </w:tc>
        <w:tc>
          <w:tcPr>
            <w:tcW w:w="1338" w:type="dxa"/>
            <w:shd w:val="clear" w:color="auto" w:fill="BFBFBF"/>
            <w:noWrap/>
            <w:vAlign w:val="center"/>
          </w:tcPr>
          <w:p w14:paraId="7E8A9B2A" w14:textId="77777777" w:rsidR="007C3F79" w:rsidRPr="00EB512D" w:rsidRDefault="007C3F79" w:rsidP="00B359C5">
            <w:pPr>
              <w:jc w:val="right"/>
              <w:rPr>
                <w:b/>
                <w:bCs/>
                <w:lang w:eastAsia="sk-SK"/>
              </w:rPr>
            </w:pPr>
            <w:r w:rsidRPr="00EB512D">
              <w:rPr>
                <w:b/>
                <w:bCs/>
                <w:lang w:eastAsia="sk-SK"/>
              </w:rPr>
              <w:t>0</w:t>
            </w:r>
          </w:p>
        </w:tc>
        <w:tc>
          <w:tcPr>
            <w:tcW w:w="1196" w:type="dxa"/>
            <w:shd w:val="clear" w:color="auto" w:fill="BFBFBF"/>
            <w:noWrap/>
            <w:vAlign w:val="center"/>
          </w:tcPr>
          <w:p w14:paraId="266F90A5"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BFBFBF"/>
            <w:noWrap/>
            <w:vAlign w:val="center"/>
          </w:tcPr>
          <w:p w14:paraId="210CE37C"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BFBFBF"/>
            <w:noWrap/>
            <w:vAlign w:val="center"/>
          </w:tcPr>
          <w:p w14:paraId="067FC1D9" w14:textId="77777777" w:rsidR="007C3F79" w:rsidRPr="00EB512D" w:rsidRDefault="007C3F79" w:rsidP="00B359C5">
            <w:pPr>
              <w:jc w:val="right"/>
              <w:rPr>
                <w:b/>
                <w:bCs/>
                <w:lang w:eastAsia="sk-SK"/>
              </w:rPr>
            </w:pPr>
            <w:r w:rsidRPr="00EB512D">
              <w:rPr>
                <w:b/>
                <w:bCs/>
                <w:lang w:eastAsia="sk-SK"/>
              </w:rPr>
              <w:t>0</w:t>
            </w:r>
          </w:p>
        </w:tc>
      </w:tr>
      <w:tr w:rsidR="007C3F79" w:rsidRPr="00EB512D" w14:paraId="1E6B2E04" w14:textId="77777777" w:rsidTr="00B359C5">
        <w:trPr>
          <w:trHeight w:val="70"/>
          <w:jc w:val="center"/>
        </w:trPr>
        <w:tc>
          <w:tcPr>
            <w:tcW w:w="4661" w:type="dxa"/>
            <w:noWrap/>
            <w:vAlign w:val="center"/>
          </w:tcPr>
          <w:p w14:paraId="1E08ADB3" w14:textId="77777777" w:rsidR="007C3F79" w:rsidRPr="00EB512D" w:rsidRDefault="007C3F79" w:rsidP="00B359C5">
            <w:pPr>
              <w:rPr>
                <w:b/>
                <w:bCs/>
                <w:i/>
                <w:iCs/>
                <w:lang w:eastAsia="sk-SK"/>
              </w:rPr>
            </w:pPr>
            <w:r w:rsidRPr="00EB512D">
              <w:rPr>
                <w:b/>
                <w:bCs/>
                <w:i/>
                <w:iCs/>
                <w:lang w:eastAsia="sk-SK"/>
              </w:rPr>
              <w:t>- vplyv na ŠR</w:t>
            </w:r>
          </w:p>
        </w:tc>
        <w:tc>
          <w:tcPr>
            <w:tcW w:w="1338" w:type="dxa"/>
            <w:noWrap/>
            <w:vAlign w:val="center"/>
          </w:tcPr>
          <w:p w14:paraId="4DFC5F81"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65E8A988"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29BCC629"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4A0AE11F"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365E9BF" w14:textId="77777777" w:rsidTr="00B359C5">
        <w:trPr>
          <w:trHeight w:val="70"/>
          <w:jc w:val="center"/>
        </w:trPr>
        <w:tc>
          <w:tcPr>
            <w:tcW w:w="4661" w:type="dxa"/>
            <w:noWrap/>
            <w:vAlign w:val="center"/>
          </w:tcPr>
          <w:p w14:paraId="10D11B6F" w14:textId="77777777" w:rsidR="007C3F79" w:rsidRPr="00EB512D" w:rsidRDefault="007C3F79" w:rsidP="00B359C5">
            <w:pPr>
              <w:rPr>
                <w:b/>
                <w:bCs/>
                <w:i/>
                <w:iCs/>
                <w:lang w:eastAsia="sk-SK"/>
              </w:rPr>
            </w:pPr>
            <w:r w:rsidRPr="00EB512D">
              <w:rPr>
                <w:b/>
                <w:bCs/>
                <w:i/>
                <w:iCs/>
                <w:lang w:eastAsia="sk-SK"/>
              </w:rPr>
              <w:t>- vplyv na obce</w:t>
            </w:r>
          </w:p>
        </w:tc>
        <w:tc>
          <w:tcPr>
            <w:tcW w:w="1338" w:type="dxa"/>
            <w:noWrap/>
            <w:vAlign w:val="center"/>
          </w:tcPr>
          <w:p w14:paraId="41162BD8"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0A9CD1FE"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3D30AC8E"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0F588EAB"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5D39A87F" w14:textId="77777777" w:rsidTr="00B359C5">
        <w:trPr>
          <w:trHeight w:val="70"/>
          <w:jc w:val="center"/>
        </w:trPr>
        <w:tc>
          <w:tcPr>
            <w:tcW w:w="4661" w:type="dxa"/>
            <w:noWrap/>
            <w:vAlign w:val="center"/>
          </w:tcPr>
          <w:p w14:paraId="07C52400" w14:textId="77777777" w:rsidR="007C3F79" w:rsidRPr="00EB512D" w:rsidRDefault="007C3F79" w:rsidP="00B359C5">
            <w:pPr>
              <w:rPr>
                <w:b/>
                <w:bCs/>
                <w:i/>
                <w:iCs/>
                <w:lang w:eastAsia="sk-SK"/>
              </w:rPr>
            </w:pPr>
            <w:r w:rsidRPr="00EB512D">
              <w:rPr>
                <w:b/>
                <w:bCs/>
                <w:i/>
                <w:iCs/>
                <w:lang w:eastAsia="sk-SK"/>
              </w:rPr>
              <w:t>- vplyv na vyššie územné celky</w:t>
            </w:r>
          </w:p>
        </w:tc>
        <w:tc>
          <w:tcPr>
            <w:tcW w:w="1338" w:type="dxa"/>
            <w:noWrap/>
            <w:vAlign w:val="center"/>
          </w:tcPr>
          <w:p w14:paraId="3102BEC9"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515DF3FE"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C664259"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A0C1977"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7D4E7508" w14:textId="77777777" w:rsidTr="00B359C5">
        <w:trPr>
          <w:trHeight w:val="70"/>
          <w:jc w:val="center"/>
        </w:trPr>
        <w:tc>
          <w:tcPr>
            <w:tcW w:w="4661" w:type="dxa"/>
            <w:noWrap/>
            <w:vAlign w:val="center"/>
          </w:tcPr>
          <w:p w14:paraId="0801E7CE" w14:textId="77777777" w:rsidR="007C3F79" w:rsidRPr="00EB512D" w:rsidRDefault="007C3F79" w:rsidP="00B359C5">
            <w:pPr>
              <w:rPr>
                <w:b/>
                <w:bCs/>
                <w:i/>
                <w:iCs/>
                <w:lang w:eastAsia="sk-SK"/>
              </w:rPr>
            </w:pPr>
            <w:r w:rsidRPr="00EB512D">
              <w:rPr>
                <w:b/>
                <w:bCs/>
                <w:i/>
                <w:iCs/>
                <w:lang w:eastAsia="sk-SK"/>
              </w:rPr>
              <w:t>- vplyv na ostatné subjekty verejnej správy</w:t>
            </w:r>
          </w:p>
        </w:tc>
        <w:tc>
          <w:tcPr>
            <w:tcW w:w="1338" w:type="dxa"/>
            <w:noWrap/>
            <w:vAlign w:val="center"/>
          </w:tcPr>
          <w:p w14:paraId="4C26913E"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7E9ED555"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2E6B079B"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5B0F842C"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45ED8072" w14:textId="77777777" w:rsidTr="00B359C5">
        <w:trPr>
          <w:trHeight w:val="70"/>
          <w:jc w:val="center"/>
        </w:trPr>
        <w:tc>
          <w:tcPr>
            <w:tcW w:w="4661" w:type="dxa"/>
            <w:shd w:val="clear" w:color="auto" w:fill="BFBFBF"/>
            <w:noWrap/>
            <w:vAlign w:val="center"/>
          </w:tcPr>
          <w:p w14:paraId="45ECA712" w14:textId="77777777" w:rsidR="007C3F79" w:rsidRPr="00EB512D" w:rsidRDefault="007C3F79" w:rsidP="00B359C5">
            <w:pPr>
              <w:rPr>
                <w:b/>
                <w:lang w:eastAsia="sk-SK"/>
              </w:rPr>
            </w:pPr>
            <w:r w:rsidRPr="00EB512D">
              <w:rPr>
                <w:b/>
                <w:lang w:eastAsia="sk-SK"/>
              </w:rPr>
              <w:t>Vplyv na mzdové výdavky</w:t>
            </w:r>
          </w:p>
        </w:tc>
        <w:tc>
          <w:tcPr>
            <w:tcW w:w="1338" w:type="dxa"/>
            <w:shd w:val="clear" w:color="auto" w:fill="BFBFBF"/>
            <w:noWrap/>
            <w:vAlign w:val="center"/>
          </w:tcPr>
          <w:p w14:paraId="22D23E6C" w14:textId="77777777" w:rsidR="007C3F79" w:rsidRPr="00EB512D" w:rsidRDefault="007C3F79" w:rsidP="00B359C5">
            <w:pPr>
              <w:jc w:val="right"/>
              <w:rPr>
                <w:b/>
                <w:lang w:eastAsia="sk-SK"/>
              </w:rPr>
            </w:pPr>
            <w:r w:rsidRPr="00EB512D">
              <w:rPr>
                <w:b/>
                <w:lang w:eastAsia="sk-SK"/>
              </w:rPr>
              <w:t>0</w:t>
            </w:r>
          </w:p>
        </w:tc>
        <w:tc>
          <w:tcPr>
            <w:tcW w:w="1196" w:type="dxa"/>
            <w:shd w:val="clear" w:color="auto" w:fill="BFBFBF"/>
            <w:noWrap/>
            <w:vAlign w:val="center"/>
          </w:tcPr>
          <w:p w14:paraId="76B189C0" w14:textId="77777777" w:rsidR="007C3F79" w:rsidRPr="00EB512D" w:rsidRDefault="007C3F79" w:rsidP="00B359C5">
            <w:pPr>
              <w:jc w:val="right"/>
              <w:rPr>
                <w:b/>
                <w:lang w:eastAsia="sk-SK"/>
              </w:rPr>
            </w:pPr>
            <w:r w:rsidRPr="00EB512D">
              <w:rPr>
                <w:b/>
                <w:lang w:eastAsia="sk-SK"/>
              </w:rPr>
              <w:t>0</w:t>
            </w:r>
          </w:p>
        </w:tc>
        <w:tc>
          <w:tcPr>
            <w:tcW w:w="1267" w:type="dxa"/>
            <w:shd w:val="clear" w:color="auto" w:fill="BFBFBF"/>
            <w:noWrap/>
            <w:vAlign w:val="center"/>
          </w:tcPr>
          <w:p w14:paraId="13FE86C2" w14:textId="77777777" w:rsidR="007C3F79" w:rsidRPr="00EB512D" w:rsidRDefault="007C3F79" w:rsidP="00B359C5">
            <w:pPr>
              <w:jc w:val="right"/>
              <w:rPr>
                <w:b/>
                <w:lang w:eastAsia="sk-SK"/>
              </w:rPr>
            </w:pPr>
            <w:r w:rsidRPr="00EB512D">
              <w:rPr>
                <w:b/>
                <w:lang w:eastAsia="sk-SK"/>
              </w:rPr>
              <w:t>0</w:t>
            </w:r>
          </w:p>
        </w:tc>
        <w:tc>
          <w:tcPr>
            <w:tcW w:w="1267" w:type="dxa"/>
            <w:shd w:val="clear" w:color="auto" w:fill="BFBFBF"/>
            <w:noWrap/>
            <w:vAlign w:val="center"/>
          </w:tcPr>
          <w:p w14:paraId="26848BA2" w14:textId="77777777" w:rsidR="007C3F79" w:rsidRPr="00EB512D" w:rsidRDefault="007C3F79" w:rsidP="00B359C5">
            <w:pPr>
              <w:jc w:val="right"/>
              <w:rPr>
                <w:b/>
                <w:lang w:eastAsia="sk-SK"/>
              </w:rPr>
            </w:pPr>
            <w:r w:rsidRPr="00EB512D">
              <w:rPr>
                <w:b/>
                <w:lang w:eastAsia="sk-SK"/>
              </w:rPr>
              <w:t>0</w:t>
            </w:r>
          </w:p>
        </w:tc>
      </w:tr>
      <w:tr w:rsidR="007C3F79" w:rsidRPr="00EB512D" w14:paraId="17EF7033" w14:textId="77777777" w:rsidTr="00B359C5">
        <w:trPr>
          <w:trHeight w:val="70"/>
          <w:jc w:val="center"/>
        </w:trPr>
        <w:tc>
          <w:tcPr>
            <w:tcW w:w="4661" w:type="dxa"/>
            <w:noWrap/>
            <w:vAlign w:val="center"/>
          </w:tcPr>
          <w:p w14:paraId="436570E7" w14:textId="77777777" w:rsidR="007C3F79" w:rsidRPr="00EB512D" w:rsidRDefault="007C3F79" w:rsidP="00B359C5">
            <w:pPr>
              <w:rPr>
                <w:b/>
                <w:bCs/>
                <w:i/>
                <w:iCs/>
                <w:lang w:eastAsia="sk-SK"/>
              </w:rPr>
            </w:pPr>
            <w:r w:rsidRPr="00EB512D">
              <w:rPr>
                <w:b/>
                <w:bCs/>
                <w:i/>
                <w:iCs/>
                <w:lang w:eastAsia="sk-SK"/>
              </w:rPr>
              <w:t>- vplyv na ŠR</w:t>
            </w:r>
          </w:p>
        </w:tc>
        <w:tc>
          <w:tcPr>
            <w:tcW w:w="1338" w:type="dxa"/>
            <w:noWrap/>
            <w:vAlign w:val="center"/>
          </w:tcPr>
          <w:p w14:paraId="25A91F71"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6427FD8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6D351454"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2859CBE2"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24C2E7E2" w14:textId="77777777" w:rsidTr="00B359C5">
        <w:trPr>
          <w:trHeight w:val="70"/>
          <w:jc w:val="center"/>
        </w:trPr>
        <w:tc>
          <w:tcPr>
            <w:tcW w:w="4661" w:type="dxa"/>
            <w:noWrap/>
            <w:vAlign w:val="center"/>
          </w:tcPr>
          <w:p w14:paraId="57B018DC" w14:textId="77777777" w:rsidR="007C3F79" w:rsidRPr="00EB512D" w:rsidRDefault="007C3F79" w:rsidP="00B359C5">
            <w:pPr>
              <w:rPr>
                <w:b/>
                <w:bCs/>
                <w:i/>
                <w:iCs/>
                <w:lang w:eastAsia="sk-SK"/>
              </w:rPr>
            </w:pPr>
            <w:r w:rsidRPr="00EB512D">
              <w:rPr>
                <w:b/>
                <w:bCs/>
                <w:i/>
                <w:iCs/>
                <w:lang w:eastAsia="sk-SK"/>
              </w:rPr>
              <w:t>- vplyv na obce</w:t>
            </w:r>
          </w:p>
        </w:tc>
        <w:tc>
          <w:tcPr>
            <w:tcW w:w="1338" w:type="dxa"/>
            <w:noWrap/>
            <w:vAlign w:val="center"/>
          </w:tcPr>
          <w:p w14:paraId="19B6A2F1"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0E95A41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DC3A93F"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6408889"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1C00E0F6" w14:textId="77777777" w:rsidTr="00B359C5">
        <w:trPr>
          <w:trHeight w:val="70"/>
          <w:jc w:val="center"/>
        </w:trPr>
        <w:tc>
          <w:tcPr>
            <w:tcW w:w="4661" w:type="dxa"/>
            <w:noWrap/>
            <w:vAlign w:val="center"/>
          </w:tcPr>
          <w:p w14:paraId="6446832B" w14:textId="77777777" w:rsidR="007C3F79" w:rsidRPr="00EB512D" w:rsidRDefault="007C3F79" w:rsidP="00B359C5">
            <w:pPr>
              <w:rPr>
                <w:b/>
                <w:bCs/>
                <w:i/>
                <w:iCs/>
                <w:lang w:eastAsia="sk-SK"/>
              </w:rPr>
            </w:pPr>
            <w:r w:rsidRPr="00EB512D">
              <w:rPr>
                <w:b/>
                <w:bCs/>
                <w:i/>
                <w:iCs/>
                <w:lang w:eastAsia="sk-SK"/>
              </w:rPr>
              <w:t>- vplyv na vyššie územné celky</w:t>
            </w:r>
          </w:p>
        </w:tc>
        <w:tc>
          <w:tcPr>
            <w:tcW w:w="1338" w:type="dxa"/>
            <w:noWrap/>
            <w:vAlign w:val="center"/>
          </w:tcPr>
          <w:p w14:paraId="00230010"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59C60774"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1D18DC57"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5DC9A662"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1FF435E6" w14:textId="77777777" w:rsidTr="00B359C5">
        <w:trPr>
          <w:trHeight w:val="70"/>
          <w:jc w:val="center"/>
        </w:trPr>
        <w:tc>
          <w:tcPr>
            <w:tcW w:w="4661" w:type="dxa"/>
            <w:noWrap/>
            <w:vAlign w:val="center"/>
          </w:tcPr>
          <w:p w14:paraId="68C2EB4C" w14:textId="77777777" w:rsidR="007C3F79" w:rsidRPr="00EB512D" w:rsidRDefault="007C3F79" w:rsidP="00B359C5">
            <w:pPr>
              <w:rPr>
                <w:b/>
                <w:bCs/>
                <w:lang w:eastAsia="sk-SK"/>
              </w:rPr>
            </w:pPr>
            <w:r w:rsidRPr="00EB512D">
              <w:rPr>
                <w:b/>
                <w:bCs/>
                <w:i/>
                <w:iCs/>
                <w:lang w:eastAsia="sk-SK"/>
              </w:rPr>
              <w:t>- vplyv na ostatné subjekty verejnej správy</w:t>
            </w:r>
          </w:p>
        </w:tc>
        <w:tc>
          <w:tcPr>
            <w:tcW w:w="1338" w:type="dxa"/>
            <w:noWrap/>
            <w:vAlign w:val="center"/>
          </w:tcPr>
          <w:p w14:paraId="18C9A9B7" w14:textId="77777777" w:rsidR="007C3F79" w:rsidRPr="00EB512D" w:rsidRDefault="007C3F79" w:rsidP="00B359C5">
            <w:pPr>
              <w:jc w:val="right"/>
              <w:rPr>
                <w:b/>
                <w:bCs/>
                <w:iCs/>
                <w:lang w:eastAsia="sk-SK"/>
              </w:rPr>
            </w:pPr>
            <w:r w:rsidRPr="00EB512D">
              <w:rPr>
                <w:b/>
                <w:bCs/>
                <w:iCs/>
                <w:lang w:eastAsia="sk-SK"/>
              </w:rPr>
              <w:t>0</w:t>
            </w:r>
          </w:p>
        </w:tc>
        <w:tc>
          <w:tcPr>
            <w:tcW w:w="1196" w:type="dxa"/>
            <w:noWrap/>
            <w:vAlign w:val="center"/>
          </w:tcPr>
          <w:p w14:paraId="0B80829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5C1D80D0" w14:textId="77777777" w:rsidR="007C3F79" w:rsidRPr="00EB512D" w:rsidRDefault="007C3F79" w:rsidP="00B359C5">
            <w:pPr>
              <w:jc w:val="right"/>
              <w:rPr>
                <w:b/>
                <w:bCs/>
                <w:iCs/>
                <w:lang w:eastAsia="sk-SK"/>
              </w:rPr>
            </w:pPr>
            <w:r w:rsidRPr="00EB512D">
              <w:rPr>
                <w:b/>
                <w:bCs/>
                <w:iCs/>
                <w:lang w:eastAsia="sk-SK"/>
              </w:rPr>
              <w:t>0</w:t>
            </w:r>
          </w:p>
        </w:tc>
        <w:tc>
          <w:tcPr>
            <w:tcW w:w="1267" w:type="dxa"/>
            <w:noWrap/>
            <w:vAlign w:val="center"/>
          </w:tcPr>
          <w:p w14:paraId="72E395BC" w14:textId="77777777" w:rsidR="007C3F79" w:rsidRPr="00EB512D" w:rsidRDefault="007C3F79" w:rsidP="00B359C5">
            <w:pPr>
              <w:jc w:val="right"/>
              <w:rPr>
                <w:b/>
                <w:bCs/>
                <w:iCs/>
                <w:lang w:eastAsia="sk-SK"/>
              </w:rPr>
            </w:pPr>
            <w:r w:rsidRPr="00EB512D">
              <w:rPr>
                <w:b/>
                <w:bCs/>
                <w:iCs/>
                <w:lang w:eastAsia="sk-SK"/>
              </w:rPr>
              <w:t>0</w:t>
            </w:r>
          </w:p>
        </w:tc>
      </w:tr>
      <w:tr w:rsidR="007C3F79" w:rsidRPr="00EB512D" w14:paraId="0F7D3364" w14:textId="77777777" w:rsidTr="00B359C5">
        <w:trPr>
          <w:trHeight w:val="70"/>
          <w:jc w:val="center"/>
        </w:trPr>
        <w:tc>
          <w:tcPr>
            <w:tcW w:w="4661" w:type="dxa"/>
            <w:shd w:val="clear" w:color="auto" w:fill="C0C0C0"/>
            <w:noWrap/>
            <w:vAlign w:val="center"/>
          </w:tcPr>
          <w:p w14:paraId="76C481E8" w14:textId="77777777" w:rsidR="007C3F79" w:rsidRPr="00EB512D" w:rsidRDefault="007C3F79" w:rsidP="00B359C5">
            <w:pPr>
              <w:rPr>
                <w:b/>
                <w:bCs/>
                <w:lang w:eastAsia="sk-SK"/>
              </w:rPr>
            </w:pPr>
            <w:r w:rsidRPr="00EB512D">
              <w:rPr>
                <w:b/>
                <w:bCs/>
                <w:lang w:eastAsia="sk-SK"/>
              </w:rPr>
              <w:t>Financovanie zabezpečené v rozpočte</w:t>
            </w:r>
          </w:p>
        </w:tc>
        <w:tc>
          <w:tcPr>
            <w:tcW w:w="1338" w:type="dxa"/>
            <w:shd w:val="clear" w:color="auto" w:fill="C0C0C0"/>
            <w:noWrap/>
            <w:vAlign w:val="center"/>
          </w:tcPr>
          <w:p w14:paraId="6BB89AD0" w14:textId="77777777" w:rsidR="007C3F79" w:rsidRPr="00EB512D" w:rsidRDefault="007C3F79" w:rsidP="00B359C5">
            <w:pPr>
              <w:jc w:val="right"/>
              <w:rPr>
                <w:b/>
                <w:bCs/>
                <w:lang w:eastAsia="sk-SK"/>
              </w:rPr>
            </w:pPr>
            <w:r w:rsidRPr="00EB512D">
              <w:rPr>
                <w:b/>
                <w:bCs/>
                <w:iCs/>
                <w:lang w:eastAsia="sk-SK"/>
              </w:rPr>
              <w:t>1 800 000</w:t>
            </w:r>
          </w:p>
        </w:tc>
        <w:tc>
          <w:tcPr>
            <w:tcW w:w="1196" w:type="dxa"/>
            <w:shd w:val="clear" w:color="auto" w:fill="C0C0C0"/>
            <w:noWrap/>
            <w:vAlign w:val="center"/>
          </w:tcPr>
          <w:p w14:paraId="24180F61" w14:textId="77777777" w:rsidR="007C3F79" w:rsidRPr="00EB512D" w:rsidRDefault="007C3F79" w:rsidP="00B359C5">
            <w:pPr>
              <w:jc w:val="right"/>
              <w:rPr>
                <w:b/>
                <w:bCs/>
                <w:lang w:eastAsia="sk-SK"/>
              </w:rPr>
            </w:pPr>
            <w:r w:rsidRPr="00EB512D">
              <w:rPr>
                <w:b/>
                <w:bCs/>
                <w:lang w:eastAsia="sk-SK"/>
              </w:rPr>
              <w:t>9 300 000</w:t>
            </w:r>
          </w:p>
        </w:tc>
        <w:tc>
          <w:tcPr>
            <w:tcW w:w="1267" w:type="dxa"/>
            <w:shd w:val="clear" w:color="auto" w:fill="C0C0C0"/>
            <w:noWrap/>
            <w:vAlign w:val="center"/>
          </w:tcPr>
          <w:p w14:paraId="4A12D2C8" w14:textId="77777777" w:rsidR="007C3F79" w:rsidRPr="00EB512D" w:rsidRDefault="007C3F79" w:rsidP="00B359C5">
            <w:pPr>
              <w:jc w:val="right"/>
              <w:rPr>
                <w:b/>
                <w:bCs/>
                <w:lang w:eastAsia="sk-SK"/>
              </w:rPr>
            </w:pPr>
            <w:r w:rsidRPr="00EB512D">
              <w:rPr>
                <w:b/>
                <w:bCs/>
                <w:lang w:eastAsia="sk-SK"/>
              </w:rPr>
              <w:t>13 600 000</w:t>
            </w:r>
          </w:p>
        </w:tc>
        <w:tc>
          <w:tcPr>
            <w:tcW w:w="1267" w:type="dxa"/>
            <w:shd w:val="clear" w:color="auto" w:fill="C0C0C0"/>
            <w:noWrap/>
            <w:vAlign w:val="center"/>
          </w:tcPr>
          <w:p w14:paraId="4F2D14A1" w14:textId="77777777" w:rsidR="007C3F79" w:rsidRPr="00EB512D" w:rsidRDefault="007C3F79" w:rsidP="00B359C5">
            <w:pPr>
              <w:jc w:val="right"/>
              <w:rPr>
                <w:b/>
                <w:bCs/>
                <w:lang w:eastAsia="sk-SK"/>
              </w:rPr>
            </w:pPr>
            <w:r w:rsidRPr="00EB512D">
              <w:rPr>
                <w:b/>
                <w:bCs/>
                <w:lang w:eastAsia="sk-SK"/>
              </w:rPr>
              <w:t xml:space="preserve">19 900 000   </w:t>
            </w:r>
          </w:p>
        </w:tc>
      </w:tr>
      <w:tr w:rsidR="007C3F79" w:rsidRPr="00EB512D" w14:paraId="1180C7E7" w14:textId="77777777" w:rsidTr="00B359C5">
        <w:trPr>
          <w:trHeight w:val="70"/>
          <w:jc w:val="center"/>
        </w:trPr>
        <w:tc>
          <w:tcPr>
            <w:tcW w:w="4661" w:type="dxa"/>
            <w:noWrap/>
            <w:vAlign w:val="center"/>
          </w:tcPr>
          <w:p w14:paraId="51294111" w14:textId="77777777" w:rsidR="007C3F79" w:rsidRPr="00EB512D" w:rsidRDefault="007C3F79" w:rsidP="00B359C5">
            <w:pPr>
              <w:rPr>
                <w:lang w:eastAsia="sk-SK"/>
              </w:rPr>
            </w:pPr>
            <w:r w:rsidRPr="00EB512D">
              <w:rPr>
                <w:lang w:eastAsia="sk-SK"/>
              </w:rPr>
              <w:t xml:space="preserve">Úrad podpredsedu vlády SR pre investície a informatizáciu </w:t>
            </w:r>
          </w:p>
        </w:tc>
        <w:tc>
          <w:tcPr>
            <w:tcW w:w="1338" w:type="dxa"/>
            <w:noWrap/>
            <w:vAlign w:val="center"/>
          </w:tcPr>
          <w:p w14:paraId="36B21CCB" w14:textId="77777777" w:rsidR="007C3F79" w:rsidRPr="00EB512D" w:rsidRDefault="007C3F79" w:rsidP="00B359C5">
            <w:pPr>
              <w:jc w:val="right"/>
              <w:rPr>
                <w:b/>
                <w:bCs/>
                <w:iCs/>
                <w:lang w:eastAsia="sk-SK"/>
              </w:rPr>
            </w:pPr>
            <w:r w:rsidRPr="00EB512D">
              <w:rPr>
                <w:b/>
                <w:bCs/>
                <w:iCs/>
                <w:lang w:eastAsia="sk-SK"/>
              </w:rPr>
              <w:t>1 800 000</w:t>
            </w:r>
          </w:p>
        </w:tc>
        <w:tc>
          <w:tcPr>
            <w:tcW w:w="1196" w:type="dxa"/>
            <w:noWrap/>
            <w:vAlign w:val="center"/>
          </w:tcPr>
          <w:p w14:paraId="6A0755A2" w14:textId="77777777" w:rsidR="007C3F79" w:rsidRPr="00EB512D" w:rsidRDefault="007C3F79" w:rsidP="00B359C5">
            <w:pPr>
              <w:jc w:val="right"/>
              <w:rPr>
                <w:b/>
                <w:bCs/>
                <w:iCs/>
                <w:lang w:eastAsia="sk-SK"/>
              </w:rPr>
            </w:pPr>
            <w:r w:rsidRPr="00EB512D">
              <w:rPr>
                <w:b/>
                <w:bCs/>
                <w:iCs/>
                <w:lang w:eastAsia="sk-SK"/>
              </w:rPr>
              <w:t>3 320 000</w:t>
            </w:r>
          </w:p>
        </w:tc>
        <w:tc>
          <w:tcPr>
            <w:tcW w:w="1267" w:type="dxa"/>
            <w:noWrap/>
            <w:vAlign w:val="center"/>
          </w:tcPr>
          <w:p w14:paraId="366D2967" w14:textId="77777777" w:rsidR="007C3F79" w:rsidRPr="00EB512D" w:rsidRDefault="007C3F79" w:rsidP="00B359C5">
            <w:pPr>
              <w:jc w:val="right"/>
              <w:rPr>
                <w:b/>
                <w:bCs/>
                <w:iCs/>
                <w:lang w:eastAsia="sk-SK"/>
              </w:rPr>
            </w:pPr>
            <w:r w:rsidRPr="00EB512D">
              <w:rPr>
                <w:b/>
                <w:bCs/>
                <w:iCs/>
                <w:lang w:eastAsia="sk-SK"/>
              </w:rPr>
              <w:t>660 000</w:t>
            </w:r>
          </w:p>
        </w:tc>
        <w:tc>
          <w:tcPr>
            <w:tcW w:w="1267" w:type="dxa"/>
            <w:noWrap/>
            <w:vAlign w:val="center"/>
          </w:tcPr>
          <w:p w14:paraId="14DA306F" w14:textId="77777777" w:rsidR="007C3F79" w:rsidRPr="00EB512D" w:rsidRDefault="007C3F79" w:rsidP="00B359C5">
            <w:pPr>
              <w:jc w:val="right"/>
              <w:rPr>
                <w:lang w:eastAsia="sk-SK"/>
              </w:rPr>
            </w:pPr>
            <w:r w:rsidRPr="00EB512D">
              <w:rPr>
                <w:lang w:eastAsia="sk-SK"/>
              </w:rPr>
              <w:t>0</w:t>
            </w:r>
          </w:p>
        </w:tc>
      </w:tr>
      <w:tr w:rsidR="007C3F79" w:rsidRPr="00EB512D" w14:paraId="17E2ED98" w14:textId="77777777" w:rsidTr="00B359C5">
        <w:trPr>
          <w:trHeight w:val="70"/>
          <w:jc w:val="center"/>
        </w:trPr>
        <w:tc>
          <w:tcPr>
            <w:tcW w:w="4661" w:type="dxa"/>
            <w:shd w:val="clear" w:color="auto" w:fill="BFBFBF"/>
            <w:noWrap/>
            <w:vAlign w:val="center"/>
          </w:tcPr>
          <w:p w14:paraId="14819787" w14:textId="77777777" w:rsidR="007C3F79" w:rsidRPr="00EB512D" w:rsidRDefault="007C3F79" w:rsidP="00B359C5">
            <w:pPr>
              <w:rPr>
                <w:b/>
                <w:lang w:eastAsia="sk-SK"/>
              </w:rPr>
            </w:pPr>
            <w:r w:rsidRPr="00EB512D">
              <w:rPr>
                <w:b/>
                <w:lang w:eastAsia="sk-SK"/>
              </w:rPr>
              <w:t xml:space="preserve">Iné ako rozpočtové zdroje </w:t>
            </w:r>
          </w:p>
        </w:tc>
        <w:tc>
          <w:tcPr>
            <w:tcW w:w="1338" w:type="dxa"/>
            <w:shd w:val="clear" w:color="auto" w:fill="BFBFBF"/>
            <w:noWrap/>
            <w:vAlign w:val="center"/>
          </w:tcPr>
          <w:p w14:paraId="4A9EC8C5" w14:textId="77777777" w:rsidR="007C3F79" w:rsidRPr="00EB512D" w:rsidRDefault="007C3F79" w:rsidP="00B359C5">
            <w:pPr>
              <w:jc w:val="right"/>
              <w:rPr>
                <w:b/>
                <w:bCs/>
                <w:lang w:eastAsia="sk-SK"/>
              </w:rPr>
            </w:pPr>
            <w:r w:rsidRPr="00EB512D">
              <w:rPr>
                <w:b/>
                <w:bCs/>
                <w:lang w:eastAsia="sk-SK"/>
              </w:rPr>
              <w:t>0</w:t>
            </w:r>
          </w:p>
        </w:tc>
        <w:tc>
          <w:tcPr>
            <w:tcW w:w="1196" w:type="dxa"/>
            <w:shd w:val="clear" w:color="auto" w:fill="BFBFBF"/>
            <w:noWrap/>
            <w:vAlign w:val="center"/>
          </w:tcPr>
          <w:p w14:paraId="48890648"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BFBFBF"/>
            <w:noWrap/>
            <w:vAlign w:val="center"/>
          </w:tcPr>
          <w:p w14:paraId="4BC2D465"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BFBFBF"/>
            <w:noWrap/>
            <w:vAlign w:val="center"/>
          </w:tcPr>
          <w:p w14:paraId="0C5AF12C" w14:textId="77777777" w:rsidR="007C3F79" w:rsidRPr="00EB512D" w:rsidRDefault="007C3F79" w:rsidP="00B359C5">
            <w:pPr>
              <w:jc w:val="right"/>
              <w:rPr>
                <w:b/>
                <w:bCs/>
                <w:lang w:eastAsia="sk-SK"/>
              </w:rPr>
            </w:pPr>
            <w:r w:rsidRPr="00EB512D">
              <w:rPr>
                <w:b/>
                <w:bCs/>
                <w:lang w:eastAsia="sk-SK"/>
              </w:rPr>
              <w:t>0</w:t>
            </w:r>
          </w:p>
        </w:tc>
      </w:tr>
      <w:tr w:rsidR="007C3F79" w:rsidRPr="00EB512D" w14:paraId="66500787" w14:textId="77777777" w:rsidTr="00B359C5">
        <w:trPr>
          <w:trHeight w:val="70"/>
          <w:jc w:val="center"/>
        </w:trPr>
        <w:tc>
          <w:tcPr>
            <w:tcW w:w="4661" w:type="dxa"/>
            <w:shd w:val="clear" w:color="auto" w:fill="A6A6A6"/>
            <w:noWrap/>
            <w:vAlign w:val="center"/>
          </w:tcPr>
          <w:p w14:paraId="77C19411" w14:textId="77777777" w:rsidR="007C3F79" w:rsidRPr="00EB512D" w:rsidRDefault="007C3F79" w:rsidP="00B359C5">
            <w:pPr>
              <w:rPr>
                <w:b/>
                <w:bCs/>
                <w:lang w:eastAsia="sk-SK"/>
              </w:rPr>
            </w:pPr>
            <w:r w:rsidRPr="00EB512D">
              <w:rPr>
                <w:b/>
                <w:bCs/>
                <w:lang w:eastAsia="sk-SK"/>
              </w:rPr>
              <w:t>Rozpočtovo nekrytý vplyv / úspora</w:t>
            </w:r>
          </w:p>
        </w:tc>
        <w:tc>
          <w:tcPr>
            <w:tcW w:w="1338" w:type="dxa"/>
            <w:shd w:val="clear" w:color="auto" w:fill="A6A6A6"/>
            <w:noWrap/>
            <w:vAlign w:val="center"/>
          </w:tcPr>
          <w:p w14:paraId="585A44B0" w14:textId="77777777" w:rsidR="007C3F79" w:rsidRPr="00EB512D" w:rsidRDefault="007C3F79" w:rsidP="00B359C5">
            <w:pPr>
              <w:jc w:val="right"/>
              <w:rPr>
                <w:b/>
                <w:bCs/>
                <w:lang w:eastAsia="sk-SK"/>
              </w:rPr>
            </w:pPr>
            <w:r w:rsidRPr="00EB512D">
              <w:rPr>
                <w:b/>
                <w:bCs/>
                <w:lang w:eastAsia="sk-SK"/>
              </w:rPr>
              <w:t>0</w:t>
            </w:r>
          </w:p>
        </w:tc>
        <w:tc>
          <w:tcPr>
            <w:tcW w:w="1196" w:type="dxa"/>
            <w:shd w:val="clear" w:color="auto" w:fill="A6A6A6"/>
            <w:noWrap/>
            <w:vAlign w:val="center"/>
          </w:tcPr>
          <w:p w14:paraId="1A09FF2A"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A6A6A6"/>
            <w:noWrap/>
            <w:vAlign w:val="center"/>
          </w:tcPr>
          <w:p w14:paraId="0C8E9EF7" w14:textId="77777777" w:rsidR="007C3F79" w:rsidRPr="00EB512D" w:rsidRDefault="007C3F79" w:rsidP="00B359C5">
            <w:pPr>
              <w:jc w:val="right"/>
              <w:rPr>
                <w:b/>
                <w:bCs/>
                <w:lang w:eastAsia="sk-SK"/>
              </w:rPr>
            </w:pPr>
            <w:r w:rsidRPr="00EB512D">
              <w:rPr>
                <w:b/>
                <w:bCs/>
                <w:lang w:eastAsia="sk-SK"/>
              </w:rPr>
              <w:t>0</w:t>
            </w:r>
          </w:p>
        </w:tc>
        <w:tc>
          <w:tcPr>
            <w:tcW w:w="1267" w:type="dxa"/>
            <w:shd w:val="clear" w:color="auto" w:fill="A6A6A6"/>
            <w:noWrap/>
            <w:vAlign w:val="center"/>
          </w:tcPr>
          <w:p w14:paraId="56751FC1" w14:textId="77777777" w:rsidR="007C3F79" w:rsidRPr="00EB512D" w:rsidRDefault="007C3F79" w:rsidP="00B359C5">
            <w:pPr>
              <w:jc w:val="right"/>
              <w:rPr>
                <w:b/>
                <w:bCs/>
                <w:lang w:eastAsia="sk-SK"/>
              </w:rPr>
            </w:pPr>
            <w:r w:rsidRPr="00EB512D">
              <w:rPr>
                <w:b/>
                <w:bCs/>
                <w:lang w:eastAsia="sk-SK"/>
              </w:rPr>
              <w:t>0</w:t>
            </w:r>
          </w:p>
        </w:tc>
      </w:tr>
      <w:bookmarkEnd w:id="0"/>
    </w:tbl>
    <w:p w14:paraId="273DACC6" w14:textId="77777777" w:rsidR="007C3F79" w:rsidRPr="00EB512D" w:rsidRDefault="007C3F79" w:rsidP="007C3F79">
      <w:pPr>
        <w:rPr>
          <w:b/>
          <w:bCs/>
          <w:lang w:eastAsia="sk-SK"/>
        </w:rPr>
      </w:pPr>
    </w:p>
    <w:p w14:paraId="0419DC89" w14:textId="77777777" w:rsidR="007C3F79" w:rsidRPr="00EB512D" w:rsidRDefault="007C3F79" w:rsidP="007C3F79">
      <w:pPr>
        <w:rPr>
          <w:b/>
          <w:bCs/>
          <w:lang w:eastAsia="sk-SK"/>
        </w:rPr>
      </w:pPr>
      <w:r w:rsidRPr="00EB512D">
        <w:rPr>
          <w:b/>
          <w:bCs/>
          <w:lang w:eastAsia="sk-SK"/>
        </w:rPr>
        <w:br w:type="page"/>
      </w:r>
    </w:p>
    <w:p w14:paraId="6F2E1483" w14:textId="77777777" w:rsidR="007C3F79" w:rsidRPr="00EB512D" w:rsidRDefault="007C3F79" w:rsidP="007C3F79">
      <w:pPr>
        <w:jc w:val="both"/>
        <w:rPr>
          <w:b/>
          <w:bCs/>
          <w:lang w:eastAsia="sk-SK"/>
        </w:rPr>
      </w:pPr>
      <w:r w:rsidRPr="00EB512D">
        <w:rPr>
          <w:b/>
          <w:bCs/>
          <w:lang w:eastAsia="sk-SK"/>
        </w:rPr>
        <w:lastRenderedPageBreak/>
        <w:t xml:space="preserve">2.1.1. Financovanie návrhu - Návrh </w:t>
      </w:r>
      <w:proofErr w:type="gramStart"/>
      <w:r w:rsidRPr="00EB512D">
        <w:rPr>
          <w:b/>
          <w:bCs/>
          <w:lang w:eastAsia="sk-SK"/>
        </w:rPr>
        <w:t>na</w:t>
      </w:r>
      <w:proofErr w:type="gramEnd"/>
      <w:r w:rsidRPr="00EB512D">
        <w:rPr>
          <w:b/>
          <w:bCs/>
          <w:lang w:eastAsia="sk-SK"/>
        </w:rPr>
        <w:t xml:space="preserve"> riešenie úbytku príjmov alebo zvýšených výdavkov podľa § 33 ods. </w:t>
      </w:r>
      <w:proofErr w:type="gramStart"/>
      <w:r w:rsidRPr="00EB512D">
        <w:rPr>
          <w:b/>
          <w:bCs/>
          <w:lang w:eastAsia="sk-SK"/>
        </w:rPr>
        <w:t>1</w:t>
      </w:r>
      <w:proofErr w:type="gramEnd"/>
      <w:r w:rsidRPr="00EB512D">
        <w:rPr>
          <w:b/>
          <w:bCs/>
          <w:lang w:eastAsia="sk-SK"/>
        </w:rPr>
        <w:t xml:space="preserve"> zákona č. 523/2004 Z. z. o rozpočtových pravidlách verejnej správy:</w:t>
      </w:r>
    </w:p>
    <w:p w14:paraId="55D5CDE4" w14:textId="77777777" w:rsidR="007C3F79" w:rsidRPr="00EB512D" w:rsidRDefault="007C3F79" w:rsidP="007C3F79">
      <w:pPr>
        <w:jc w:val="both"/>
        <w:rPr>
          <w:b/>
          <w:bCs/>
          <w:sz w:val="12"/>
          <w:lang w:eastAsia="sk-SK"/>
        </w:rPr>
      </w:pPr>
    </w:p>
    <w:p w14:paraId="064877AD" w14:textId="77777777" w:rsidR="007C3F79" w:rsidRPr="00EB512D" w:rsidRDefault="007C3F79" w:rsidP="007C3F79">
      <w:pPr>
        <w:pBdr>
          <w:top w:val="single" w:sz="4" w:space="1" w:color="auto"/>
          <w:left w:val="single" w:sz="4" w:space="4" w:color="auto"/>
          <w:bottom w:val="single" w:sz="4" w:space="0" w:color="auto"/>
          <w:right w:val="single" w:sz="4" w:space="4" w:color="auto"/>
        </w:pBdr>
        <w:rPr>
          <w:bCs/>
          <w:lang w:eastAsia="sk-SK"/>
        </w:rPr>
      </w:pPr>
      <w:r w:rsidRPr="00EB512D">
        <w:rPr>
          <w:bCs/>
          <w:lang w:eastAsia="sk-SK"/>
        </w:rPr>
        <w:t xml:space="preserve">Financovanie návrhu bude zabezpečené prostredníctvom štátneho rozpočtu a z projektu EÚ </w:t>
      </w:r>
      <w:proofErr w:type="gramStart"/>
      <w:r w:rsidRPr="00EB512D">
        <w:rPr>
          <w:bCs/>
          <w:lang w:eastAsia="sk-SK"/>
        </w:rPr>
        <w:t>na</w:t>
      </w:r>
      <w:proofErr w:type="gramEnd"/>
      <w:r w:rsidRPr="00EB512D">
        <w:rPr>
          <w:bCs/>
          <w:lang w:eastAsia="sk-SK"/>
        </w:rPr>
        <w:t xml:space="preserve"> OpenAPI v rámci OPII. </w:t>
      </w:r>
    </w:p>
    <w:p w14:paraId="2523E524" w14:textId="77777777" w:rsidR="007C3F79" w:rsidRPr="00EB512D" w:rsidRDefault="007C3F79" w:rsidP="007C3F79">
      <w:pPr>
        <w:pBdr>
          <w:top w:val="single" w:sz="4" w:space="1" w:color="auto"/>
          <w:left w:val="single" w:sz="4" w:space="4" w:color="auto"/>
          <w:bottom w:val="single" w:sz="4" w:space="0" w:color="auto"/>
          <w:right w:val="single" w:sz="4" w:space="4" w:color="auto"/>
        </w:pBdr>
        <w:rPr>
          <w:b/>
          <w:bCs/>
          <w:lang w:eastAsia="sk-SK"/>
        </w:rPr>
      </w:pPr>
    </w:p>
    <w:p w14:paraId="6D1A5FE1" w14:textId="77777777" w:rsidR="007C3F79" w:rsidRPr="00EB512D" w:rsidRDefault="007C3F79" w:rsidP="007C3F79">
      <w:pPr>
        <w:pBdr>
          <w:top w:val="single" w:sz="4" w:space="1" w:color="auto"/>
          <w:left w:val="single" w:sz="4" w:space="4" w:color="auto"/>
          <w:bottom w:val="single" w:sz="4" w:space="0" w:color="auto"/>
          <w:right w:val="single" w:sz="4" w:space="4" w:color="auto"/>
        </w:pBdr>
        <w:rPr>
          <w:b/>
          <w:bCs/>
          <w:lang w:eastAsia="sk-SK"/>
        </w:rPr>
      </w:pPr>
    </w:p>
    <w:p w14:paraId="27DD37B8" w14:textId="77777777" w:rsidR="007C3F79" w:rsidRPr="00EB512D" w:rsidRDefault="007C3F79" w:rsidP="007C3F79">
      <w:pPr>
        <w:pBdr>
          <w:top w:val="single" w:sz="4" w:space="1" w:color="auto"/>
          <w:left w:val="single" w:sz="4" w:space="4" w:color="auto"/>
          <w:bottom w:val="single" w:sz="4" w:space="0" w:color="auto"/>
          <w:right w:val="single" w:sz="4" w:space="4" w:color="auto"/>
        </w:pBdr>
        <w:rPr>
          <w:b/>
          <w:bCs/>
          <w:lang w:eastAsia="sk-SK"/>
        </w:rPr>
      </w:pPr>
    </w:p>
    <w:p w14:paraId="6CAF66C8" w14:textId="77777777" w:rsidR="007C3F79" w:rsidRPr="00EB512D" w:rsidRDefault="007C3F79" w:rsidP="007C3F79">
      <w:pPr>
        <w:pBdr>
          <w:top w:val="single" w:sz="4" w:space="1" w:color="auto"/>
          <w:left w:val="single" w:sz="4" w:space="4" w:color="auto"/>
          <w:bottom w:val="single" w:sz="4" w:space="0" w:color="auto"/>
          <w:right w:val="single" w:sz="4" w:space="4" w:color="auto"/>
        </w:pBdr>
        <w:rPr>
          <w:b/>
          <w:bCs/>
          <w:lang w:eastAsia="sk-SK"/>
        </w:rPr>
      </w:pPr>
    </w:p>
    <w:p w14:paraId="2006F7CD" w14:textId="77777777" w:rsidR="007C3F79" w:rsidRPr="00EB512D" w:rsidRDefault="007C3F79" w:rsidP="007C3F79">
      <w:pPr>
        <w:rPr>
          <w:b/>
          <w:bCs/>
          <w:lang w:eastAsia="sk-SK"/>
        </w:rPr>
      </w:pPr>
      <w:r w:rsidRPr="00EB512D">
        <w:rPr>
          <w:b/>
          <w:bCs/>
          <w:lang w:eastAsia="sk-SK"/>
        </w:rPr>
        <w:t>2.2. Popis a charakteristika návrhu</w:t>
      </w:r>
    </w:p>
    <w:p w14:paraId="465D31BD" w14:textId="77777777" w:rsidR="007C3F79" w:rsidRPr="00EB512D" w:rsidRDefault="007C3F79" w:rsidP="007C3F79">
      <w:pPr>
        <w:rPr>
          <w:lang w:eastAsia="sk-SK"/>
        </w:rPr>
      </w:pPr>
    </w:p>
    <w:p w14:paraId="0049F755" w14:textId="77777777" w:rsidR="007C3F79" w:rsidRPr="00EB512D" w:rsidRDefault="007C3F79" w:rsidP="007C3F79">
      <w:pPr>
        <w:jc w:val="both"/>
        <w:rPr>
          <w:b/>
          <w:bCs/>
          <w:lang w:eastAsia="sk-SK"/>
        </w:rPr>
      </w:pPr>
      <w:r w:rsidRPr="00EB512D">
        <w:rPr>
          <w:b/>
          <w:bCs/>
          <w:lang w:eastAsia="sk-SK"/>
        </w:rPr>
        <w:t>2.2.1. Popis návrhu:</w:t>
      </w:r>
    </w:p>
    <w:p w14:paraId="30A218EC" w14:textId="77777777" w:rsidR="007C3F79" w:rsidRPr="00EB512D" w:rsidRDefault="007C3F79" w:rsidP="007C3F79">
      <w:pPr>
        <w:jc w:val="both"/>
        <w:rPr>
          <w:b/>
          <w:bCs/>
          <w:lang w:eastAsia="sk-SK"/>
        </w:rPr>
      </w:pPr>
    </w:p>
    <w:p w14:paraId="55A2F38C" w14:textId="77777777" w:rsidR="007C3F79" w:rsidRPr="00EB512D" w:rsidRDefault="007C3F79" w:rsidP="007C3F79">
      <w:pPr>
        <w:ind w:firstLine="708"/>
        <w:jc w:val="both"/>
        <w:rPr>
          <w:lang w:eastAsia="sk-SK"/>
        </w:rPr>
      </w:pPr>
      <w:r w:rsidRPr="00EB512D">
        <w:rPr>
          <w:lang w:eastAsia="sk-SK"/>
        </w:rPr>
        <w:t xml:space="preserve">Akú problematiku návrh rieši? Kto bude návrh implementovať? Kde </w:t>
      </w:r>
      <w:proofErr w:type="gramStart"/>
      <w:r w:rsidRPr="00EB512D">
        <w:rPr>
          <w:lang w:eastAsia="sk-SK"/>
        </w:rPr>
        <w:t>sa</w:t>
      </w:r>
      <w:proofErr w:type="gramEnd"/>
      <w:r w:rsidRPr="00EB512D">
        <w:rPr>
          <w:lang w:eastAsia="sk-SK"/>
        </w:rPr>
        <w:t xml:space="preserve"> budú služby poskytovať?</w:t>
      </w:r>
    </w:p>
    <w:p w14:paraId="6766139B" w14:textId="77777777" w:rsidR="007C3F79" w:rsidRPr="00EB512D" w:rsidRDefault="007C3F79" w:rsidP="007C3F79">
      <w:pPr>
        <w:rPr>
          <w:lang w:eastAsia="sk-SK"/>
        </w:rPr>
      </w:pPr>
    </w:p>
    <w:p w14:paraId="520B01AA"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Návrh zákona bude mať z dôvodu realizácie projektov informatizácie spoločnosti výrazný hospodársky a finančný dosah, a to na verejné financie formou presunu plánovaných výdavkov medzi rozpočtové kapitoly nových navrhnutých správcov ISVS resp. modulov a vzniku nových nákladov pri implementácii novovzniknutých požiadaviek na úpravu existujúcich a vytvorenie nových informačných systémov. </w:t>
      </w:r>
    </w:p>
    <w:p w14:paraId="0B4BC73B" w14:textId="77777777" w:rsidR="007C3F79" w:rsidRPr="00EB512D" w:rsidRDefault="007C3F79" w:rsidP="007C3F79">
      <w:pPr>
        <w:pStyle w:val="p3"/>
        <w:rPr>
          <w:rFonts w:eastAsia="Times New Roman"/>
          <w:sz w:val="24"/>
          <w:szCs w:val="24"/>
          <w:lang w:val="sk-SK" w:eastAsia="sk-SK"/>
        </w:rPr>
      </w:pPr>
    </w:p>
    <w:p w14:paraId="7526C832"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Prínosom bude lepší výkon verejnej moci, založený na rýchlom a účelnom zdieľaní dát, kde možno očakávať celkové zníženie nákladov na získavanie údajov, napríklad o podnikateľských subjektoch, vrátane zníženia s tým súvisiacich administratívnych a materiálových nákladov. Súčasne dôjde ku skvalitneniu obsahu informačných systémov verejnej správy, a tým aj výkonu verejnej moci. </w:t>
      </w:r>
    </w:p>
    <w:p w14:paraId="6BDB14FB" w14:textId="77777777" w:rsidR="007C3F79" w:rsidRPr="00EB512D" w:rsidRDefault="007C3F79" w:rsidP="007C3F79">
      <w:pPr>
        <w:pStyle w:val="p3"/>
        <w:rPr>
          <w:rFonts w:eastAsia="Times New Roman"/>
          <w:sz w:val="24"/>
          <w:szCs w:val="24"/>
          <w:lang w:val="sk-SK" w:eastAsia="sk-SK"/>
        </w:rPr>
      </w:pPr>
    </w:p>
    <w:p w14:paraId="4EC0D3E6"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Všetky moduly Ústredného portálu verejnej správy sú v správe ústredných orgánov verejnej správy. Ich tvorba a prevádzka je krytá z rozpočtovej kapitoly Úradu podpredsedu vlády SR pre investície a informatizáciu (Národná agentúra pre sieťové a elektronické služby). K realizácii niektorých ustanovení zákona sú využívané nástroje, ktoré už v súčasnosti slúžia na realizáciu povinností vyplývajúcich zo tohto zákona. Celkový popis návrhu a jeho technická realizácia je bližšie popísaná v paragrafovom znení a dôvodovej správe všeobecnej časti návrhu zákona.</w:t>
      </w:r>
    </w:p>
    <w:p w14:paraId="568DFBFD" w14:textId="77777777" w:rsidR="007C3F79" w:rsidRPr="00EB512D" w:rsidRDefault="007C3F79" w:rsidP="007C3F79">
      <w:pPr>
        <w:rPr>
          <w:lang w:eastAsia="sk-SK"/>
        </w:rPr>
      </w:pPr>
    </w:p>
    <w:p w14:paraId="20090628" w14:textId="77777777" w:rsidR="007C3F79" w:rsidRPr="00EB512D" w:rsidRDefault="007C3F79" w:rsidP="007C3F79">
      <w:pPr>
        <w:rPr>
          <w:b/>
          <w:bCs/>
          <w:lang w:eastAsia="sk-SK"/>
        </w:rPr>
      </w:pPr>
      <w:r w:rsidRPr="00EB512D">
        <w:rPr>
          <w:b/>
          <w:bCs/>
          <w:lang w:eastAsia="sk-SK"/>
        </w:rPr>
        <w:t>2.2.2. Charakteristika návrhu:</w:t>
      </w:r>
    </w:p>
    <w:p w14:paraId="153DFFEE" w14:textId="77777777" w:rsidR="007C3F79" w:rsidRPr="00EB512D" w:rsidRDefault="007C3F79" w:rsidP="007C3F79">
      <w:pPr>
        <w:rPr>
          <w:lang w:eastAsia="sk-SK"/>
        </w:rPr>
      </w:pPr>
    </w:p>
    <w:p w14:paraId="0690074F" w14:textId="77777777" w:rsidR="007C3F79" w:rsidRPr="00EB512D" w:rsidRDefault="007C3F79" w:rsidP="007C3F79">
      <w:pPr>
        <w:rPr>
          <w:lang w:eastAsia="sk-SK"/>
        </w:rPr>
      </w:pPr>
      <w:r w:rsidRPr="00EB512D">
        <w:rPr>
          <w:b/>
          <w:bdr w:val="single" w:sz="4" w:space="0" w:color="auto"/>
          <w:lang w:eastAsia="sk-SK"/>
        </w:rPr>
        <w:t xml:space="preserve">     </w:t>
      </w:r>
      <w:r w:rsidRPr="00EB512D">
        <w:rPr>
          <w:b/>
          <w:lang w:eastAsia="sk-SK"/>
        </w:rPr>
        <w:t xml:space="preserve">  </w:t>
      </w:r>
      <w:proofErr w:type="gramStart"/>
      <w:r w:rsidRPr="00EB512D">
        <w:rPr>
          <w:lang w:eastAsia="sk-SK"/>
        </w:rPr>
        <w:t>zmena</w:t>
      </w:r>
      <w:proofErr w:type="gramEnd"/>
      <w:r w:rsidRPr="00EB512D">
        <w:rPr>
          <w:lang w:eastAsia="sk-SK"/>
        </w:rPr>
        <w:t xml:space="preserve"> sadzby</w:t>
      </w:r>
    </w:p>
    <w:p w14:paraId="5E751DDD" w14:textId="77777777" w:rsidR="007C3F79" w:rsidRPr="00EB512D" w:rsidRDefault="007C3F79" w:rsidP="007C3F79">
      <w:pPr>
        <w:rPr>
          <w:lang w:eastAsia="sk-SK"/>
        </w:rPr>
      </w:pPr>
      <w:r w:rsidRPr="00EB512D">
        <w:rPr>
          <w:bdr w:val="single" w:sz="4" w:space="0" w:color="auto"/>
          <w:lang w:eastAsia="sk-SK"/>
        </w:rPr>
        <w:t xml:space="preserve">     </w:t>
      </w:r>
      <w:r w:rsidRPr="00EB512D">
        <w:rPr>
          <w:lang w:eastAsia="sk-SK"/>
        </w:rPr>
        <w:t xml:space="preserve">  </w:t>
      </w:r>
      <w:proofErr w:type="gramStart"/>
      <w:r w:rsidRPr="00EB512D">
        <w:rPr>
          <w:lang w:eastAsia="sk-SK"/>
        </w:rPr>
        <w:t>zmena</w:t>
      </w:r>
      <w:proofErr w:type="gramEnd"/>
      <w:r w:rsidRPr="00EB512D">
        <w:rPr>
          <w:lang w:eastAsia="sk-SK"/>
        </w:rPr>
        <w:t xml:space="preserve"> v nároku</w:t>
      </w:r>
    </w:p>
    <w:p w14:paraId="4E07A204" w14:textId="77777777" w:rsidR="007C3F79" w:rsidRPr="00EB512D" w:rsidRDefault="007C3F79" w:rsidP="007C3F79">
      <w:pPr>
        <w:rPr>
          <w:lang w:eastAsia="sk-SK"/>
        </w:rPr>
      </w:pPr>
      <w:r w:rsidRPr="00EB512D">
        <w:rPr>
          <w:bdr w:val="single" w:sz="4" w:space="0" w:color="auto"/>
          <w:lang w:eastAsia="sk-SK"/>
        </w:rPr>
        <w:t xml:space="preserve">     </w:t>
      </w:r>
      <w:r w:rsidRPr="00EB512D">
        <w:rPr>
          <w:lang w:eastAsia="sk-SK"/>
        </w:rPr>
        <w:t xml:space="preserve">  </w:t>
      </w:r>
      <w:proofErr w:type="gramStart"/>
      <w:r w:rsidRPr="00EB512D">
        <w:rPr>
          <w:lang w:eastAsia="sk-SK"/>
        </w:rPr>
        <w:t>nová</w:t>
      </w:r>
      <w:proofErr w:type="gramEnd"/>
      <w:r w:rsidRPr="00EB512D">
        <w:rPr>
          <w:lang w:eastAsia="sk-SK"/>
        </w:rPr>
        <w:t xml:space="preserve"> služba alebo nariadenie (alebo ich zrušenie)</w:t>
      </w:r>
    </w:p>
    <w:p w14:paraId="15DF6187" w14:textId="77777777" w:rsidR="007C3F79" w:rsidRPr="00EB512D" w:rsidRDefault="007C3F79" w:rsidP="007C3F79">
      <w:pPr>
        <w:rPr>
          <w:lang w:eastAsia="sk-SK"/>
        </w:rPr>
      </w:pPr>
      <w:r w:rsidRPr="00EB512D">
        <w:rPr>
          <w:bdr w:val="single" w:sz="4" w:space="0" w:color="auto"/>
          <w:lang w:eastAsia="sk-SK"/>
        </w:rPr>
        <w:t xml:space="preserve">  </w:t>
      </w:r>
      <w:proofErr w:type="gramStart"/>
      <w:r w:rsidRPr="00EB512D">
        <w:rPr>
          <w:bdr w:val="single" w:sz="4" w:space="0" w:color="auto"/>
          <w:lang w:eastAsia="sk-SK"/>
        </w:rPr>
        <w:t>x</w:t>
      </w:r>
      <w:proofErr w:type="gramEnd"/>
      <w:r w:rsidRPr="00EB512D">
        <w:rPr>
          <w:bdr w:val="single" w:sz="4" w:space="0" w:color="auto"/>
          <w:lang w:eastAsia="sk-SK"/>
        </w:rPr>
        <w:t xml:space="preserve">   </w:t>
      </w:r>
      <w:r w:rsidRPr="00EB512D">
        <w:rPr>
          <w:lang w:eastAsia="sk-SK"/>
        </w:rPr>
        <w:t xml:space="preserve">  kombinovaný návrh</w:t>
      </w:r>
    </w:p>
    <w:p w14:paraId="35AD2500" w14:textId="77777777" w:rsidR="007C3F79" w:rsidRPr="00EB512D" w:rsidRDefault="007C3F79" w:rsidP="007C3F79">
      <w:pPr>
        <w:rPr>
          <w:lang w:eastAsia="sk-SK"/>
        </w:rPr>
      </w:pPr>
      <w:r w:rsidRPr="00EB512D">
        <w:rPr>
          <w:bdr w:val="single" w:sz="4" w:space="0" w:color="auto"/>
          <w:lang w:eastAsia="sk-SK"/>
        </w:rPr>
        <w:t xml:space="preserve">     </w:t>
      </w:r>
      <w:r w:rsidRPr="00EB512D">
        <w:rPr>
          <w:lang w:eastAsia="sk-SK"/>
        </w:rPr>
        <w:t xml:space="preserve">  </w:t>
      </w:r>
      <w:proofErr w:type="gramStart"/>
      <w:r w:rsidRPr="00EB512D">
        <w:rPr>
          <w:lang w:eastAsia="sk-SK"/>
        </w:rPr>
        <w:t>iné</w:t>
      </w:r>
      <w:proofErr w:type="gramEnd"/>
      <w:r w:rsidRPr="00EB512D">
        <w:rPr>
          <w:lang w:eastAsia="sk-SK"/>
        </w:rPr>
        <w:t xml:space="preserve"> </w:t>
      </w:r>
    </w:p>
    <w:p w14:paraId="4E714A3D" w14:textId="77777777" w:rsidR="007C3F79" w:rsidRPr="00EB512D" w:rsidRDefault="007C3F79" w:rsidP="007C3F79">
      <w:pPr>
        <w:rPr>
          <w:lang w:eastAsia="sk-SK"/>
        </w:rPr>
      </w:pPr>
    </w:p>
    <w:p w14:paraId="6B39ECCF" w14:textId="77777777" w:rsidR="007C3F79" w:rsidRPr="00EB512D" w:rsidRDefault="007C3F79" w:rsidP="007C3F79">
      <w:pPr>
        <w:rPr>
          <w:lang w:eastAsia="sk-SK"/>
        </w:rPr>
      </w:pPr>
    </w:p>
    <w:p w14:paraId="283EBB8F" w14:textId="77777777" w:rsidR="007C3F79" w:rsidRPr="00EB512D" w:rsidRDefault="007C3F79" w:rsidP="007C3F79">
      <w:pPr>
        <w:rPr>
          <w:lang w:eastAsia="sk-SK"/>
        </w:rPr>
      </w:pPr>
      <w:r w:rsidRPr="00EB512D">
        <w:rPr>
          <w:b/>
          <w:bCs/>
          <w:lang w:eastAsia="sk-SK"/>
        </w:rPr>
        <w:t>2.2.3. Predpoklady vývoja objemu aktivít:</w:t>
      </w:r>
    </w:p>
    <w:p w14:paraId="09AE2841" w14:textId="77777777" w:rsidR="007C3F79" w:rsidRPr="00EB512D" w:rsidRDefault="007C3F79" w:rsidP="007C3F79">
      <w:pPr>
        <w:rPr>
          <w:lang w:eastAsia="sk-SK"/>
        </w:rPr>
      </w:pPr>
    </w:p>
    <w:p w14:paraId="794B0E24" w14:textId="77777777" w:rsidR="007C3F79" w:rsidRPr="00EB512D" w:rsidRDefault="007C3F79" w:rsidP="007C3F79">
      <w:pPr>
        <w:ind w:firstLine="708"/>
        <w:jc w:val="both"/>
        <w:rPr>
          <w:lang w:eastAsia="sk-SK"/>
        </w:rPr>
      </w:pPr>
      <w:r w:rsidRPr="00EB512D">
        <w:rPr>
          <w:lang w:eastAsia="sk-SK"/>
        </w:rPr>
        <w:t xml:space="preserve">Jasne popíšte, v prípade potreby použite nižšie uvedenú tabuľku. Uveďte aj odhady základov daní a/alebo poplatkov, </w:t>
      </w:r>
      <w:proofErr w:type="gramStart"/>
      <w:r w:rsidRPr="00EB512D">
        <w:rPr>
          <w:lang w:eastAsia="sk-SK"/>
        </w:rPr>
        <w:t>ak</w:t>
      </w:r>
      <w:proofErr w:type="gramEnd"/>
      <w:r w:rsidRPr="00EB512D">
        <w:rPr>
          <w:lang w:eastAsia="sk-SK"/>
        </w:rPr>
        <w:t xml:space="preserve"> sa ich táto zmena týka.</w:t>
      </w:r>
    </w:p>
    <w:p w14:paraId="4F6A74B0" w14:textId="77777777" w:rsidR="007C3F79" w:rsidRPr="00EB512D" w:rsidRDefault="007C3F79" w:rsidP="007C3F79">
      <w:pPr>
        <w:jc w:val="right"/>
        <w:rPr>
          <w:sz w:val="20"/>
          <w:szCs w:val="20"/>
          <w:lang w:eastAsia="sk-SK"/>
        </w:rPr>
      </w:pPr>
      <w:r w:rsidRPr="00EB512D">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C3F79" w:rsidRPr="00EB512D" w14:paraId="5BF4BC0D" w14:textId="77777777" w:rsidTr="00B359C5">
        <w:trPr>
          <w:cantSplit/>
          <w:trHeight w:val="70"/>
        </w:trPr>
        <w:tc>
          <w:tcPr>
            <w:tcW w:w="4530" w:type="dxa"/>
            <w:vMerge w:val="restart"/>
            <w:shd w:val="clear" w:color="auto" w:fill="BFBFBF"/>
            <w:vAlign w:val="center"/>
          </w:tcPr>
          <w:p w14:paraId="420B5649" w14:textId="77777777" w:rsidR="007C3F79" w:rsidRPr="00EB512D" w:rsidRDefault="007C3F79" w:rsidP="00B359C5">
            <w:pPr>
              <w:autoSpaceDE w:val="0"/>
              <w:autoSpaceDN w:val="0"/>
              <w:adjustRightInd w:val="0"/>
              <w:jc w:val="center"/>
              <w:rPr>
                <w:b/>
                <w:bCs/>
                <w:lang w:eastAsia="sk-SK"/>
              </w:rPr>
            </w:pPr>
            <w:r w:rsidRPr="00EB512D">
              <w:rPr>
                <w:b/>
                <w:bCs/>
                <w:lang w:eastAsia="sk-SK"/>
              </w:rPr>
              <w:t>Objem aktivít</w:t>
            </w:r>
          </w:p>
        </w:tc>
        <w:tc>
          <w:tcPr>
            <w:tcW w:w="1134" w:type="dxa"/>
            <w:gridSpan w:val="4"/>
            <w:shd w:val="clear" w:color="auto" w:fill="BFBFBF"/>
            <w:vAlign w:val="center"/>
          </w:tcPr>
          <w:p w14:paraId="47F9F9E6" w14:textId="77777777" w:rsidR="007C3F79" w:rsidRPr="00EB512D" w:rsidRDefault="007C3F79" w:rsidP="00B359C5">
            <w:pPr>
              <w:autoSpaceDE w:val="0"/>
              <w:autoSpaceDN w:val="0"/>
              <w:adjustRightInd w:val="0"/>
              <w:jc w:val="center"/>
              <w:rPr>
                <w:b/>
                <w:bCs/>
                <w:lang w:eastAsia="sk-SK"/>
              </w:rPr>
            </w:pPr>
            <w:r w:rsidRPr="00EB512D">
              <w:rPr>
                <w:b/>
                <w:bCs/>
                <w:lang w:eastAsia="sk-SK"/>
              </w:rPr>
              <w:t>Odhadované objemy</w:t>
            </w:r>
          </w:p>
        </w:tc>
      </w:tr>
      <w:tr w:rsidR="007C3F79" w:rsidRPr="00EB512D" w14:paraId="3D35E2CB" w14:textId="77777777" w:rsidTr="00B359C5">
        <w:trPr>
          <w:cantSplit/>
          <w:trHeight w:val="70"/>
        </w:trPr>
        <w:tc>
          <w:tcPr>
            <w:tcW w:w="4530" w:type="dxa"/>
            <w:vMerge/>
            <w:shd w:val="clear" w:color="auto" w:fill="BFBFBF"/>
          </w:tcPr>
          <w:p w14:paraId="56DF3436" w14:textId="77777777" w:rsidR="007C3F79" w:rsidRPr="00EB512D" w:rsidRDefault="007C3F79" w:rsidP="00B359C5">
            <w:pPr>
              <w:autoSpaceDE w:val="0"/>
              <w:autoSpaceDN w:val="0"/>
              <w:adjustRightInd w:val="0"/>
              <w:jc w:val="center"/>
              <w:rPr>
                <w:b/>
                <w:bCs/>
                <w:lang w:eastAsia="sk-SK"/>
              </w:rPr>
            </w:pPr>
          </w:p>
        </w:tc>
        <w:tc>
          <w:tcPr>
            <w:tcW w:w="1134" w:type="dxa"/>
            <w:shd w:val="clear" w:color="auto" w:fill="BFBFBF"/>
            <w:vAlign w:val="center"/>
          </w:tcPr>
          <w:p w14:paraId="4BE2CE43" w14:textId="77777777" w:rsidR="007C3F79" w:rsidRPr="00EB512D" w:rsidRDefault="007C3F79" w:rsidP="00B359C5">
            <w:pPr>
              <w:autoSpaceDE w:val="0"/>
              <w:autoSpaceDN w:val="0"/>
              <w:adjustRightInd w:val="0"/>
              <w:jc w:val="center"/>
              <w:rPr>
                <w:b/>
                <w:bCs/>
                <w:lang w:eastAsia="sk-SK"/>
              </w:rPr>
            </w:pPr>
            <w:r w:rsidRPr="00EB512D">
              <w:rPr>
                <w:b/>
                <w:bCs/>
                <w:lang w:eastAsia="sk-SK"/>
              </w:rPr>
              <w:t>r</w:t>
            </w:r>
          </w:p>
        </w:tc>
        <w:tc>
          <w:tcPr>
            <w:tcW w:w="1134" w:type="dxa"/>
            <w:shd w:val="clear" w:color="auto" w:fill="BFBFBF"/>
            <w:vAlign w:val="center"/>
          </w:tcPr>
          <w:p w14:paraId="570FC797" w14:textId="77777777" w:rsidR="007C3F79" w:rsidRPr="00EB512D" w:rsidRDefault="007C3F79" w:rsidP="00B359C5">
            <w:pPr>
              <w:autoSpaceDE w:val="0"/>
              <w:autoSpaceDN w:val="0"/>
              <w:adjustRightInd w:val="0"/>
              <w:jc w:val="center"/>
              <w:rPr>
                <w:b/>
                <w:bCs/>
                <w:lang w:eastAsia="sk-SK"/>
              </w:rPr>
            </w:pPr>
            <w:r w:rsidRPr="00EB512D">
              <w:rPr>
                <w:b/>
                <w:bCs/>
                <w:lang w:eastAsia="sk-SK"/>
              </w:rPr>
              <w:t>r + 1</w:t>
            </w:r>
          </w:p>
        </w:tc>
        <w:tc>
          <w:tcPr>
            <w:tcW w:w="1134" w:type="dxa"/>
            <w:shd w:val="clear" w:color="auto" w:fill="BFBFBF"/>
            <w:vAlign w:val="center"/>
          </w:tcPr>
          <w:p w14:paraId="1368D13D" w14:textId="77777777" w:rsidR="007C3F79" w:rsidRPr="00EB512D" w:rsidRDefault="007C3F79" w:rsidP="00B359C5">
            <w:pPr>
              <w:autoSpaceDE w:val="0"/>
              <w:autoSpaceDN w:val="0"/>
              <w:adjustRightInd w:val="0"/>
              <w:jc w:val="center"/>
              <w:rPr>
                <w:b/>
                <w:bCs/>
                <w:lang w:eastAsia="sk-SK"/>
              </w:rPr>
            </w:pPr>
            <w:r w:rsidRPr="00EB512D">
              <w:rPr>
                <w:b/>
                <w:bCs/>
                <w:lang w:eastAsia="sk-SK"/>
              </w:rPr>
              <w:t>r + 2</w:t>
            </w:r>
          </w:p>
        </w:tc>
        <w:tc>
          <w:tcPr>
            <w:tcW w:w="1134" w:type="dxa"/>
            <w:shd w:val="clear" w:color="auto" w:fill="BFBFBF"/>
            <w:vAlign w:val="center"/>
          </w:tcPr>
          <w:p w14:paraId="372FBB6C" w14:textId="77777777" w:rsidR="007C3F79" w:rsidRPr="00EB512D" w:rsidRDefault="007C3F79" w:rsidP="00B359C5">
            <w:pPr>
              <w:autoSpaceDE w:val="0"/>
              <w:autoSpaceDN w:val="0"/>
              <w:adjustRightInd w:val="0"/>
              <w:jc w:val="center"/>
              <w:rPr>
                <w:b/>
                <w:bCs/>
                <w:lang w:eastAsia="sk-SK"/>
              </w:rPr>
            </w:pPr>
            <w:r w:rsidRPr="00EB512D">
              <w:rPr>
                <w:b/>
                <w:bCs/>
                <w:lang w:eastAsia="sk-SK"/>
              </w:rPr>
              <w:t>r + 3</w:t>
            </w:r>
          </w:p>
        </w:tc>
      </w:tr>
      <w:tr w:rsidR="007C3F79" w:rsidRPr="00EB512D" w14:paraId="7A81863B" w14:textId="77777777" w:rsidTr="00B359C5">
        <w:trPr>
          <w:trHeight w:val="70"/>
        </w:trPr>
        <w:tc>
          <w:tcPr>
            <w:tcW w:w="4530" w:type="dxa"/>
          </w:tcPr>
          <w:p w14:paraId="574A674D" w14:textId="77777777" w:rsidR="007C3F79" w:rsidRPr="00EB512D" w:rsidRDefault="007C3F79" w:rsidP="00B359C5">
            <w:pPr>
              <w:autoSpaceDE w:val="0"/>
              <w:autoSpaceDN w:val="0"/>
              <w:adjustRightInd w:val="0"/>
              <w:rPr>
                <w:color w:val="000000"/>
                <w:lang w:eastAsia="sk-SK"/>
              </w:rPr>
            </w:pPr>
            <w:r w:rsidRPr="00EB512D">
              <w:rPr>
                <w:color w:val="000000"/>
                <w:lang w:eastAsia="sk-SK"/>
              </w:rPr>
              <w:t>Indikátor ABC</w:t>
            </w:r>
          </w:p>
        </w:tc>
        <w:tc>
          <w:tcPr>
            <w:tcW w:w="1134" w:type="dxa"/>
          </w:tcPr>
          <w:p w14:paraId="5C69E1D8" w14:textId="77777777" w:rsidR="007C3F79" w:rsidRPr="00EB512D" w:rsidRDefault="007C3F79" w:rsidP="00B359C5">
            <w:pPr>
              <w:autoSpaceDE w:val="0"/>
              <w:autoSpaceDN w:val="0"/>
              <w:adjustRightInd w:val="0"/>
              <w:jc w:val="right"/>
              <w:rPr>
                <w:color w:val="000000"/>
                <w:lang w:eastAsia="sk-SK"/>
              </w:rPr>
            </w:pPr>
          </w:p>
        </w:tc>
        <w:tc>
          <w:tcPr>
            <w:tcW w:w="1134" w:type="dxa"/>
          </w:tcPr>
          <w:p w14:paraId="6509F262" w14:textId="77777777" w:rsidR="007C3F79" w:rsidRPr="00EB512D" w:rsidRDefault="007C3F79" w:rsidP="00B359C5">
            <w:pPr>
              <w:autoSpaceDE w:val="0"/>
              <w:autoSpaceDN w:val="0"/>
              <w:adjustRightInd w:val="0"/>
              <w:jc w:val="right"/>
              <w:rPr>
                <w:color w:val="000000"/>
                <w:lang w:eastAsia="sk-SK"/>
              </w:rPr>
            </w:pPr>
          </w:p>
        </w:tc>
        <w:tc>
          <w:tcPr>
            <w:tcW w:w="1134" w:type="dxa"/>
          </w:tcPr>
          <w:p w14:paraId="49A48E6A" w14:textId="77777777" w:rsidR="007C3F79" w:rsidRPr="00EB512D" w:rsidRDefault="007C3F79" w:rsidP="00B359C5">
            <w:pPr>
              <w:autoSpaceDE w:val="0"/>
              <w:autoSpaceDN w:val="0"/>
              <w:adjustRightInd w:val="0"/>
              <w:jc w:val="right"/>
              <w:rPr>
                <w:color w:val="000000"/>
                <w:lang w:eastAsia="sk-SK"/>
              </w:rPr>
            </w:pPr>
          </w:p>
        </w:tc>
        <w:tc>
          <w:tcPr>
            <w:tcW w:w="1134" w:type="dxa"/>
          </w:tcPr>
          <w:p w14:paraId="48F8592A" w14:textId="77777777" w:rsidR="007C3F79" w:rsidRPr="00EB512D" w:rsidRDefault="007C3F79" w:rsidP="00B359C5">
            <w:pPr>
              <w:autoSpaceDE w:val="0"/>
              <w:autoSpaceDN w:val="0"/>
              <w:adjustRightInd w:val="0"/>
              <w:jc w:val="right"/>
              <w:rPr>
                <w:color w:val="000000"/>
                <w:lang w:eastAsia="sk-SK"/>
              </w:rPr>
            </w:pPr>
          </w:p>
        </w:tc>
      </w:tr>
      <w:tr w:rsidR="007C3F79" w:rsidRPr="00EB512D" w14:paraId="7057B17D" w14:textId="77777777" w:rsidTr="00B359C5">
        <w:trPr>
          <w:trHeight w:val="70"/>
        </w:trPr>
        <w:tc>
          <w:tcPr>
            <w:tcW w:w="4530" w:type="dxa"/>
          </w:tcPr>
          <w:p w14:paraId="56078DCD" w14:textId="77777777" w:rsidR="007C3F79" w:rsidRPr="00EB512D" w:rsidRDefault="007C3F79" w:rsidP="00B359C5">
            <w:pPr>
              <w:autoSpaceDE w:val="0"/>
              <w:autoSpaceDN w:val="0"/>
              <w:adjustRightInd w:val="0"/>
              <w:rPr>
                <w:color w:val="000000"/>
                <w:lang w:eastAsia="sk-SK"/>
              </w:rPr>
            </w:pPr>
            <w:r w:rsidRPr="00EB512D">
              <w:rPr>
                <w:color w:val="000000"/>
                <w:lang w:eastAsia="sk-SK"/>
              </w:rPr>
              <w:t>Indikátor KLM</w:t>
            </w:r>
          </w:p>
        </w:tc>
        <w:tc>
          <w:tcPr>
            <w:tcW w:w="1134" w:type="dxa"/>
          </w:tcPr>
          <w:p w14:paraId="7AD7E1C9" w14:textId="77777777" w:rsidR="007C3F79" w:rsidRPr="00EB512D" w:rsidRDefault="007C3F79" w:rsidP="00B359C5">
            <w:pPr>
              <w:autoSpaceDE w:val="0"/>
              <w:autoSpaceDN w:val="0"/>
              <w:adjustRightInd w:val="0"/>
              <w:jc w:val="right"/>
              <w:rPr>
                <w:color w:val="000000"/>
                <w:lang w:eastAsia="sk-SK"/>
              </w:rPr>
            </w:pPr>
          </w:p>
        </w:tc>
        <w:tc>
          <w:tcPr>
            <w:tcW w:w="1134" w:type="dxa"/>
          </w:tcPr>
          <w:p w14:paraId="46FDE6F0" w14:textId="77777777" w:rsidR="007C3F79" w:rsidRPr="00EB512D" w:rsidRDefault="007C3F79" w:rsidP="00B359C5">
            <w:pPr>
              <w:autoSpaceDE w:val="0"/>
              <w:autoSpaceDN w:val="0"/>
              <w:adjustRightInd w:val="0"/>
              <w:jc w:val="right"/>
              <w:rPr>
                <w:color w:val="000000"/>
                <w:lang w:eastAsia="sk-SK"/>
              </w:rPr>
            </w:pPr>
          </w:p>
        </w:tc>
        <w:tc>
          <w:tcPr>
            <w:tcW w:w="1134" w:type="dxa"/>
          </w:tcPr>
          <w:p w14:paraId="1591560A" w14:textId="77777777" w:rsidR="007C3F79" w:rsidRPr="00EB512D" w:rsidRDefault="007C3F79" w:rsidP="00B359C5">
            <w:pPr>
              <w:autoSpaceDE w:val="0"/>
              <w:autoSpaceDN w:val="0"/>
              <w:adjustRightInd w:val="0"/>
              <w:jc w:val="right"/>
              <w:rPr>
                <w:color w:val="000000"/>
                <w:lang w:eastAsia="sk-SK"/>
              </w:rPr>
            </w:pPr>
          </w:p>
        </w:tc>
        <w:tc>
          <w:tcPr>
            <w:tcW w:w="1134" w:type="dxa"/>
          </w:tcPr>
          <w:p w14:paraId="039E70BD" w14:textId="77777777" w:rsidR="007C3F79" w:rsidRPr="00EB512D" w:rsidRDefault="007C3F79" w:rsidP="00B359C5">
            <w:pPr>
              <w:autoSpaceDE w:val="0"/>
              <w:autoSpaceDN w:val="0"/>
              <w:adjustRightInd w:val="0"/>
              <w:jc w:val="right"/>
              <w:rPr>
                <w:color w:val="000000"/>
                <w:lang w:eastAsia="sk-SK"/>
              </w:rPr>
            </w:pPr>
          </w:p>
        </w:tc>
      </w:tr>
      <w:tr w:rsidR="007C3F79" w:rsidRPr="00EB512D" w14:paraId="20D5084B" w14:textId="77777777" w:rsidTr="00B359C5">
        <w:trPr>
          <w:trHeight w:val="70"/>
        </w:trPr>
        <w:tc>
          <w:tcPr>
            <w:tcW w:w="4530" w:type="dxa"/>
          </w:tcPr>
          <w:p w14:paraId="6F40F667" w14:textId="77777777" w:rsidR="007C3F79" w:rsidRPr="00EB512D" w:rsidRDefault="007C3F79" w:rsidP="00B359C5">
            <w:pPr>
              <w:autoSpaceDE w:val="0"/>
              <w:autoSpaceDN w:val="0"/>
              <w:adjustRightInd w:val="0"/>
              <w:rPr>
                <w:color w:val="000000"/>
                <w:lang w:eastAsia="sk-SK"/>
              </w:rPr>
            </w:pPr>
            <w:r w:rsidRPr="00EB512D">
              <w:rPr>
                <w:color w:val="000000"/>
                <w:lang w:eastAsia="sk-SK"/>
              </w:rPr>
              <w:t>Indikátor XYZ</w:t>
            </w:r>
          </w:p>
        </w:tc>
        <w:tc>
          <w:tcPr>
            <w:tcW w:w="1134" w:type="dxa"/>
          </w:tcPr>
          <w:p w14:paraId="2A39C023" w14:textId="77777777" w:rsidR="007C3F79" w:rsidRPr="00EB512D" w:rsidRDefault="007C3F79" w:rsidP="00B359C5">
            <w:pPr>
              <w:autoSpaceDE w:val="0"/>
              <w:autoSpaceDN w:val="0"/>
              <w:adjustRightInd w:val="0"/>
              <w:jc w:val="right"/>
              <w:rPr>
                <w:color w:val="000000"/>
                <w:lang w:eastAsia="sk-SK"/>
              </w:rPr>
            </w:pPr>
          </w:p>
        </w:tc>
        <w:tc>
          <w:tcPr>
            <w:tcW w:w="1134" w:type="dxa"/>
          </w:tcPr>
          <w:p w14:paraId="048CB5CB" w14:textId="77777777" w:rsidR="007C3F79" w:rsidRPr="00EB512D" w:rsidRDefault="007C3F79" w:rsidP="00B359C5">
            <w:pPr>
              <w:autoSpaceDE w:val="0"/>
              <w:autoSpaceDN w:val="0"/>
              <w:adjustRightInd w:val="0"/>
              <w:jc w:val="right"/>
              <w:rPr>
                <w:color w:val="000000"/>
                <w:lang w:eastAsia="sk-SK"/>
              </w:rPr>
            </w:pPr>
          </w:p>
        </w:tc>
        <w:tc>
          <w:tcPr>
            <w:tcW w:w="1134" w:type="dxa"/>
          </w:tcPr>
          <w:p w14:paraId="2526CD44" w14:textId="77777777" w:rsidR="007C3F79" w:rsidRPr="00EB512D" w:rsidRDefault="007C3F79" w:rsidP="00B359C5">
            <w:pPr>
              <w:autoSpaceDE w:val="0"/>
              <w:autoSpaceDN w:val="0"/>
              <w:adjustRightInd w:val="0"/>
              <w:jc w:val="right"/>
              <w:rPr>
                <w:color w:val="000000"/>
                <w:lang w:eastAsia="sk-SK"/>
              </w:rPr>
            </w:pPr>
          </w:p>
        </w:tc>
        <w:tc>
          <w:tcPr>
            <w:tcW w:w="1134" w:type="dxa"/>
          </w:tcPr>
          <w:p w14:paraId="5C9D7D19" w14:textId="77777777" w:rsidR="007C3F79" w:rsidRPr="00EB512D" w:rsidRDefault="007C3F79" w:rsidP="00B359C5">
            <w:pPr>
              <w:autoSpaceDE w:val="0"/>
              <w:autoSpaceDN w:val="0"/>
              <w:adjustRightInd w:val="0"/>
              <w:jc w:val="right"/>
              <w:rPr>
                <w:color w:val="000000"/>
                <w:lang w:eastAsia="sk-SK"/>
              </w:rPr>
            </w:pPr>
          </w:p>
        </w:tc>
      </w:tr>
    </w:tbl>
    <w:p w14:paraId="27ABE16A" w14:textId="77777777" w:rsidR="007C3F79" w:rsidRPr="00EB512D" w:rsidRDefault="007C3F79" w:rsidP="007C3F79">
      <w:pPr>
        <w:rPr>
          <w:lang w:eastAsia="sk-SK"/>
        </w:rPr>
      </w:pPr>
    </w:p>
    <w:p w14:paraId="07F373E1" w14:textId="77777777" w:rsidR="007C3F79" w:rsidRPr="00EB512D" w:rsidRDefault="007C3F79" w:rsidP="007C3F79">
      <w:pPr>
        <w:rPr>
          <w:lang w:eastAsia="sk-SK"/>
        </w:rPr>
      </w:pPr>
    </w:p>
    <w:p w14:paraId="21B14672" w14:textId="77777777" w:rsidR="007C3F79" w:rsidRPr="00EB512D" w:rsidRDefault="007C3F79" w:rsidP="007C3F79">
      <w:pPr>
        <w:rPr>
          <w:b/>
          <w:bCs/>
          <w:lang w:eastAsia="sk-SK"/>
        </w:rPr>
      </w:pPr>
      <w:r w:rsidRPr="00EB512D">
        <w:rPr>
          <w:b/>
          <w:bCs/>
          <w:lang w:eastAsia="sk-SK"/>
        </w:rPr>
        <w:t xml:space="preserve">2.2.4. Výpočty vplyvov </w:t>
      </w:r>
      <w:proofErr w:type="gramStart"/>
      <w:r w:rsidRPr="00EB512D">
        <w:rPr>
          <w:b/>
          <w:bCs/>
          <w:lang w:eastAsia="sk-SK"/>
        </w:rPr>
        <w:t>na</w:t>
      </w:r>
      <w:proofErr w:type="gramEnd"/>
      <w:r w:rsidRPr="00EB512D">
        <w:rPr>
          <w:b/>
          <w:bCs/>
          <w:lang w:eastAsia="sk-SK"/>
        </w:rPr>
        <w:t xml:space="preserve"> verejné financie</w:t>
      </w:r>
    </w:p>
    <w:p w14:paraId="28E856BC" w14:textId="77777777" w:rsidR="007C3F79" w:rsidRPr="00EB512D" w:rsidRDefault="007C3F79" w:rsidP="007C3F79">
      <w:pPr>
        <w:rPr>
          <w:lang w:eastAsia="sk-SK"/>
        </w:rPr>
      </w:pPr>
    </w:p>
    <w:p w14:paraId="74544389" w14:textId="77777777" w:rsidR="007C3F79" w:rsidRPr="00EB512D" w:rsidRDefault="007C3F79" w:rsidP="007C3F79">
      <w:pPr>
        <w:ind w:firstLine="708"/>
        <w:jc w:val="both"/>
        <w:rPr>
          <w:lang w:eastAsia="sk-SK"/>
        </w:rPr>
      </w:pPr>
      <w:r w:rsidRPr="00EB512D">
        <w:rPr>
          <w:lang w:eastAsia="sk-SK"/>
        </w:rPr>
        <w:t xml:space="preserve">Uveďte najdôležitejšie výpočty, ktoré boli použité </w:t>
      </w:r>
      <w:proofErr w:type="gramStart"/>
      <w:r w:rsidRPr="00EB512D">
        <w:rPr>
          <w:lang w:eastAsia="sk-SK"/>
        </w:rPr>
        <w:t>na</w:t>
      </w:r>
      <w:proofErr w:type="gramEnd"/>
      <w:r w:rsidRPr="00EB512D">
        <w:rPr>
          <w:lang w:eastAsia="sk-SK"/>
        </w:rPr>
        <w:t xml:space="preserve"> stanovenie vplyvov na príjmy a výdavky, ako aj predpoklady, z ktorých ste vychádzali. Predkladateľ by mal jasne odlíšiť podklady </w:t>
      </w:r>
      <w:proofErr w:type="gramStart"/>
      <w:r w:rsidRPr="00EB512D">
        <w:rPr>
          <w:lang w:eastAsia="sk-SK"/>
        </w:rPr>
        <w:t>od</w:t>
      </w:r>
      <w:proofErr w:type="gramEnd"/>
      <w:r w:rsidRPr="00EB512D">
        <w:rPr>
          <w:lang w:eastAsia="sk-SK"/>
        </w:rPr>
        <w:t xml:space="preserve"> kapitol a organizácií, aby bolo jasne vidieť základ použitý na výpočty.</w:t>
      </w:r>
    </w:p>
    <w:p w14:paraId="5FAFC56B" w14:textId="77777777" w:rsidR="007C3F79" w:rsidRPr="00EB512D" w:rsidRDefault="007C3F79" w:rsidP="007C3F79">
      <w:pPr>
        <w:jc w:val="both"/>
        <w:rPr>
          <w:lang w:eastAsia="sk-SK"/>
        </w:rPr>
      </w:pPr>
    </w:p>
    <w:p w14:paraId="75359460"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Národná agentúra pre sieťové a elektronické služby (NASES) pri výpočte finančných dopadov návrhu novely zákona zohľadnila vlastné skúsenosti s poskytovaním služieb technickej podpory, údržby a poskytovaním servisných služieb, integrácii a komplexných služieb implementácie spoločných modulov. </w:t>
      </w:r>
    </w:p>
    <w:p w14:paraId="238A2668" w14:textId="77777777" w:rsidR="007C3F79" w:rsidRPr="00EB512D" w:rsidRDefault="007C3F79" w:rsidP="007C3F79">
      <w:pPr>
        <w:pStyle w:val="p3"/>
        <w:rPr>
          <w:rFonts w:eastAsia="Times New Roman"/>
          <w:sz w:val="24"/>
          <w:szCs w:val="24"/>
          <w:lang w:val="sk-SK" w:eastAsia="sk-SK"/>
        </w:rPr>
      </w:pPr>
    </w:p>
    <w:p w14:paraId="05F01D41"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Prehľad jednotlivých výdavkov v členení na kapitálové a prevádzkové finančné dopady v rokoch 2019 – 2021 sú uvedené v nasledujúcej tabuľke.</w:t>
      </w:r>
    </w:p>
    <w:p w14:paraId="679F064D" w14:textId="77777777" w:rsidR="007C3F79" w:rsidRPr="00EB512D" w:rsidRDefault="007C3F79" w:rsidP="007C3F79">
      <w:pPr>
        <w:pStyle w:val="p3"/>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681"/>
        <w:gridCol w:w="1786"/>
        <w:gridCol w:w="1531"/>
        <w:gridCol w:w="1660"/>
      </w:tblGrid>
      <w:tr w:rsidR="007C3F79" w:rsidRPr="00EB512D" w14:paraId="15B57DAC" w14:textId="77777777" w:rsidTr="00B359C5">
        <w:tc>
          <w:tcPr>
            <w:tcW w:w="2507" w:type="dxa"/>
            <w:shd w:val="clear" w:color="auto" w:fill="auto"/>
          </w:tcPr>
          <w:p w14:paraId="5AC1A0F2" w14:textId="77777777" w:rsidR="007C3F79" w:rsidRPr="00EB512D" w:rsidRDefault="007C3F79" w:rsidP="00B359C5">
            <w:pPr>
              <w:pStyle w:val="p3"/>
              <w:rPr>
                <w:sz w:val="24"/>
                <w:szCs w:val="24"/>
                <w:lang w:val="sk-SK"/>
              </w:rPr>
            </w:pPr>
            <w:r w:rsidRPr="00EB512D">
              <w:rPr>
                <w:sz w:val="24"/>
                <w:szCs w:val="24"/>
                <w:lang w:val="sk-SK"/>
              </w:rPr>
              <w:t>Cena s DPH</w:t>
            </w:r>
          </w:p>
        </w:tc>
        <w:tc>
          <w:tcPr>
            <w:tcW w:w="1712" w:type="dxa"/>
            <w:shd w:val="clear" w:color="auto" w:fill="auto"/>
          </w:tcPr>
          <w:p w14:paraId="5148501C" w14:textId="77777777" w:rsidR="007C3F79" w:rsidRPr="00EB512D" w:rsidRDefault="007C3F79" w:rsidP="00B359C5">
            <w:pPr>
              <w:pStyle w:val="p3"/>
              <w:rPr>
                <w:sz w:val="24"/>
                <w:szCs w:val="24"/>
                <w:lang w:val="sk-SK"/>
              </w:rPr>
            </w:pPr>
            <w:r w:rsidRPr="00EB512D">
              <w:rPr>
                <w:sz w:val="24"/>
                <w:szCs w:val="24"/>
                <w:lang w:val="sk-SK"/>
              </w:rPr>
              <w:t>Rok 2019</w:t>
            </w:r>
          </w:p>
        </w:tc>
        <w:tc>
          <w:tcPr>
            <w:tcW w:w="1843" w:type="dxa"/>
            <w:shd w:val="clear" w:color="auto" w:fill="auto"/>
          </w:tcPr>
          <w:p w14:paraId="5E362719" w14:textId="77777777" w:rsidR="007C3F79" w:rsidRPr="00EB512D" w:rsidRDefault="007C3F79" w:rsidP="00B359C5">
            <w:pPr>
              <w:pStyle w:val="p3"/>
              <w:rPr>
                <w:sz w:val="24"/>
                <w:szCs w:val="24"/>
                <w:lang w:val="sk-SK"/>
              </w:rPr>
            </w:pPr>
            <w:r w:rsidRPr="00EB512D">
              <w:rPr>
                <w:sz w:val="24"/>
                <w:szCs w:val="24"/>
                <w:lang w:val="sk-SK"/>
              </w:rPr>
              <w:t>Rok 2020</w:t>
            </w:r>
          </w:p>
        </w:tc>
        <w:tc>
          <w:tcPr>
            <w:tcW w:w="1559" w:type="dxa"/>
            <w:shd w:val="clear" w:color="auto" w:fill="auto"/>
          </w:tcPr>
          <w:p w14:paraId="5E86DD9F" w14:textId="77777777" w:rsidR="007C3F79" w:rsidRPr="00EB512D" w:rsidRDefault="007C3F79" w:rsidP="00B359C5">
            <w:pPr>
              <w:pStyle w:val="p3"/>
              <w:rPr>
                <w:sz w:val="24"/>
                <w:szCs w:val="24"/>
                <w:lang w:val="sk-SK"/>
              </w:rPr>
            </w:pPr>
            <w:r w:rsidRPr="00EB512D">
              <w:rPr>
                <w:sz w:val="24"/>
                <w:szCs w:val="24"/>
                <w:lang w:val="sk-SK"/>
              </w:rPr>
              <w:t>Rok 2021</w:t>
            </w:r>
          </w:p>
        </w:tc>
        <w:tc>
          <w:tcPr>
            <w:tcW w:w="1667" w:type="dxa"/>
            <w:shd w:val="clear" w:color="auto" w:fill="auto"/>
          </w:tcPr>
          <w:p w14:paraId="76F0FA0B" w14:textId="77777777" w:rsidR="007C3F79" w:rsidRPr="00EB512D" w:rsidRDefault="007C3F79" w:rsidP="00B359C5">
            <w:pPr>
              <w:pStyle w:val="p3"/>
              <w:rPr>
                <w:sz w:val="24"/>
                <w:szCs w:val="24"/>
                <w:lang w:val="sk-SK"/>
              </w:rPr>
            </w:pPr>
            <w:r w:rsidRPr="00EB512D">
              <w:rPr>
                <w:sz w:val="24"/>
                <w:szCs w:val="24"/>
                <w:lang w:val="sk-SK"/>
              </w:rPr>
              <w:t>spolu</w:t>
            </w:r>
          </w:p>
        </w:tc>
      </w:tr>
      <w:tr w:rsidR="007C3F79" w:rsidRPr="00EB512D" w14:paraId="6080EAAB" w14:textId="77777777" w:rsidTr="00B359C5">
        <w:trPr>
          <w:trHeight w:val="630"/>
        </w:trPr>
        <w:tc>
          <w:tcPr>
            <w:tcW w:w="2507" w:type="dxa"/>
            <w:shd w:val="clear" w:color="auto" w:fill="auto"/>
          </w:tcPr>
          <w:p w14:paraId="6EA2E4C2" w14:textId="77777777" w:rsidR="007C3F79" w:rsidRPr="00EB512D" w:rsidRDefault="007C3F79" w:rsidP="00B359C5">
            <w:pPr>
              <w:pStyle w:val="p3"/>
              <w:rPr>
                <w:b/>
                <w:sz w:val="24"/>
                <w:szCs w:val="24"/>
                <w:lang w:val="sk-SK"/>
              </w:rPr>
            </w:pPr>
            <w:r w:rsidRPr="00EB512D">
              <w:rPr>
                <w:b/>
                <w:sz w:val="24"/>
                <w:szCs w:val="24"/>
                <w:lang w:val="sk-SK"/>
              </w:rPr>
              <w:t>Kapitálové výdavky:</w:t>
            </w:r>
          </w:p>
        </w:tc>
        <w:tc>
          <w:tcPr>
            <w:tcW w:w="1712" w:type="dxa"/>
            <w:shd w:val="clear" w:color="auto" w:fill="auto"/>
          </w:tcPr>
          <w:p w14:paraId="7A2EC5EF"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€ 1 600 000,00</w:t>
            </w:r>
          </w:p>
        </w:tc>
        <w:tc>
          <w:tcPr>
            <w:tcW w:w="1843" w:type="dxa"/>
            <w:shd w:val="clear" w:color="auto" w:fill="auto"/>
          </w:tcPr>
          <w:p w14:paraId="6F6C4B8C"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€ 3 020 000,00</w:t>
            </w:r>
          </w:p>
        </w:tc>
        <w:tc>
          <w:tcPr>
            <w:tcW w:w="1559" w:type="dxa"/>
            <w:shd w:val="clear" w:color="auto" w:fill="auto"/>
          </w:tcPr>
          <w:p w14:paraId="289B1F17"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€ 560 000,00</w:t>
            </w:r>
          </w:p>
        </w:tc>
        <w:tc>
          <w:tcPr>
            <w:tcW w:w="1667" w:type="dxa"/>
            <w:shd w:val="clear" w:color="auto" w:fill="auto"/>
          </w:tcPr>
          <w:p w14:paraId="6204781D"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€5 180 000,00</w:t>
            </w:r>
          </w:p>
        </w:tc>
      </w:tr>
      <w:tr w:rsidR="007C3F79" w:rsidRPr="00EB512D" w14:paraId="18A44E32" w14:textId="77777777" w:rsidTr="00B359C5">
        <w:tc>
          <w:tcPr>
            <w:tcW w:w="2507" w:type="dxa"/>
            <w:shd w:val="clear" w:color="auto" w:fill="auto"/>
          </w:tcPr>
          <w:p w14:paraId="4CB77ECF" w14:textId="77777777" w:rsidR="007C3F79" w:rsidRPr="00EB512D" w:rsidRDefault="007C3F79" w:rsidP="00B359C5">
            <w:pPr>
              <w:pStyle w:val="p3"/>
              <w:rPr>
                <w:sz w:val="24"/>
                <w:szCs w:val="24"/>
                <w:lang w:val="sk-SK"/>
              </w:rPr>
            </w:pPr>
            <w:r w:rsidRPr="00EB512D">
              <w:rPr>
                <w:sz w:val="24"/>
                <w:szCs w:val="24"/>
                <w:lang w:val="sk-SK"/>
              </w:rPr>
              <w:t>HW a SW</w:t>
            </w:r>
          </w:p>
        </w:tc>
        <w:tc>
          <w:tcPr>
            <w:tcW w:w="1712" w:type="dxa"/>
            <w:shd w:val="clear" w:color="auto" w:fill="auto"/>
          </w:tcPr>
          <w:p w14:paraId="36889920"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€ 1200 000,00</w:t>
            </w:r>
          </w:p>
        </w:tc>
        <w:tc>
          <w:tcPr>
            <w:tcW w:w="1843" w:type="dxa"/>
            <w:shd w:val="clear" w:color="auto" w:fill="auto"/>
          </w:tcPr>
          <w:p w14:paraId="316736DE"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€ 700 000,00</w:t>
            </w:r>
          </w:p>
        </w:tc>
        <w:tc>
          <w:tcPr>
            <w:tcW w:w="1559" w:type="dxa"/>
            <w:shd w:val="clear" w:color="auto" w:fill="auto"/>
          </w:tcPr>
          <w:p w14:paraId="5FB0BF1C"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€ 0,00</w:t>
            </w:r>
          </w:p>
        </w:tc>
        <w:tc>
          <w:tcPr>
            <w:tcW w:w="1667" w:type="dxa"/>
            <w:shd w:val="clear" w:color="auto" w:fill="auto"/>
          </w:tcPr>
          <w:p w14:paraId="1AA0748F"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€1 900 000,00</w:t>
            </w:r>
          </w:p>
        </w:tc>
      </w:tr>
      <w:tr w:rsidR="007C3F79" w:rsidRPr="00EB512D" w14:paraId="4101922F" w14:textId="77777777" w:rsidTr="00B359C5">
        <w:tc>
          <w:tcPr>
            <w:tcW w:w="2507" w:type="dxa"/>
            <w:shd w:val="clear" w:color="auto" w:fill="auto"/>
          </w:tcPr>
          <w:p w14:paraId="72588923" w14:textId="77777777" w:rsidR="007C3F79" w:rsidRPr="00EB512D" w:rsidRDefault="007C3F79" w:rsidP="00B359C5">
            <w:pPr>
              <w:pStyle w:val="p3"/>
              <w:rPr>
                <w:sz w:val="24"/>
                <w:szCs w:val="24"/>
                <w:lang w:val="sk-SK"/>
              </w:rPr>
            </w:pPr>
            <w:r w:rsidRPr="00EB512D">
              <w:rPr>
                <w:sz w:val="24"/>
                <w:szCs w:val="24"/>
                <w:lang w:val="sk-SK"/>
              </w:rPr>
              <w:t>Ostatné dopady</w:t>
            </w:r>
          </w:p>
        </w:tc>
        <w:tc>
          <w:tcPr>
            <w:tcW w:w="1712" w:type="dxa"/>
            <w:shd w:val="clear" w:color="auto" w:fill="auto"/>
          </w:tcPr>
          <w:p w14:paraId="4991EDAA"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€ 400 000,00</w:t>
            </w:r>
          </w:p>
        </w:tc>
        <w:tc>
          <w:tcPr>
            <w:tcW w:w="1843" w:type="dxa"/>
            <w:shd w:val="clear" w:color="auto" w:fill="auto"/>
          </w:tcPr>
          <w:p w14:paraId="7E576699"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€ 2 320 000,00</w:t>
            </w:r>
          </w:p>
        </w:tc>
        <w:tc>
          <w:tcPr>
            <w:tcW w:w="1559" w:type="dxa"/>
            <w:shd w:val="clear" w:color="auto" w:fill="auto"/>
          </w:tcPr>
          <w:p w14:paraId="7A080599"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€ 560 000,00</w:t>
            </w:r>
          </w:p>
        </w:tc>
        <w:tc>
          <w:tcPr>
            <w:tcW w:w="1667" w:type="dxa"/>
            <w:shd w:val="clear" w:color="auto" w:fill="auto"/>
          </w:tcPr>
          <w:p w14:paraId="20CBAEE7"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€3 280 000,00</w:t>
            </w:r>
          </w:p>
        </w:tc>
      </w:tr>
      <w:tr w:rsidR="007C3F79" w:rsidRPr="00EB512D" w14:paraId="556CB78D" w14:textId="77777777" w:rsidTr="00B359C5">
        <w:tc>
          <w:tcPr>
            <w:tcW w:w="2507" w:type="dxa"/>
            <w:shd w:val="clear" w:color="auto" w:fill="auto"/>
          </w:tcPr>
          <w:p w14:paraId="7451ECBD" w14:textId="77777777" w:rsidR="007C3F79" w:rsidRPr="00EB512D" w:rsidRDefault="007C3F79" w:rsidP="00B359C5">
            <w:pPr>
              <w:pStyle w:val="p3"/>
              <w:rPr>
                <w:b/>
                <w:sz w:val="24"/>
                <w:szCs w:val="24"/>
                <w:lang w:val="sk-SK"/>
              </w:rPr>
            </w:pPr>
            <w:r w:rsidRPr="00EB512D">
              <w:rPr>
                <w:b/>
                <w:sz w:val="24"/>
                <w:szCs w:val="24"/>
                <w:lang w:val="sk-SK"/>
              </w:rPr>
              <w:t>Iné prevádzkové náklady:</w:t>
            </w:r>
          </w:p>
        </w:tc>
        <w:tc>
          <w:tcPr>
            <w:tcW w:w="1712" w:type="dxa"/>
            <w:shd w:val="clear" w:color="auto" w:fill="auto"/>
          </w:tcPr>
          <w:p w14:paraId="05F3FC6F"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€ 200 000,00</w:t>
            </w:r>
          </w:p>
        </w:tc>
        <w:tc>
          <w:tcPr>
            <w:tcW w:w="1843" w:type="dxa"/>
            <w:shd w:val="clear" w:color="auto" w:fill="auto"/>
          </w:tcPr>
          <w:p w14:paraId="7C27E5D8"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€ 300 000,00</w:t>
            </w:r>
          </w:p>
        </w:tc>
        <w:tc>
          <w:tcPr>
            <w:tcW w:w="1559" w:type="dxa"/>
            <w:shd w:val="clear" w:color="auto" w:fill="auto"/>
          </w:tcPr>
          <w:p w14:paraId="21A9802A"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€ 100 000,00</w:t>
            </w:r>
          </w:p>
        </w:tc>
        <w:tc>
          <w:tcPr>
            <w:tcW w:w="1667" w:type="dxa"/>
            <w:shd w:val="clear" w:color="auto" w:fill="auto"/>
          </w:tcPr>
          <w:p w14:paraId="7EA685EC" w14:textId="77777777" w:rsidR="007C3F79" w:rsidRPr="00EB512D" w:rsidRDefault="007C3F79" w:rsidP="00B359C5">
            <w:pPr>
              <w:pStyle w:val="p3"/>
              <w:rPr>
                <w:sz w:val="24"/>
                <w:szCs w:val="24"/>
                <w:lang w:val="sk-SK"/>
              </w:rPr>
            </w:pPr>
            <w:r w:rsidRPr="00EB512D">
              <w:rPr>
                <w:rFonts w:eastAsia="Times New Roman"/>
                <w:b/>
                <w:sz w:val="24"/>
                <w:szCs w:val="24"/>
                <w:lang w:val="sk-SK" w:eastAsia="sk-SK"/>
              </w:rPr>
              <w:t>€ 600 000,00</w:t>
            </w:r>
          </w:p>
        </w:tc>
      </w:tr>
      <w:tr w:rsidR="007C3F79" w:rsidRPr="00EB512D" w14:paraId="4F61F555" w14:textId="77777777" w:rsidTr="00B359C5">
        <w:tc>
          <w:tcPr>
            <w:tcW w:w="2507" w:type="dxa"/>
            <w:shd w:val="clear" w:color="auto" w:fill="auto"/>
          </w:tcPr>
          <w:p w14:paraId="46CA9023" w14:textId="77777777" w:rsidR="007C3F79" w:rsidRPr="00EB512D" w:rsidRDefault="007C3F79" w:rsidP="00B359C5">
            <w:pPr>
              <w:pStyle w:val="p3"/>
              <w:rPr>
                <w:sz w:val="24"/>
                <w:szCs w:val="24"/>
                <w:lang w:val="sk-SK"/>
              </w:rPr>
            </w:pPr>
            <w:r w:rsidRPr="00EB512D">
              <w:rPr>
                <w:sz w:val="24"/>
                <w:szCs w:val="24"/>
                <w:lang w:val="sk-SK"/>
              </w:rPr>
              <w:t>HW a SW</w:t>
            </w:r>
          </w:p>
        </w:tc>
        <w:tc>
          <w:tcPr>
            <w:tcW w:w="1712" w:type="dxa"/>
            <w:shd w:val="clear" w:color="auto" w:fill="auto"/>
          </w:tcPr>
          <w:p w14:paraId="6408687A"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€ 200 000,00</w:t>
            </w:r>
          </w:p>
        </w:tc>
        <w:tc>
          <w:tcPr>
            <w:tcW w:w="1843" w:type="dxa"/>
            <w:shd w:val="clear" w:color="auto" w:fill="auto"/>
          </w:tcPr>
          <w:p w14:paraId="319D0163"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€ 50 000,00</w:t>
            </w:r>
          </w:p>
        </w:tc>
        <w:tc>
          <w:tcPr>
            <w:tcW w:w="1559" w:type="dxa"/>
            <w:shd w:val="clear" w:color="auto" w:fill="auto"/>
          </w:tcPr>
          <w:p w14:paraId="6F4B1079"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€ 0,00</w:t>
            </w:r>
          </w:p>
        </w:tc>
        <w:tc>
          <w:tcPr>
            <w:tcW w:w="1667" w:type="dxa"/>
            <w:shd w:val="clear" w:color="auto" w:fill="auto"/>
          </w:tcPr>
          <w:p w14:paraId="2DC3E62C"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€ 250 000,00</w:t>
            </w:r>
          </w:p>
        </w:tc>
      </w:tr>
      <w:tr w:rsidR="007C3F79" w:rsidRPr="00EB512D" w14:paraId="4CD2AE6E" w14:textId="77777777" w:rsidTr="00B359C5">
        <w:tc>
          <w:tcPr>
            <w:tcW w:w="2507" w:type="dxa"/>
            <w:shd w:val="clear" w:color="auto" w:fill="auto"/>
          </w:tcPr>
          <w:p w14:paraId="7C0DA56D" w14:textId="77777777" w:rsidR="007C3F79" w:rsidRPr="00EB512D" w:rsidRDefault="007C3F79" w:rsidP="00B359C5">
            <w:pPr>
              <w:pStyle w:val="p3"/>
              <w:rPr>
                <w:sz w:val="24"/>
                <w:szCs w:val="24"/>
                <w:lang w:val="sk-SK"/>
              </w:rPr>
            </w:pPr>
            <w:r w:rsidRPr="00EB512D">
              <w:rPr>
                <w:sz w:val="24"/>
                <w:szCs w:val="24"/>
                <w:lang w:val="sk-SK"/>
              </w:rPr>
              <w:t>Aplikácie</w:t>
            </w:r>
          </w:p>
        </w:tc>
        <w:tc>
          <w:tcPr>
            <w:tcW w:w="1712" w:type="dxa"/>
            <w:shd w:val="clear" w:color="auto" w:fill="auto"/>
          </w:tcPr>
          <w:p w14:paraId="329047DA"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€ 0,00</w:t>
            </w:r>
          </w:p>
        </w:tc>
        <w:tc>
          <w:tcPr>
            <w:tcW w:w="1843" w:type="dxa"/>
            <w:shd w:val="clear" w:color="auto" w:fill="auto"/>
          </w:tcPr>
          <w:p w14:paraId="64213668"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€ 250 000,00</w:t>
            </w:r>
          </w:p>
        </w:tc>
        <w:tc>
          <w:tcPr>
            <w:tcW w:w="1559" w:type="dxa"/>
            <w:shd w:val="clear" w:color="auto" w:fill="auto"/>
          </w:tcPr>
          <w:p w14:paraId="6931272B"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€ 100 000,00</w:t>
            </w:r>
          </w:p>
        </w:tc>
        <w:tc>
          <w:tcPr>
            <w:tcW w:w="1667" w:type="dxa"/>
            <w:shd w:val="clear" w:color="auto" w:fill="auto"/>
          </w:tcPr>
          <w:p w14:paraId="1DB89256" w14:textId="77777777" w:rsidR="007C3F79" w:rsidRPr="00EB512D" w:rsidRDefault="007C3F79" w:rsidP="00B359C5">
            <w:pPr>
              <w:pStyle w:val="p3"/>
              <w:rPr>
                <w:sz w:val="24"/>
                <w:szCs w:val="24"/>
                <w:lang w:val="sk-SK"/>
              </w:rPr>
            </w:pPr>
            <w:r w:rsidRPr="00EB512D">
              <w:rPr>
                <w:rFonts w:eastAsia="Times New Roman"/>
                <w:sz w:val="24"/>
                <w:szCs w:val="24"/>
                <w:lang w:val="sk-SK" w:eastAsia="sk-SK"/>
              </w:rPr>
              <w:t>€ 350 000,00</w:t>
            </w:r>
          </w:p>
        </w:tc>
      </w:tr>
    </w:tbl>
    <w:p w14:paraId="497A8CD9" w14:textId="77777777" w:rsidR="007C3F79" w:rsidRPr="00EB512D" w:rsidRDefault="007C3F79" w:rsidP="007C3F79">
      <w:pPr>
        <w:pStyle w:val="p3"/>
        <w:rPr>
          <w:lang w:val="sk-SK"/>
        </w:rPr>
      </w:pPr>
    </w:p>
    <w:p w14:paraId="7D7A4755" w14:textId="77777777" w:rsidR="007C3F79" w:rsidRPr="00EB512D" w:rsidRDefault="007C3F79" w:rsidP="007C3F79">
      <w:pPr>
        <w:pStyle w:val="p3"/>
        <w:rPr>
          <w:rFonts w:eastAsia="Times New Roman"/>
          <w:sz w:val="24"/>
          <w:szCs w:val="24"/>
          <w:lang w:val="sk-SK" w:eastAsia="sk-SK"/>
        </w:rPr>
      </w:pPr>
    </w:p>
    <w:p w14:paraId="570F744D"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Medzi hlavné dopady zmien navrhovanej novely zákona o e-Governemente, ktoré je nutné implementovať v rámci kompetencií NASES ako prevádzkovateľa ÚPVS patria:</w:t>
      </w:r>
    </w:p>
    <w:p w14:paraId="06ED8186" w14:textId="77777777" w:rsidR="007C3F79" w:rsidRPr="00EB512D" w:rsidRDefault="007C3F79" w:rsidP="007C3F79">
      <w:pPr>
        <w:pStyle w:val="p3"/>
        <w:rPr>
          <w:rFonts w:eastAsia="Times New Roman"/>
          <w:sz w:val="24"/>
          <w:szCs w:val="24"/>
          <w:lang w:val="sk-SK" w:eastAsia="sk-SK"/>
        </w:rPr>
      </w:pPr>
    </w:p>
    <w:p w14:paraId="608E9319" w14:textId="77777777" w:rsidR="007C3F79" w:rsidRPr="00EB512D" w:rsidRDefault="007C3F79" w:rsidP="007C3F79">
      <w:pPr>
        <w:pStyle w:val="p3"/>
        <w:numPr>
          <w:ilvl w:val="0"/>
          <w:numId w:val="20"/>
        </w:numPr>
        <w:rPr>
          <w:rFonts w:eastAsia="Times New Roman"/>
          <w:sz w:val="24"/>
          <w:szCs w:val="24"/>
          <w:lang w:val="sk-SK" w:eastAsia="sk-SK"/>
        </w:rPr>
      </w:pPr>
      <w:r w:rsidRPr="00EB512D">
        <w:rPr>
          <w:rFonts w:eastAsia="Times New Roman"/>
          <w:sz w:val="24"/>
          <w:szCs w:val="24"/>
          <w:lang w:val="sk-SK" w:eastAsia="sk-SK"/>
        </w:rPr>
        <w:t>Zriaďovanie elektronických schránok na žiadosť orgánov verejnej moci podľa osobitných predpisov.</w:t>
      </w:r>
    </w:p>
    <w:p w14:paraId="58AE005F" w14:textId="77777777" w:rsidR="007C3F79" w:rsidRPr="00EB512D" w:rsidRDefault="007C3F79" w:rsidP="007C3F79">
      <w:pPr>
        <w:pStyle w:val="p3"/>
        <w:numPr>
          <w:ilvl w:val="0"/>
          <w:numId w:val="20"/>
        </w:numPr>
        <w:rPr>
          <w:rFonts w:eastAsia="Times New Roman"/>
          <w:sz w:val="24"/>
          <w:szCs w:val="24"/>
          <w:lang w:val="sk-SK" w:eastAsia="sk-SK"/>
        </w:rPr>
      </w:pPr>
      <w:r w:rsidRPr="00EB512D">
        <w:rPr>
          <w:rFonts w:eastAsia="Times New Roman"/>
          <w:sz w:val="24"/>
          <w:szCs w:val="24"/>
          <w:lang w:val="sk-SK" w:eastAsia="sk-SK"/>
        </w:rPr>
        <w:t>Rozšírenie evidencie autentifikačných certifikátov v centrálnom registri.</w:t>
      </w:r>
    </w:p>
    <w:p w14:paraId="265111A2"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Autentifikácia úradným autentifikátorom pre tretie strany.</w:t>
      </w:r>
    </w:p>
    <w:p w14:paraId="0F1E3485" w14:textId="77777777" w:rsidR="007C3F79" w:rsidRPr="00EB512D" w:rsidRDefault="007C3F79" w:rsidP="007C3F79">
      <w:pPr>
        <w:pStyle w:val="p3"/>
        <w:rPr>
          <w:rFonts w:eastAsia="Times New Roman"/>
          <w:b/>
          <w:sz w:val="24"/>
          <w:szCs w:val="24"/>
          <w:lang w:val="sk-SK" w:eastAsia="sk-SK"/>
        </w:rPr>
      </w:pPr>
      <w:r w:rsidRPr="00EB512D">
        <w:rPr>
          <w:rFonts w:eastAsia="Times New Roman"/>
          <w:b/>
          <w:sz w:val="24"/>
          <w:szCs w:val="24"/>
          <w:lang w:val="sk-SK" w:eastAsia="sk-SK"/>
        </w:rPr>
        <w:t xml:space="preserve">Dopad § 12 ods. 6 a nasledujúcich - Zriaďovanie elektronických schránok na žiadosť orgánov verejnej moci podľa osobitných predpisov </w:t>
      </w:r>
    </w:p>
    <w:p w14:paraId="14D17C6E" w14:textId="77777777" w:rsidR="007C3F79" w:rsidRPr="00EB512D" w:rsidRDefault="007C3F79" w:rsidP="007C3F79">
      <w:pPr>
        <w:pStyle w:val="p3"/>
        <w:ind w:left="142"/>
        <w:rPr>
          <w:rFonts w:eastAsia="Times New Roman"/>
          <w:b/>
          <w:sz w:val="24"/>
          <w:szCs w:val="24"/>
          <w:lang w:val="sk-SK" w:eastAsia="sk-SK"/>
        </w:rPr>
      </w:pPr>
    </w:p>
    <w:tbl>
      <w:tblPr>
        <w:tblW w:w="8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417"/>
        <w:gridCol w:w="2679"/>
        <w:gridCol w:w="2679"/>
      </w:tblGrid>
      <w:tr w:rsidR="007C3F79" w:rsidRPr="00EB512D" w14:paraId="22A13AA3" w14:textId="77777777" w:rsidTr="00B359C5">
        <w:trPr>
          <w:trHeight w:val="315"/>
        </w:trPr>
        <w:tc>
          <w:tcPr>
            <w:tcW w:w="1424" w:type="dxa"/>
            <w:shd w:val="clear" w:color="auto" w:fill="auto"/>
            <w:hideMark/>
          </w:tcPr>
          <w:p w14:paraId="439F3E95"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2019</w:t>
            </w:r>
          </w:p>
        </w:tc>
        <w:tc>
          <w:tcPr>
            <w:tcW w:w="1417" w:type="dxa"/>
            <w:shd w:val="clear" w:color="auto" w:fill="auto"/>
            <w:hideMark/>
          </w:tcPr>
          <w:p w14:paraId="4F30C3ED"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2020</w:t>
            </w:r>
          </w:p>
        </w:tc>
        <w:tc>
          <w:tcPr>
            <w:tcW w:w="2679" w:type="dxa"/>
            <w:shd w:val="clear" w:color="auto" w:fill="auto"/>
            <w:hideMark/>
          </w:tcPr>
          <w:p w14:paraId="1CD94739"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2021</w:t>
            </w:r>
          </w:p>
        </w:tc>
        <w:tc>
          <w:tcPr>
            <w:tcW w:w="2679" w:type="dxa"/>
            <w:shd w:val="clear" w:color="auto" w:fill="auto"/>
            <w:hideMark/>
          </w:tcPr>
          <w:p w14:paraId="568E0D4E"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spolu</w:t>
            </w:r>
          </w:p>
        </w:tc>
      </w:tr>
      <w:tr w:rsidR="007C3F79" w:rsidRPr="00EB512D" w14:paraId="320E2613" w14:textId="77777777" w:rsidTr="00B359C5">
        <w:trPr>
          <w:trHeight w:val="630"/>
        </w:trPr>
        <w:tc>
          <w:tcPr>
            <w:tcW w:w="1424" w:type="dxa"/>
            <w:shd w:val="clear" w:color="auto" w:fill="auto"/>
            <w:noWrap/>
          </w:tcPr>
          <w:p w14:paraId="1E5335C4" w14:textId="77777777" w:rsidR="007C3F79" w:rsidRPr="00EB512D" w:rsidRDefault="007C3F79" w:rsidP="00B359C5">
            <w:r w:rsidRPr="00EB512D">
              <w:t>45 000,00</w:t>
            </w:r>
          </w:p>
        </w:tc>
        <w:tc>
          <w:tcPr>
            <w:tcW w:w="1417" w:type="dxa"/>
            <w:shd w:val="clear" w:color="auto" w:fill="auto"/>
            <w:noWrap/>
          </w:tcPr>
          <w:p w14:paraId="79425CAB" w14:textId="77777777" w:rsidR="007C3F79" w:rsidRPr="00EB512D" w:rsidRDefault="007C3F79" w:rsidP="00B359C5">
            <w:r w:rsidRPr="00EB512D">
              <w:t>261 000,00</w:t>
            </w:r>
          </w:p>
        </w:tc>
        <w:tc>
          <w:tcPr>
            <w:tcW w:w="2679" w:type="dxa"/>
            <w:shd w:val="clear" w:color="auto" w:fill="auto"/>
            <w:noWrap/>
          </w:tcPr>
          <w:p w14:paraId="01E9FC5E" w14:textId="77777777" w:rsidR="007C3F79" w:rsidRPr="00EB512D" w:rsidRDefault="007C3F79" w:rsidP="00B359C5">
            <w:r w:rsidRPr="00EB512D">
              <w:t>63 000,00</w:t>
            </w:r>
          </w:p>
        </w:tc>
        <w:tc>
          <w:tcPr>
            <w:tcW w:w="2679" w:type="dxa"/>
            <w:shd w:val="clear" w:color="auto" w:fill="auto"/>
          </w:tcPr>
          <w:p w14:paraId="08835986" w14:textId="77777777" w:rsidR="007C3F79" w:rsidRPr="00EB512D" w:rsidRDefault="007C3F79" w:rsidP="00B359C5">
            <w:r w:rsidRPr="00EB512D">
              <w:t>369 000,00</w:t>
            </w:r>
          </w:p>
        </w:tc>
      </w:tr>
    </w:tbl>
    <w:p w14:paraId="63D780CE" w14:textId="77777777" w:rsidR="007C3F79" w:rsidRPr="00EB512D" w:rsidRDefault="007C3F79" w:rsidP="007C3F79">
      <w:pPr>
        <w:pStyle w:val="p3"/>
        <w:rPr>
          <w:rFonts w:eastAsia="Times New Roman"/>
          <w:b/>
          <w:sz w:val="24"/>
          <w:szCs w:val="24"/>
          <w:lang w:val="sk-SK" w:eastAsia="sk-SK"/>
        </w:rPr>
      </w:pPr>
    </w:p>
    <w:p w14:paraId="5D754E97"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Je potrebné zaviesť proces zriadenia a zmeny schránky na žiadosť orgánov verejnej moci</w:t>
      </w:r>
      <w:r w:rsidRPr="00EB512D">
        <w:rPr>
          <w:sz w:val="22"/>
          <w:szCs w:val="22"/>
          <w:lang w:val="sk-SK"/>
        </w:rPr>
        <w:t xml:space="preserve">, ktoré v </w:t>
      </w:r>
      <w:r w:rsidRPr="00EB512D">
        <w:rPr>
          <w:rFonts w:eastAsia="Times New Roman"/>
          <w:sz w:val="24"/>
          <w:szCs w:val="24"/>
          <w:lang w:val="sk-SK" w:eastAsia="sk-SK"/>
        </w:rPr>
        <w:t>rozsahu ustanovenom osobitným predpisom plnia úlohy vo veciach ochrany ústavného zriadenia, vnútorného poriadku a bezpečnosti štátu, a to na účely plnenia ich úloh s možnosťou automatického dopĺňania údajov z referenčných registrov.</w:t>
      </w:r>
    </w:p>
    <w:p w14:paraId="7854E0A7"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lastRenderedPageBreak/>
        <w:t>Zmeny na existujúcich riešeniach ÚPVS budú zahŕňať najmä úpravu integrácie ÚPVS s IS dotknutých orgánov verejnej moci, úpravu existujúcich funkcionalít ÚPVS na správu elektronických schránok.</w:t>
      </w:r>
    </w:p>
    <w:p w14:paraId="6B3B52CA" w14:textId="77777777" w:rsidR="007C3F79" w:rsidRPr="00EB512D" w:rsidRDefault="007C3F79" w:rsidP="007C3F79">
      <w:pPr>
        <w:pStyle w:val="p3"/>
        <w:rPr>
          <w:rFonts w:eastAsia="Times New Roman"/>
          <w:sz w:val="24"/>
          <w:szCs w:val="24"/>
          <w:lang w:val="sk-SK" w:eastAsia="sk-SK"/>
        </w:rPr>
      </w:pPr>
    </w:p>
    <w:p w14:paraId="5DE3ED6B" w14:textId="77777777" w:rsidR="007C3F79" w:rsidRPr="00EB512D" w:rsidRDefault="007C3F79" w:rsidP="007C3F79">
      <w:pPr>
        <w:pStyle w:val="p3"/>
        <w:rPr>
          <w:rFonts w:eastAsia="Times New Roman"/>
          <w:b/>
          <w:sz w:val="24"/>
          <w:szCs w:val="24"/>
          <w:lang w:val="sk-SK" w:eastAsia="sk-SK"/>
        </w:rPr>
      </w:pPr>
      <w:r w:rsidRPr="00EB512D">
        <w:rPr>
          <w:rFonts w:eastAsia="Times New Roman"/>
          <w:b/>
          <w:sz w:val="24"/>
          <w:szCs w:val="24"/>
          <w:lang w:val="sk-SK" w:eastAsia="sk-SK"/>
        </w:rPr>
        <w:t xml:space="preserve">Dopad § 22a - Rozšírenie evidencie autentifikačných certifikátov v centrálnom registri </w:t>
      </w:r>
    </w:p>
    <w:p w14:paraId="0C17FA37" w14:textId="77777777" w:rsidR="007C3F79" w:rsidRPr="00EB512D" w:rsidRDefault="007C3F79" w:rsidP="007C3F79">
      <w:pPr>
        <w:pStyle w:val="p3"/>
        <w:rPr>
          <w:rFonts w:eastAsia="Times New Roman"/>
          <w:b/>
          <w:sz w:val="24"/>
          <w:szCs w:val="24"/>
          <w:lang w:val="sk-SK" w:eastAsia="sk-SK"/>
        </w:rPr>
      </w:pPr>
    </w:p>
    <w:tbl>
      <w:tblPr>
        <w:tblW w:w="8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417"/>
        <w:gridCol w:w="2679"/>
        <w:gridCol w:w="2679"/>
      </w:tblGrid>
      <w:tr w:rsidR="007C3F79" w:rsidRPr="00EB512D" w14:paraId="50206A5E" w14:textId="77777777" w:rsidTr="00B359C5">
        <w:trPr>
          <w:trHeight w:val="315"/>
        </w:trPr>
        <w:tc>
          <w:tcPr>
            <w:tcW w:w="1424" w:type="dxa"/>
            <w:shd w:val="clear" w:color="auto" w:fill="auto"/>
            <w:hideMark/>
          </w:tcPr>
          <w:p w14:paraId="0EE6C961"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2019</w:t>
            </w:r>
          </w:p>
        </w:tc>
        <w:tc>
          <w:tcPr>
            <w:tcW w:w="1417" w:type="dxa"/>
            <w:shd w:val="clear" w:color="auto" w:fill="auto"/>
            <w:hideMark/>
          </w:tcPr>
          <w:p w14:paraId="46C846F5"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2020</w:t>
            </w:r>
          </w:p>
        </w:tc>
        <w:tc>
          <w:tcPr>
            <w:tcW w:w="2679" w:type="dxa"/>
            <w:shd w:val="clear" w:color="auto" w:fill="auto"/>
            <w:hideMark/>
          </w:tcPr>
          <w:p w14:paraId="0C57121A"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2021</w:t>
            </w:r>
          </w:p>
        </w:tc>
        <w:tc>
          <w:tcPr>
            <w:tcW w:w="2679" w:type="dxa"/>
            <w:shd w:val="clear" w:color="auto" w:fill="auto"/>
            <w:hideMark/>
          </w:tcPr>
          <w:p w14:paraId="035E34E8"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spolu</w:t>
            </w:r>
          </w:p>
        </w:tc>
      </w:tr>
      <w:tr w:rsidR="007C3F79" w:rsidRPr="00EB512D" w14:paraId="1474565D" w14:textId="77777777" w:rsidTr="00B359C5">
        <w:trPr>
          <w:trHeight w:val="630"/>
        </w:trPr>
        <w:tc>
          <w:tcPr>
            <w:tcW w:w="1424" w:type="dxa"/>
            <w:shd w:val="clear" w:color="auto" w:fill="auto"/>
            <w:noWrap/>
          </w:tcPr>
          <w:p w14:paraId="069D79EF" w14:textId="77777777" w:rsidR="007C3F79" w:rsidRPr="00EB512D" w:rsidRDefault="007C3F79" w:rsidP="00B359C5">
            <w:r w:rsidRPr="00EB512D">
              <w:t>200 000,00</w:t>
            </w:r>
          </w:p>
        </w:tc>
        <w:tc>
          <w:tcPr>
            <w:tcW w:w="1417" w:type="dxa"/>
            <w:shd w:val="clear" w:color="auto" w:fill="auto"/>
            <w:noWrap/>
          </w:tcPr>
          <w:p w14:paraId="625B7ADF" w14:textId="77777777" w:rsidR="007C3F79" w:rsidRPr="00EB512D" w:rsidRDefault="007C3F79" w:rsidP="00B359C5">
            <w:r w:rsidRPr="00EB512D">
              <w:t>1 160 000,00</w:t>
            </w:r>
          </w:p>
        </w:tc>
        <w:tc>
          <w:tcPr>
            <w:tcW w:w="2679" w:type="dxa"/>
            <w:shd w:val="clear" w:color="auto" w:fill="auto"/>
            <w:noWrap/>
          </w:tcPr>
          <w:p w14:paraId="6A85ADED" w14:textId="77777777" w:rsidR="007C3F79" w:rsidRPr="00EB512D" w:rsidRDefault="007C3F79" w:rsidP="00B359C5">
            <w:r w:rsidRPr="00EB512D">
              <w:t>280 000,00</w:t>
            </w:r>
          </w:p>
        </w:tc>
        <w:tc>
          <w:tcPr>
            <w:tcW w:w="2679" w:type="dxa"/>
            <w:shd w:val="clear" w:color="auto" w:fill="auto"/>
          </w:tcPr>
          <w:p w14:paraId="256E5309" w14:textId="77777777" w:rsidR="007C3F79" w:rsidRPr="00EB512D" w:rsidRDefault="007C3F79" w:rsidP="00B359C5">
            <w:r w:rsidRPr="00EB512D">
              <w:t>1 640 000,00</w:t>
            </w:r>
          </w:p>
        </w:tc>
      </w:tr>
    </w:tbl>
    <w:p w14:paraId="4E21FC4F" w14:textId="77777777" w:rsidR="007C3F79" w:rsidRPr="00EB512D" w:rsidRDefault="007C3F79" w:rsidP="007C3F79">
      <w:pPr>
        <w:pStyle w:val="p3"/>
        <w:rPr>
          <w:rFonts w:eastAsia="Times New Roman"/>
          <w:b/>
          <w:sz w:val="24"/>
          <w:szCs w:val="24"/>
          <w:lang w:val="sk-SK" w:eastAsia="sk-SK"/>
        </w:rPr>
      </w:pPr>
    </w:p>
    <w:p w14:paraId="08D94A54"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Zmena sa týka rozšírenia centrálneho registra autentifikačných certifikátov o evidenciu účelu, informačného systému, programového prostriedku a aplikačného rozhrania.</w:t>
      </w:r>
    </w:p>
    <w:p w14:paraId="13053403"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Technicky bude register rozšírený o služby umožňujúce registráciu vyššie uvedených požiadaviek. Je nutné rozšíriť informácie v technických prostriedkoch prihlasovania a v rozhraniach umožňujúcich prihlasovanie tak, aby boli tieto údaje overované.</w:t>
      </w:r>
    </w:p>
    <w:p w14:paraId="49A9131B" w14:textId="77777777" w:rsidR="007C3F79" w:rsidRPr="00EB512D" w:rsidRDefault="007C3F79" w:rsidP="007C3F79">
      <w:pPr>
        <w:pStyle w:val="p3"/>
        <w:rPr>
          <w:rFonts w:eastAsia="Times New Roman"/>
          <w:sz w:val="24"/>
          <w:szCs w:val="24"/>
          <w:lang w:val="sk-SK" w:eastAsia="sk-SK"/>
        </w:rPr>
      </w:pPr>
    </w:p>
    <w:p w14:paraId="764EDF9A" w14:textId="77777777" w:rsidR="007C3F79" w:rsidRPr="00EB512D" w:rsidRDefault="007C3F79" w:rsidP="007C3F79">
      <w:pPr>
        <w:pStyle w:val="p3"/>
        <w:rPr>
          <w:rFonts w:eastAsia="Times New Roman"/>
          <w:b/>
          <w:sz w:val="24"/>
          <w:szCs w:val="24"/>
          <w:lang w:val="sk-SK" w:eastAsia="sk-SK"/>
        </w:rPr>
      </w:pPr>
      <w:r w:rsidRPr="00EB512D">
        <w:rPr>
          <w:rFonts w:eastAsia="Times New Roman"/>
          <w:b/>
          <w:sz w:val="24"/>
          <w:szCs w:val="24"/>
          <w:lang w:val="sk-SK" w:eastAsia="sk-SK"/>
        </w:rPr>
        <w:t xml:space="preserve">Dopad Čl. V, VI a VII - Autentifikácia úradným autentifikátorom pre tretie strany </w:t>
      </w:r>
    </w:p>
    <w:p w14:paraId="4AE50D42" w14:textId="77777777" w:rsidR="007C3F79" w:rsidRPr="00EB512D" w:rsidRDefault="007C3F79" w:rsidP="007C3F79">
      <w:pPr>
        <w:pStyle w:val="p3"/>
        <w:rPr>
          <w:rFonts w:eastAsia="Times New Roman"/>
          <w:b/>
          <w:sz w:val="24"/>
          <w:szCs w:val="24"/>
          <w:lang w:val="sk-SK" w:eastAsia="sk-SK"/>
        </w:rPr>
      </w:pPr>
    </w:p>
    <w:tbl>
      <w:tblPr>
        <w:tblW w:w="8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417"/>
        <w:gridCol w:w="2679"/>
        <w:gridCol w:w="2679"/>
      </w:tblGrid>
      <w:tr w:rsidR="007C3F79" w:rsidRPr="00EB512D" w14:paraId="042F82C7" w14:textId="77777777" w:rsidTr="00B359C5">
        <w:trPr>
          <w:trHeight w:val="315"/>
        </w:trPr>
        <w:tc>
          <w:tcPr>
            <w:tcW w:w="1424" w:type="dxa"/>
            <w:shd w:val="clear" w:color="auto" w:fill="auto"/>
            <w:hideMark/>
          </w:tcPr>
          <w:p w14:paraId="503A6F9F"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2019</w:t>
            </w:r>
          </w:p>
        </w:tc>
        <w:tc>
          <w:tcPr>
            <w:tcW w:w="1417" w:type="dxa"/>
            <w:shd w:val="clear" w:color="auto" w:fill="auto"/>
            <w:hideMark/>
          </w:tcPr>
          <w:p w14:paraId="6CD90E03"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2020</w:t>
            </w:r>
          </w:p>
        </w:tc>
        <w:tc>
          <w:tcPr>
            <w:tcW w:w="2679" w:type="dxa"/>
            <w:shd w:val="clear" w:color="auto" w:fill="auto"/>
            <w:hideMark/>
          </w:tcPr>
          <w:p w14:paraId="5DFB6E77"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2021</w:t>
            </w:r>
          </w:p>
        </w:tc>
        <w:tc>
          <w:tcPr>
            <w:tcW w:w="2679" w:type="dxa"/>
            <w:shd w:val="clear" w:color="auto" w:fill="auto"/>
            <w:hideMark/>
          </w:tcPr>
          <w:p w14:paraId="11C9C24B"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spolu</w:t>
            </w:r>
          </w:p>
        </w:tc>
      </w:tr>
      <w:tr w:rsidR="007C3F79" w:rsidRPr="00EB512D" w14:paraId="5A99833E" w14:textId="77777777" w:rsidTr="00B359C5">
        <w:trPr>
          <w:trHeight w:val="630"/>
        </w:trPr>
        <w:tc>
          <w:tcPr>
            <w:tcW w:w="1424" w:type="dxa"/>
            <w:shd w:val="clear" w:color="auto" w:fill="auto"/>
            <w:noWrap/>
          </w:tcPr>
          <w:p w14:paraId="2DB8C35E" w14:textId="77777777" w:rsidR="007C3F79" w:rsidRPr="00EB512D" w:rsidRDefault="007C3F79" w:rsidP="00B359C5">
            <w:r w:rsidRPr="00EB512D">
              <w:t>155 000,00</w:t>
            </w:r>
          </w:p>
        </w:tc>
        <w:tc>
          <w:tcPr>
            <w:tcW w:w="1417" w:type="dxa"/>
            <w:shd w:val="clear" w:color="auto" w:fill="auto"/>
            <w:noWrap/>
          </w:tcPr>
          <w:p w14:paraId="242BB408" w14:textId="77777777" w:rsidR="007C3F79" w:rsidRPr="00EB512D" w:rsidRDefault="007C3F79" w:rsidP="00B359C5">
            <w:r w:rsidRPr="00EB512D">
              <w:t>899 000,00</w:t>
            </w:r>
          </w:p>
        </w:tc>
        <w:tc>
          <w:tcPr>
            <w:tcW w:w="2679" w:type="dxa"/>
            <w:shd w:val="clear" w:color="auto" w:fill="auto"/>
            <w:noWrap/>
          </w:tcPr>
          <w:p w14:paraId="3BA66A4D" w14:textId="77777777" w:rsidR="007C3F79" w:rsidRPr="00EB512D" w:rsidRDefault="007C3F79" w:rsidP="00B359C5">
            <w:r w:rsidRPr="00EB512D">
              <w:t>217 000,00</w:t>
            </w:r>
          </w:p>
        </w:tc>
        <w:tc>
          <w:tcPr>
            <w:tcW w:w="2679" w:type="dxa"/>
            <w:shd w:val="clear" w:color="auto" w:fill="auto"/>
          </w:tcPr>
          <w:p w14:paraId="7A48EC2D" w14:textId="77777777" w:rsidR="007C3F79" w:rsidRPr="00EB512D" w:rsidRDefault="007C3F79" w:rsidP="00B359C5">
            <w:r w:rsidRPr="00EB512D">
              <w:t>1 271 000,00</w:t>
            </w:r>
          </w:p>
        </w:tc>
      </w:tr>
    </w:tbl>
    <w:p w14:paraId="4E4CB5F8" w14:textId="77777777" w:rsidR="007C3F79" w:rsidRPr="00EB512D" w:rsidRDefault="007C3F79" w:rsidP="007C3F79">
      <w:pPr>
        <w:pStyle w:val="p3"/>
        <w:rPr>
          <w:rFonts w:eastAsia="Times New Roman"/>
          <w:b/>
          <w:sz w:val="24"/>
          <w:szCs w:val="24"/>
          <w:lang w:val="sk-SK" w:eastAsia="sk-SK"/>
        </w:rPr>
      </w:pPr>
    </w:p>
    <w:p w14:paraId="6FEDB9C4"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S minimálnymi funkčnými dopadmi a to v prípade, ak existujúce údaje budú postačujúce na účely identifikácie k IS tretích strán. Vzhľadom však na očakávané zvýšenie počtu volaní služieb overenia a autentifikácie je potrebné na ÚPVS posilnenie HW a SW infraštruktúry. </w:t>
      </w:r>
    </w:p>
    <w:p w14:paraId="0DFC89C5" w14:textId="77777777" w:rsidR="007C3F79" w:rsidRPr="00EB512D" w:rsidRDefault="007C3F79" w:rsidP="007C3F79">
      <w:pPr>
        <w:pStyle w:val="p3"/>
        <w:rPr>
          <w:rFonts w:eastAsia="Times New Roman"/>
          <w:sz w:val="24"/>
          <w:szCs w:val="24"/>
          <w:lang w:val="sk-SK" w:eastAsia="sk-SK"/>
        </w:rPr>
      </w:pPr>
    </w:p>
    <w:p w14:paraId="2C3DFDE5" w14:textId="77777777" w:rsidR="007C3F79" w:rsidRPr="00EB512D" w:rsidRDefault="007C3F79" w:rsidP="007C3F79">
      <w:pPr>
        <w:pStyle w:val="p3"/>
        <w:rPr>
          <w:rFonts w:eastAsia="Times New Roman"/>
          <w:sz w:val="24"/>
          <w:szCs w:val="24"/>
          <w:lang w:val="sk-SK" w:eastAsia="sk-SK"/>
        </w:rPr>
      </w:pPr>
      <w:r w:rsidRPr="00EB512D">
        <w:rPr>
          <w:rFonts w:eastAsia="Times New Roman"/>
          <w:b/>
          <w:sz w:val="24"/>
          <w:szCs w:val="24"/>
          <w:lang w:val="sk-SK" w:eastAsia="sk-SK"/>
        </w:rPr>
        <w:t xml:space="preserve">Dopad § 25, odsek 7 verejne dostupné aplikačné rozhranie pre vytvorenie a podanie elektronického podania automatizovaným spôsobom. </w:t>
      </w:r>
    </w:p>
    <w:p w14:paraId="6141FDED"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Úrad podpredsedu vlády SR pre investície a informatizáciu vyhlásil dopytovo-orientovanú výzvu z Operačného programu Integrovaná infraštruktúra 2014 – 2020, prioritná os 7. Finančné prostriedky v tejto výzv sú alokované pre subjekty verejnej správy pre splnenie si uvedenej povinnosti. Výzva je vyhlásená s alokáciou 30 mil. EUR, ktoré sa budú čerpať projektmi postupne od roku 2020 do roku 2022 s výhľadom 2023. Okrem EÚ financovania je nutné počítať so spolufinancovaním v celkovej výške takmer 10 mil. EUR. </w:t>
      </w:r>
    </w:p>
    <w:p w14:paraId="3BB74EBB" w14:textId="77777777" w:rsidR="007C3F79" w:rsidRPr="00EB512D" w:rsidRDefault="007C3F79" w:rsidP="007C3F79">
      <w:pPr>
        <w:pStyle w:val="p3"/>
        <w:rPr>
          <w:rFonts w:eastAsia="Times New Roman"/>
          <w:sz w:val="24"/>
          <w:szCs w:val="24"/>
          <w:lang w:val="sk-SK" w:eastAsia="sk-SK"/>
        </w:rPr>
      </w:pPr>
    </w:p>
    <w:p w14:paraId="0254296A" w14:textId="77777777" w:rsidR="007C3F79" w:rsidRPr="00EB512D" w:rsidRDefault="007C3F79" w:rsidP="007C3F79">
      <w:pPr>
        <w:pStyle w:val="p3"/>
        <w:rPr>
          <w:rFonts w:eastAsia="Times New Roman"/>
          <w:b/>
          <w:sz w:val="24"/>
          <w:szCs w:val="24"/>
          <w:lang w:val="sk-SK" w:eastAsia="sk-SK"/>
        </w:rPr>
      </w:pPr>
      <w:r w:rsidRPr="00EB512D">
        <w:rPr>
          <w:rFonts w:eastAsia="Times New Roman"/>
          <w:b/>
          <w:sz w:val="24"/>
          <w:szCs w:val="24"/>
          <w:lang w:val="sk-SK" w:eastAsia="sk-SK"/>
        </w:rPr>
        <w:t xml:space="preserve">Odôvodnenie pre odhad finančných dopadov pre HW a SW </w:t>
      </w:r>
    </w:p>
    <w:p w14:paraId="71C573F0" w14:textId="77777777" w:rsidR="007C3F79" w:rsidRPr="00EB512D" w:rsidRDefault="007C3F79" w:rsidP="007C3F79">
      <w:pPr>
        <w:pStyle w:val="p3"/>
        <w:rPr>
          <w:rFonts w:eastAsia="Times New Roman"/>
          <w:b/>
          <w:sz w:val="24"/>
          <w:szCs w:val="24"/>
          <w:lang w:val="sk-SK" w:eastAsia="sk-SK"/>
        </w:rPr>
      </w:pPr>
    </w:p>
    <w:tbl>
      <w:tblPr>
        <w:tblW w:w="8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417"/>
        <w:gridCol w:w="2679"/>
        <w:gridCol w:w="2679"/>
      </w:tblGrid>
      <w:tr w:rsidR="007C3F79" w:rsidRPr="00EB512D" w14:paraId="2D0BCD8D" w14:textId="77777777" w:rsidTr="00B359C5">
        <w:trPr>
          <w:trHeight w:val="315"/>
        </w:trPr>
        <w:tc>
          <w:tcPr>
            <w:tcW w:w="1424" w:type="dxa"/>
            <w:shd w:val="clear" w:color="auto" w:fill="auto"/>
            <w:hideMark/>
          </w:tcPr>
          <w:p w14:paraId="3EFDB361"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2019</w:t>
            </w:r>
          </w:p>
        </w:tc>
        <w:tc>
          <w:tcPr>
            <w:tcW w:w="1417" w:type="dxa"/>
            <w:shd w:val="clear" w:color="auto" w:fill="auto"/>
            <w:hideMark/>
          </w:tcPr>
          <w:p w14:paraId="25D75E17"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2020</w:t>
            </w:r>
          </w:p>
        </w:tc>
        <w:tc>
          <w:tcPr>
            <w:tcW w:w="2679" w:type="dxa"/>
            <w:shd w:val="clear" w:color="auto" w:fill="auto"/>
            <w:hideMark/>
          </w:tcPr>
          <w:p w14:paraId="524167A1"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2021</w:t>
            </w:r>
          </w:p>
        </w:tc>
        <w:tc>
          <w:tcPr>
            <w:tcW w:w="2679" w:type="dxa"/>
            <w:shd w:val="clear" w:color="auto" w:fill="auto"/>
            <w:hideMark/>
          </w:tcPr>
          <w:p w14:paraId="32316C12"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spolu</w:t>
            </w:r>
          </w:p>
        </w:tc>
      </w:tr>
      <w:tr w:rsidR="007C3F79" w:rsidRPr="00EB512D" w14:paraId="0EE9BB5A" w14:textId="77777777" w:rsidTr="00B359C5">
        <w:trPr>
          <w:trHeight w:val="630"/>
        </w:trPr>
        <w:tc>
          <w:tcPr>
            <w:tcW w:w="1424" w:type="dxa"/>
            <w:shd w:val="clear" w:color="auto" w:fill="auto"/>
            <w:noWrap/>
          </w:tcPr>
          <w:p w14:paraId="38D959FD" w14:textId="77777777" w:rsidR="007C3F79" w:rsidRPr="00EB512D" w:rsidRDefault="007C3F79" w:rsidP="00B359C5">
            <w:r w:rsidRPr="00EB512D">
              <w:t>1 200 000,00</w:t>
            </w:r>
          </w:p>
        </w:tc>
        <w:tc>
          <w:tcPr>
            <w:tcW w:w="1417" w:type="dxa"/>
            <w:shd w:val="clear" w:color="auto" w:fill="auto"/>
            <w:noWrap/>
          </w:tcPr>
          <w:p w14:paraId="055E087E" w14:textId="77777777" w:rsidR="007C3F79" w:rsidRPr="00EB512D" w:rsidRDefault="007C3F79" w:rsidP="00B359C5">
            <w:r w:rsidRPr="00EB512D">
              <w:t>700 000,00</w:t>
            </w:r>
          </w:p>
        </w:tc>
        <w:tc>
          <w:tcPr>
            <w:tcW w:w="2679" w:type="dxa"/>
            <w:shd w:val="clear" w:color="auto" w:fill="auto"/>
            <w:noWrap/>
          </w:tcPr>
          <w:p w14:paraId="03788B7D" w14:textId="77777777" w:rsidR="007C3F79" w:rsidRPr="00EB512D" w:rsidRDefault="007C3F79" w:rsidP="00B359C5">
            <w:r w:rsidRPr="00EB512D">
              <w:t>0,00</w:t>
            </w:r>
          </w:p>
        </w:tc>
        <w:tc>
          <w:tcPr>
            <w:tcW w:w="2679" w:type="dxa"/>
            <w:shd w:val="clear" w:color="auto" w:fill="auto"/>
          </w:tcPr>
          <w:p w14:paraId="428BF95A" w14:textId="77777777" w:rsidR="007C3F79" w:rsidRPr="00EB512D" w:rsidRDefault="007C3F79" w:rsidP="00B359C5">
            <w:r w:rsidRPr="00EB512D">
              <w:t>1 900 000,00</w:t>
            </w:r>
          </w:p>
        </w:tc>
      </w:tr>
    </w:tbl>
    <w:p w14:paraId="37C53460" w14:textId="77777777" w:rsidR="007C3F79" w:rsidRPr="00EB512D" w:rsidRDefault="007C3F79" w:rsidP="007C3F79">
      <w:pPr>
        <w:pStyle w:val="p3"/>
        <w:rPr>
          <w:rFonts w:eastAsia="Times New Roman"/>
          <w:sz w:val="24"/>
          <w:szCs w:val="24"/>
          <w:lang w:val="sk-SK" w:eastAsia="sk-SK"/>
        </w:rPr>
      </w:pPr>
    </w:p>
    <w:p w14:paraId="2377280F"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Odhad finančných dopadov bol stanovený na základe skúsenosti s implementáciou projektu Ústredného portálu verejnej správy, rovnako ako novelizácii zákona o e-Governmente. </w:t>
      </w:r>
    </w:p>
    <w:p w14:paraId="2D48917B" w14:textId="77777777" w:rsidR="007C3F79" w:rsidRPr="00EB512D" w:rsidRDefault="007C3F79" w:rsidP="007C3F79">
      <w:pPr>
        <w:pStyle w:val="p3"/>
        <w:rPr>
          <w:rFonts w:eastAsia="Times New Roman"/>
          <w:sz w:val="24"/>
          <w:szCs w:val="24"/>
          <w:lang w:val="sk-SK" w:eastAsia="sk-SK"/>
        </w:rPr>
      </w:pPr>
    </w:p>
    <w:p w14:paraId="5401E0D7" w14:textId="77777777" w:rsidR="007C3F79" w:rsidRPr="00EB512D" w:rsidRDefault="007C3F79" w:rsidP="007C3F79">
      <w:pPr>
        <w:pStyle w:val="p3"/>
        <w:rPr>
          <w:rFonts w:eastAsia="Times New Roman"/>
          <w:sz w:val="24"/>
          <w:szCs w:val="24"/>
          <w:lang w:val="sk-SK" w:eastAsia="sk-SK"/>
        </w:rPr>
      </w:pPr>
    </w:p>
    <w:p w14:paraId="671B8B0B"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t xml:space="preserve">Rozhodujúcim faktorom pre výber metodiky pre určenie finančných dopadov bola povaha predmetu navrhovaných zmien. Z dopadov vyplýva, že  je nevyhnutné ich realizovať ako  projekt softvérového vývoja. </w:t>
      </w:r>
    </w:p>
    <w:p w14:paraId="26B21743" w14:textId="77777777" w:rsidR="007C3F79" w:rsidRPr="00EB512D" w:rsidRDefault="007C3F79" w:rsidP="007C3F79">
      <w:pPr>
        <w:pStyle w:val="p3"/>
        <w:rPr>
          <w:rFonts w:eastAsia="Times New Roman"/>
          <w:sz w:val="24"/>
          <w:szCs w:val="24"/>
          <w:lang w:val="sk-SK" w:eastAsia="sk-SK"/>
        </w:rPr>
      </w:pPr>
      <w:r w:rsidRPr="00EB512D">
        <w:rPr>
          <w:rFonts w:eastAsia="Times New Roman"/>
          <w:sz w:val="24"/>
          <w:szCs w:val="24"/>
          <w:lang w:val="sk-SK" w:eastAsia="sk-SK"/>
        </w:rPr>
        <w:lastRenderedPageBreak/>
        <w:t>Vzhľadom na vyššie uvedené skutočnosti bola pre určenie finančných dopadov aplikovaná metodika UCP (use-case points).</w:t>
      </w:r>
    </w:p>
    <w:p w14:paraId="19333F42" w14:textId="77777777" w:rsidR="007C3F79" w:rsidRPr="00EB512D" w:rsidRDefault="007C3F79" w:rsidP="007C3F79">
      <w:pPr>
        <w:pStyle w:val="p3"/>
        <w:rPr>
          <w:rFonts w:eastAsia="Times New Roman"/>
          <w:sz w:val="24"/>
          <w:szCs w:val="24"/>
          <w:lang w:val="sk-SK" w:eastAsia="sk-SK"/>
        </w:rPr>
      </w:pPr>
    </w:p>
    <w:p w14:paraId="5E0E7940" w14:textId="77777777" w:rsidR="007C3F79" w:rsidRPr="00EB512D" w:rsidRDefault="007C3F79" w:rsidP="007C3F79">
      <w:pPr>
        <w:pStyle w:val="p3"/>
        <w:rPr>
          <w:rFonts w:eastAsia="Times New Roman"/>
          <w:b/>
          <w:sz w:val="24"/>
          <w:szCs w:val="24"/>
          <w:lang w:val="sk-SK" w:eastAsia="sk-SK"/>
        </w:rPr>
      </w:pPr>
      <w:r w:rsidRPr="00EB512D">
        <w:rPr>
          <w:rFonts w:eastAsia="Times New Roman"/>
          <w:b/>
          <w:sz w:val="24"/>
          <w:szCs w:val="24"/>
          <w:lang w:val="sk-SK" w:eastAsia="sk-SK"/>
        </w:rPr>
        <w:t>Iné prevádzkové náklady (HW a SW a Aplikácie):</w:t>
      </w:r>
    </w:p>
    <w:p w14:paraId="6C4E87E1" w14:textId="77777777" w:rsidR="007C3F79" w:rsidRPr="00EB512D" w:rsidRDefault="007C3F79" w:rsidP="007C3F79">
      <w:pPr>
        <w:pStyle w:val="p3"/>
        <w:rPr>
          <w:rFonts w:eastAsia="Times New Roman"/>
          <w:sz w:val="24"/>
          <w:szCs w:val="24"/>
          <w:lang w:val="sk-SK" w:eastAsia="sk-S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701"/>
        <w:gridCol w:w="1559"/>
        <w:gridCol w:w="1843"/>
      </w:tblGrid>
      <w:tr w:rsidR="007C3F79" w:rsidRPr="00EB512D" w14:paraId="2C900D86" w14:textId="77777777" w:rsidTr="00B359C5">
        <w:trPr>
          <w:trHeight w:val="315"/>
        </w:trPr>
        <w:tc>
          <w:tcPr>
            <w:tcW w:w="2268" w:type="dxa"/>
            <w:shd w:val="clear" w:color="auto" w:fill="auto"/>
          </w:tcPr>
          <w:p w14:paraId="1BBFB7B4" w14:textId="77777777" w:rsidR="007C3F79" w:rsidRPr="00EB512D" w:rsidRDefault="007C3F79" w:rsidP="00B359C5">
            <w:pPr>
              <w:pStyle w:val="p3"/>
              <w:rPr>
                <w:rFonts w:eastAsia="Times New Roman"/>
                <w:b/>
                <w:bCs/>
                <w:sz w:val="24"/>
                <w:szCs w:val="24"/>
                <w:lang w:eastAsia="sk-SK"/>
              </w:rPr>
            </w:pPr>
          </w:p>
        </w:tc>
        <w:tc>
          <w:tcPr>
            <w:tcW w:w="1843" w:type="dxa"/>
            <w:shd w:val="clear" w:color="auto" w:fill="auto"/>
          </w:tcPr>
          <w:p w14:paraId="24F73CB3"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2019</w:t>
            </w:r>
          </w:p>
        </w:tc>
        <w:tc>
          <w:tcPr>
            <w:tcW w:w="1701" w:type="dxa"/>
            <w:shd w:val="clear" w:color="auto" w:fill="auto"/>
          </w:tcPr>
          <w:p w14:paraId="3BE05D5E"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2020</w:t>
            </w:r>
          </w:p>
        </w:tc>
        <w:tc>
          <w:tcPr>
            <w:tcW w:w="1559" w:type="dxa"/>
            <w:shd w:val="clear" w:color="auto" w:fill="auto"/>
          </w:tcPr>
          <w:p w14:paraId="296ABDC9"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Rok 2021</w:t>
            </w:r>
          </w:p>
        </w:tc>
        <w:tc>
          <w:tcPr>
            <w:tcW w:w="1843" w:type="dxa"/>
          </w:tcPr>
          <w:p w14:paraId="7EFF8B4D"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spolu</w:t>
            </w:r>
          </w:p>
        </w:tc>
      </w:tr>
      <w:tr w:rsidR="007C3F79" w:rsidRPr="00EB512D" w14:paraId="58D34994" w14:textId="77777777" w:rsidTr="00B359C5">
        <w:trPr>
          <w:trHeight w:val="984"/>
        </w:trPr>
        <w:tc>
          <w:tcPr>
            <w:tcW w:w="2268" w:type="dxa"/>
            <w:shd w:val="clear" w:color="auto" w:fill="auto"/>
            <w:noWrap/>
          </w:tcPr>
          <w:p w14:paraId="2D638D98"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Iné prevádzkové náklady (HW a SW a Aplikácie):</w:t>
            </w:r>
          </w:p>
        </w:tc>
        <w:tc>
          <w:tcPr>
            <w:tcW w:w="1843" w:type="dxa"/>
            <w:shd w:val="clear" w:color="auto" w:fill="auto"/>
            <w:noWrap/>
          </w:tcPr>
          <w:p w14:paraId="5F3BD7BC" w14:textId="77777777" w:rsidR="007C3F79" w:rsidRPr="00EB512D" w:rsidRDefault="007C3F79" w:rsidP="00B359C5">
            <w:r w:rsidRPr="00EB512D">
              <w:t>200 000,00</w:t>
            </w:r>
          </w:p>
        </w:tc>
        <w:tc>
          <w:tcPr>
            <w:tcW w:w="1701" w:type="dxa"/>
            <w:shd w:val="clear" w:color="auto" w:fill="auto"/>
            <w:noWrap/>
          </w:tcPr>
          <w:p w14:paraId="15D02722" w14:textId="77777777" w:rsidR="007C3F79" w:rsidRPr="00EB512D" w:rsidRDefault="007C3F79" w:rsidP="00B359C5">
            <w:r w:rsidRPr="00EB512D">
              <w:t>300 000,00</w:t>
            </w:r>
          </w:p>
        </w:tc>
        <w:tc>
          <w:tcPr>
            <w:tcW w:w="1559" w:type="dxa"/>
            <w:shd w:val="clear" w:color="auto" w:fill="auto"/>
          </w:tcPr>
          <w:p w14:paraId="6D7A030A" w14:textId="77777777" w:rsidR="007C3F79" w:rsidRPr="00EB512D" w:rsidRDefault="007C3F79" w:rsidP="00B359C5">
            <w:r w:rsidRPr="00EB512D">
              <w:t>100 000,00</w:t>
            </w:r>
          </w:p>
        </w:tc>
        <w:tc>
          <w:tcPr>
            <w:tcW w:w="1843" w:type="dxa"/>
          </w:tcPr>
          <w:p w14:paraId="7CD37F9B" w14:textId="77777777" w:rsidR="007C3F79" w:rsidRPr="00EB512D" w:rsidRDefault="007C3F79" w:rsidP="00B359C5">
            <w:r w:rsidRPr="00EB512D">
              <w:t>600 000,00</w:t>
            </w:r>
          </w:p>
        </w:tc>
      </w:tr>
      <w:tr w:rsidR="007C3F79" w:rsidRPr="00EB512D" w14:paraId="725CF399" w14:textId="77777777" w:rsidTr="00B359C5">
        <w:trPr>
          <w:trHeight w:val="630"/>
        </w:trPr>
        <w:tc>
          <w:tcPr>
            <w:tcW w:w="2268" w:type="dxa"/>
            <w:shd w:val="clear" w:color="auto" w:fill="auto"/>
            <w:noWrap/>
          </w:tcPr>
          <w:p w14:paraId="3CBA9EBD"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HW a SW</w:t>
            </w:r>
          </w:p>
        </w:tc>
        <w:tc>
          <w:tcPr>
            <w:tcW w:w="1843" w:type="dxa"/>
            <w:shd w:val="clear" w:color="auto" w:fill="auto"/>
            <w:noWrap/>
          </w:tcPr>
          <w:p w14:paraId="5E6888AF" w14:textId="77777777" w:rsidR="007C3F79" w:rsidRPr="00EB512D" w:rsidRDefault="007C3F79" w:rsidP="00B359C5">
            <w:r w:rsidRPr="00EB512D">
              <w:t>200 000,00</w:t>
            </w:r>
          </w:p>
        </w:tc>
        <w:tc>
          <w:tcPr>
            <w:tcW w:w="1701" w:type="dxa"/>
            <w:shd w:val="clear" w:color="auto" w:fill="auto"/>
            <w:noWrap/>
          </w:tcPr>
          <w:p w14:paraId="6B507B1C" w14:textId="77777777" w:rsidR="007C3F79" w:rsidRPr="00EB512D" w:rsidRDefault="007C3F79" w:rsidP="00B359C5">
            <w:r w:rsidRPr="00EB512D">
              <w:t>50 000,00</w:t>
            </w:r>
          </w:p>
        </w:tc>
        <w:tc>
          <w:tcPr>
            <w:tcW w:w="1559" w:type="dxa"/>
            <w:shd w:val="clear" w:color="auto" w:fill="auto"/>
          </w:tcPr>
          <w:p w14:paraId="098FE3B3" w14:textId="77777777" w:rsidR="007C3F79" w:rsidRPr="00EB512D" w:rsidRDefault="007C3F79" w:rsidP="00B359C5">
            <w:r w:rsidRPr="00EB512D">
              <w:t>0,00</w:t>
            </w:r>
          </w:p>
        </w:tc>
        <w:tc>
          <w:tcPr>
            <w:tcW w:w="1843" w:type="dxa"/>
          </w:tcPr>
          <w:p w14:paraId="701F0DAF" w14:textId="77777777" w:rsidR="007C3F79" w:rsidRPr="00EB512D" w:rsidRDefault="007C3F79" w:rsidP="00B359C5">
            <w:r w:rsidRPr="00EB512D">
              <w:t>250 000,00</w:t>
            </w:r>
          </w:p>
        </w:tc>
      </w:tr>
      <w:tr w:rsidR="007C3F79" w:rsidRPr="00EB512D" w14:paraId="6A4985E6" w14:textId="77777777" w:rsidTr="00B359C5">
        <w:trPr>
          <w:trHeight w:val="630"/>
        </w:trPr>
        <w:tc>
          <w:tcPr>
            <w:tcW w:w="2268" w:type="dxa"/>
            <w:shd w:val="clear" w:color="auto" w:fill="auto"/>
            <w:noWrap/>
          </w:tcPr>
          <w:p w14:paraId="72FA2CB0" w14:textId="77777777" w:rsidR="007C3F79" w:rsidRPr="00EB512D" w:rsidRDefault="007C3F79" w:rsidP="00B359C5">
            <w:pPr>
              <w:pStyle w:val="p3"/>
              <w:rPr>
                <w:rFonts w:eastAsia="Times New Roman"/>
                <w:b/>
                <w:bCs/>
                <w:sz w:val="24"/>
                <w:szCs w:val="24"/>
                <w:lang w:eastAsia="sk-SK"/>
              </w:rPr>
            </w:pPr>
            <w:r w:rsidRPr="00EB512D">
              <w:rPr>
                <w:rFonts w:eastAsia="Times New Roman"/>
                <w:b/>
                <w:bCs/>
                <w:sz w:val="24"/>
                <w:szCs w:val="24"/>
                <w:lang w:eastAsia="sk-SK"/>
              </w:rPr>
              <w:t>Aplikácie</w:t>
            </w:r>
          </w:p>
          <w:p w14:paraId="029162BD" w14:textId="77777777" w:rsidR="007C3F79" w:rsidRPr="00EB512D" w:rsidRDefault="007C3F79" w:rsidP="00B359C5">
            <w:pPr>
              <w:pStyle w:val="p3"/>
              <w:rPr>
                <w:rFonts w:eastAsia="Times New Roman"/>
                <w:b/>
                <w:bCs/>
                <w:sz w:val="24"/>
                <w:szCs w:val="24"/>
                <w:lang w:eastAsia="sk-SK"/>
              </w:rPr>
            </w:pPr>
          </w:p>
        </w:tc>
        <w:tc>
          <w:tcPr>
            <w:tcW w:w="1843" w:type="dxa"/>
            <w:shd w:val="clear" w:color="auto" w:fill="auto"/>
            <w:noWrap/>
          </w:tcPr>
          <w:p w14:paraId="1E859772" w14:textId="77777777" w:rsidR="007C3F79" w:rsidRPr="00EB512D" w:rsidRDefault="007C3F79" w:rsidP="00B359C5">
            <w:r w:rsidRPr="00EB512D">
              <w:t>0,00</w:t>
            </w:r>
          </w:p>
        </w:tc>
        <w:tc>
          <w:tcPr>
            <w:tcW w:w="1701" w:type="dxa"/>
            <w:shd w:val="clear" w:color="auto" w:fill="auto"/>
            <w:noWrap/>
          </w:tcPr>
          <w:p w14:paraId="060FBF65" w14:textId="77777777" w:rsidR="007C3F79" w:rsidRPr="00EB512D" w:rsidRDefault="007C3F79" w:rsidP="00B359C5">
            <w:r w:rsidRPr="00EB512D">
              <w:t>250 000,00</w:t>
            </w:r>
          </w:p>
        </w:tc>
        <w:tc>
          <w:tcPr>
            <w:tcW w:w="1559" w:type="dxa"/>
            <w:shd w:val="clear" w:color="auto" w:fill="auto"/>
          </w:tcPr>
          <w:p w14:paraId="252E3B0B" w14:textId="77777777" w:rsidR="007C3F79" w:rsidRPr="00EB512D" w:rsidRDefault="007C3F79" w:rsidP="00B359C5">
            <w:r w:rsidRPr="00EB512D">
              <w:t>100 000,00</w:t>
            </w:r>
          </w:p>
        </w:tc>
        <w:tc>
          <w:tcPr>
            <w:tcW w:w="1843" w:type="dxa"/>
          </w:tcPr>
          <w:p w14:paraId="799BD50E" w14:textId="77777777" w:rsidR="007C3F79" w:rsidRPr="00EB512D" w:rsidRDefault="007C3F79" w:rsidP="00B359C5">
            <w:r w:rsidRPr="00EB512D">
              <w:t>350 000,00</w:t>
            </w:r>
          </w:p>
        </w:tc>
      </w:tr>
    </w:tbl>
    <w:p w14:paraId="21A2C6A9" w14:textId="77777777" w:rsidR="007C3F79" w:rsidRPr="00EB512D" w:rsidRDefault="007C3F79" w:rsidP="007C3F79">
      <w:pPr>
        <w:pStyle w:val="p3"/>
        <w:rPr>
          <w:rFonts w:eastAsia="Times New Roman"/>
          <w:sz w:val="24"/>
          <w:szCs w:val="24"/>
          <w:lang w:val="sk-SK" w:eastAsia="sk-SK"/>
        </w:rPr>
      </w:pPr>
    </w:p>
    <w:p w14:paraId="7CAC0FC4" w14:textId="77777777" w:rsidR="007C3F79" w:rsidRPr="00EB512D" w:rsidRDefault="007C3F79" w:rsidP="007C3F79">
      <w:pPr>
        <w:pStyle w:val="p3"/>
        <w:rPr>
          <w:rFonts w:eastAsia="Times New Roman"/>
          <w:sz w:val="24"/>
          <w:szCs w:val="24"/>
          <w:lang w:val="sk-SK" w:eastAsia="sk-SK"/>
        </w:rPr>
      </w:pPr>
    </w:p>
    <w:p w14:paraId="6FE5D241" w14:textId="77777777" w:rsidR="007C3F79" w:rsidRPr="00EB512D" w:rsidRDefault="007C3F79" w:rsidP="007C3F79">
      <w:pPr>
        <w:pStyle w:val="p3"/>
        <w:numPr>
          <w:ilvl w:val="0"/>
          <w:numId w:val="22"/>
        </w:numPr>
        <w:rPr>
          <w:rFonts w:eastAsia="Times New Roman"/>
          <w:b/>
          <w:sz w:val="24"/>
          <w:szCs w:val="24"/>
          <w:lang w:val="sk-SK" w:eastAsia="sk-SK"/>
        </w:rPr>
      </w:pPr>
      <w:r w:rsidRPr="00EB512D">
        <w:rPr>
          <w:rFonts w:eastAsia="Times New Roman"/>
          <w:b/>
          <w:sz w:val="24"/>
          <w:szCs w:val="24"/>
          <w:lang w:val="sk-SK" w:eastAsia="sk-SK"/>
        </w:rPr>
        <w:t>Výpočet finančných dopadov metodikou UCP</w:t>
      </w:r>
    </w:p>
    <w:p w14:paraId="5EBFF1C9" w14:textId="77777777" w:rsidR="007C3F79" w:rsidRPr="00EB512D" w:rsidRDefault="007C3F79" w:rsidP="007C3F79">
      <w:pPr>
        <w:pStyle w:val="p3"/>
        <w:rPr>
          <w:rFonts w:eastAsia="Times New Roman"/>
          <w:sz w:val="24"/>
          <w:szCs w:val="24"/>
          <w:lang w:val="sk-SK" w:eastAsia="sk-SK"/>
        </w:rPr>
      </w:pPr>
    </w:p>
    <w:p w14:paraId="04AB94B3" w14:textId="77777777" w:rsidR="007C3F79" w:rsidRPr="00EB512D" w:rsidRDefault="007C3F79" w:rsidP="007C3F79">
      <w:pPr>
        <w:pStyle w:val="p3"/>
        <w:ind w:left="709"/>
        <w:rPr>
          <w:rFonts w:eastAsia="Times New Roman"/>
          <w:sz w:val="24"/>
          <w:szCs w:val="24"/>
          <w:lang w:val="sk-SK" w:eastAsia="sk-SK"/>
        </w:rPr>
      </w:pPr>
      <w:r w:rsidRPr="00EB512D">
        <w:rPr>
          <w:rFonts w:eastAsia="Times New Roman"/>
          <w:sz w:val="24"/>
          <w:szCs w:val="24"/>
          <w:lang w:val="sk-SK" w:eastAsia="sk-SK"/>
        </w:rPr>
        <w:t>Základom výpočtu je re-formulácia požiadaviek obsiahnutých v návrhu novely do podoby use-case points (prípadov použitia) a ich následný odhad prácnosti. Samotný výpočet sa realizuje v nasledovných krokoch:</w:t>
      </w:r>
    </w:p>
    <w:p w14:paraId="457440FD" w14:textId="77777777" w:rsidR="007C3F79" w:rsidRPr="00EB512D" w:rsidRDefault="007C3F79" w:rsidP="007C3F79">
      <w:pPr>
        <w:pStyle w:val="p3"/>
        <w:numPr>
          <w:ilvl w:val="0"/>
          <w:numId w:val="21"/>
        </w:numPr>
        <w:ind w:left="1276"/>
        <w:rPr>
          <w:rFonts w:eastAsia="Times New Roman"/>
          <w:sz w:val="24"/>
          <w:szCs w:val="24"/>
          <w:lang w:val="sk-SK" w:eastAsia="sk-SK"/>
        </w:rPr>
      </w:pPr>
      <w:r w:rsidRPr="00EB512D">
        <w:rPr>
          <w:rFonts w:eastAsia="Times New Roman"/>
          <w:sz w:val="24"/>
          <w:szCs w:val="24"/>
          <w:lang w:val="sk-SK" w:eastAsia="sk-SK"/>
        </w:rPr>
        <w:t>Výpočet hodnoty UUCW,</w:t>
      </w:r>
    </w:p>
    <w:p w14:paraId="17EDF8F6" w14:textId="77777777" w:rsidR="007C3F79" w:rsidRPr="00EB512D" w:rsidRDefault="007C3F79" w:rsidP="007C3F79">
      <w:pPr>
        <w:pStyle w:val="p3"/>
        <w:numPr>
          <w:ilvl w:val="0"/>
          <w:numId w:val="21"/>
        </w:numPr>
        <w:ind w:left="1276"/>
        <w:rPr>
          <w:rFonts w:eastAsia="Times New Roman"/>
          <w:sz w:val="24"/>
          <w:szCs w:val="24"/>
          <w:lang w:val="sk-SK" w:eastAsia="sk-SK"/>
        </w:rPr>
      </w:pPr>
      <w:r w:rsidRPr="00EB512D">
        <w:rPr>
          <w:rFonts w:eastAsia="Times New Roman"/>
          <w:sz w:val="24"/>
          <w:szCs w:val="24"/>
          <w:lang w:val="sk-SK" w:eastAsia="sk-SK"/>
        </w:rPr>
        <w:t>Výpočet hodnoty UAW,</w:t>
      </w:r>
    </w:p>
    <w:p w14:paraId="1F74C10C" w14:textId="77777777" w:rsidR="007C3F79" w:rsidRPr="00EB512D" w:rsidRDefault="007C3F79" w:rsidP="007C3F79">
      <w:pPr>
        <w:pStyle w:val="p3"/>
        <w:numPr>
          <w:ilvl w:val="0"/>
          <w:numId w:val="21"/>
        </w:numPr>
        <w:ind w:left="1276"/>
        <w:rPr>
          <w:rFonts w:eastAsia="Times New Roman"/>
          <w:sz w:val="24"/>
          <w:szCs w:val="24"/>
          <w:lang w:val="sk-SK" w:eastAsia="sk-SK"/>
        </w:rPr>
      </w:pPr>
      <w:r w:rsidRPr="00EB512D">
        <w:rPr>
          <w:rFonts w:eastAsia="Times New Roman"/>
          <w:sz w:val="24"/>
          <w:szCs w:val="24"/>
          <w:lang w:val="sk-SK" w:eastAsia="sk-SK"/>
        </w:rPr>
        <w:t>Výpočet hodnoty TCF,</w:t>
      </w:r>
    </w:p>
    <w:p w14:paraId="5D1EAE5E" w14:textId="77777777" w:rsidR="007C3F79" w:rsidRPr="00EB512D" w:rsidRDefault="007C3F79" w:rsidP="007C3F79">
      <w:pPr>
        <w:pStyle w:val="p3"/>
        <w:numPr>
          <w:ilvl w:val="0"/>
          <w:numId w:val="21"/>
        </w:numPr>
        <w:ind w:left="1276"/>
        <w:rPr>
          <w:rFonts w:eastAsia="Times New Roman"/>
          <w:sz w:val="24"/>
          <w:szCs w:val="24"/>
          <w:lang w:val="sk-SK" w:eastAsia="sk-SK"/>
        </w:rPr>
      </w:pPr>
      <w:r w:rsidRPr="00EB512D">
        <w:rPr>
          <w:rFonts w:eastAsia="Times New Roman"/>
          <w:sz w:val="24"/>
          <w:szCs w:val="24"/>
          <w:lang w:val="sk-SK" w:eastAsia="sk-SK"/>
        </w:rPr>
        <w:t>Výpočet hodnoty ECF,</w:t>
      </w:r>
    </w:p>
    <w:p w14:paraId="7D143126" w14:textId="77777777" w:rsidR="007C3F79" w:rsidRPr="00EB512D" w:rsidRDefault="007C3F79" w:rsidP="007C3F79">
      <w:pPr>
        <w:pStyle w:val="p3"/>
        <w:numPr>
          <w:ilvl w:val="0"/>
          <w:numId w:val="21"/>
        </w:numPr>
        <w:ind w:left="1276"/>
        <w:rPr>
          <w:rFonts w:eastAsia="Times New Roman"/>
          <w:sz w:val="24"/>
          <w:szCs w:val="24"/>
          <w:lang w:val="sk-SK" w:eastAsia="sk-SK"/>
        </w:rPr>
      </w:pPr>
      <w:r w:rsidRPr="00EB512D">
        <w:rPr>
          <w:rFonts w:eastAsia="Times New Roman"/>
          <w:sz w:val="24"/>
          <w:szCs w:val="24"/>
          <w:lang w:val="sk-SK" w:eastAsia="sk-SK"/>
        </w:rPr>
        <w:t>Výpočet hodnoty UCP.</w:t>
      </w:r>
    </w:p>
    <w:p w14:paraId="0AAE7951" w14:textId="77777777" w:rsidR="007C3F79" w:rsidRPr="00EB512D" w:rsidRDefault="007C3F79" w:rsidP="007C3F79">
      <w:pPr>
        <w:pStyle w:val="p3"/>
        <w:ind w:left="709"/>
        <w:rPr>
          <w:rFonts w:eastAsia="Times New Roman"/>
          <w:sz w:val="24"/>
          <w:szCs w:val="24"/>
          <w:lang w:val="sk-SK" w:eastAsia="sk-SK"/>
        </w:rPr>
      </w:pPr>
    </w:p>
    <w:p w14:paraId="6270CB4D" w14:textId="77777777" w:rsidR="007C3F79" w:rsidRPr="00EB512D" w:rsidRDefault="007C3F79" w:rsidP="007C3F79">
      <w:pPr>
        <w:pStyle w:val="p3"/>
        <w:ind w:left="709"/>
        <w:rPr>
          <w:rFonts w:eastAsia="Times New Roman"/>
          <w:sz w:val="24"/>
          <w:szCs w:val="24"/>
          <w:lang w:val="sk-SK" w:eastAsia="sk-SK"/>
        </w:rPr>
      </w:pPr>
      <w:r w:rsidRPr="00EB512D">
        <w:rPr>
          <w:rFonts w:eastAsia="Times New Roman"/>
          <w:sz w:val="24"/>
          <w:szCs w:val="24"/>
          <w:lang w:val="sk-SK" w:eastAsia="sk-SK"/>
        </w:rPr>
        <w:t>Určenie predpokladaných finančných dopadov prebehlo na základe predpokladaných hodinových sadzieb expertov.</w:t>
      </w:r>
    </w:p>
    <w:p w14:paraId="1C342FA0" w14:textId="77777777" w:rsidR="007C3F79" w:rsidRPr="00EB512D" w:rsidRDefault="007C3F79" w:rsidP="007C3F79">
      <w:pPr>
        <w:pStyle w:val="p3"/>
        <w:ind w:left="709"/>
        <w:rPr>
          <w:rFonts w:eastAsia="Times New Roman"/>
          <w:sz w:val="24"/>
          <w:szCs w:val="24"/>
          <w:lang w:val="sk-SK" w:eastAsia="sk-SK"/>
        </w:rPr>
      </w:pPr>
    </w:p>
    <w:p w14:paraId="1913E11F" w14:textId="77777777" w:rsidR="007C3F79" w:rsidRPr="00EB512D" w:rsidRDefault="007C3F79" w:rsidP="007C3F79">
      <w:pPr>
        <w:tabs>
          <w:tab w:val="num" w:pos="1080"/>
        </w:tabs>
        <w:rPr>
          <w:i/>
          <w:lang w:eastAsia="sk-SK"/>
        </w:rPr>
        <w:sectPr w:rsidR="007C3F79" w:rsidRPr="00EB512D" w:rsidSect="00B359C5">
          <w:headerReference w:type="even" r:id="rId10"/>
          <w:footerReference w:type="even" r:id="rId11"/>
          <w:footerReference w:type="default" r:id="rId12"/>
          <w:footerReference w:type="first" r:id="rId13"/>
          <w:pgSz w:w="11906" w:h="16838"/>
          <w:pgMar w:top="1417" w:right="1417" w:bottom="1276" w:left="1418" w:header="708" w:footer="708" w:gutter="0"/>
          <w:pgNumType w:start="1"/>
          <w:cols w:space="708"/>
          <w:docGrid w:linePitch="360"/>
        </w:sectPr>
      </w:pPr>
      <w:r w:rsidRPr="00EB512D">
        <w:rPr>
          <w:i/>
          <w:lang w:eastAsia="sk-SK"/>
        </w:rPr>
        <w:t>.</w:t>
      </w:r>
    </w:p>
    <w:p w14:paraId="2AB02D7E" w14:textId="77777777" w:rsidR="007C3F79" w:rsidRPr="00EB512D" w:rsidRDefault="007C3F79" w:rsidP="007C3F79">
      <w:pPr>
        <w:tabs>
          <w:tab w:val="num" w:pos="1080"/>
        </w:tabs>
        <w:jc w:val="right"/>
        <w:rPr>
          <w:bCs/>
          <w:lang w:eastAsia="sk-SK"/>
        </w:rPr>
      </w:pPr>
      <w:r w:rsidRPr="00EB512D">
        <w:rPr>
          <w:bCs/>
          <w:lang w:eastAsia="sk-SK"/>
        </w:rPr>
        <w:lastRenderedPageBreak/>
        <w:t xml:space="preserve">Tabuľka č. 3 </w:t>
      </w:r>
    </w:p>
    <w:p w14:paraId="43CDFC56" w14:textId="77777777" w:rsidR="007C3F79" w:rsidRPr="00EB512D" w:rsidRDefault="007C3F79" w:rsidP="007C3F79">
      <w:pPr>
        <w:tabs>
          <w:tab w:val="num" w:pos="1080"/>
        </w:tabs>
        <w:jc w:val="both"/>
        <w:rPr>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C3F79" w:rsidRPr="00EB512D" w14:paraId="1C6DBA52" w14:textId="77777777" w:rsidTr="00B359C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56469C" w14:textId="77777777" w:rsidR="007C3F79" w:rsidRPr="00EB512D" w:rsidRDefault="007C3F79" w:rsidP="00B359C5">
            <w:pPr>
              <w:jc w:val="center"/>
              <w:rPr>
                <w:b/>
                <w:bCs/>
                <w:lang w:eastAsia="sk-SK"/>
              </w:rPr>
            </w:pPr>
            <w:r w:rsidRPr="00EB512D">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18DFA092" w14:textId="77777777" w:rsidR="007C3F79" w:rsidRPr="00EB512D" w:rsidRDefault="007C3F79" w:rsidP="00B359C5">
            <w:pPr>
              <w:jc w:val="center"/>
              <w:rPr>
                <w:b/>
                <w:bCs/>
                <w:lang w:eastAsia="sk-SK"/>
              </w:rPr>
            </w:pPr>
            <w:r w:rsidRPr="00EB512D">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61FC8F8" w14:textId="77777777" w:rsidR="007C3F79" w:rsidRPr="00EB512D" w:rsidRDefault="007C3F79" w:rsidP="00B359C5">
            <w:pPr>
              <w:jc w:val="center"/>
              <w:rPr>
                <w:b/>
                <w:bCs/>
                <w:lang w:eastAsia="sk-SK"/>
              </w:rPr>
            </w:pPr>
            <w:r w:rsidRPr="00EB512D">
              <w:rPr>
                <w:b/>
                <w:bCs/>
                <w:lang w:eastAsia="sk-SK"/>
              </w:rPr>
              <w:t>poznámka</w:t>
            </w:r>
          </w:p>
        </w:tc>
      </w:tr>
      <w:tr w:rsidR="007C3F79" w:rsidRPr="00EB512D" w14:paraId="7F862422" w14:textId="77777777" w:rsidTr="00B359C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891A8AB" w14:textId="77777777" w:rsidR="007C3F79" w:rsidRPr="00EB512D" w:rsidRDefault="007C3F79" w:rsidP="00B359C5">
            <w:pPr>
              <w:rPr>
                <w:b/>
                <w:bCs/>
                <w:color w:val="FFFFFF"/>
                <w:lang w:eastAsia="sk-SK"/>
              </w:rPr>
            </w:pPr>
          </w:p>
        </w:tc>
        <w:tc>
          <w:tcPr>
            <w:tcW w:w="1500" w:type="dxa"/>
            <w:tcBorders>
              <w:top w:val="nil"/>
              <w:left w:val="nil"/>
              <w:bottom w:val="single" w:sz="4" w:space="0" w:color="auto"/>
              <w:right w:val="single" w:sz="4" w:space="0" w:color="auto"/>
            </w:tcBorders>
            <w:shd w:val="clear" w:color="auto" w:fill="BFBFBF"/>
          </w:tcPr>
          <w:p w14:paraId="47006989" w14:textId="77777777" w:rsidR="007C3F79" w:rsidRPr="00EB512D" w:rsidRDefault="007C3F79" w:rsidP="00B359C5">
            <w:pPr>
              <w:jc w:val="center"/>
              <w:rPr>
                <w:b/>
                <w:bCs/>
                <w:lang w:eastAsia="sk-SK"/>
              </w:rPr>
            </w:pPr>
            <w:r w:rsidRPr="00EB512D">
              <w:rPr>
                <w:b/>
                <w:bCs/>
                <w:lang w:eastAsia="sk-SK"/>
              </w:rPr>
              <w:t>r</w:t>
            </w:r>
          </w:p>
        </w:tc>
        <w:tc>
          <w:tcPr>
            <w:tcW w:w="1500" w:type="dxa"/>
            <w:tcBorders>
              <w:top w:val="nil"/>
              <w:left w:val="nil"/>
              <w:bottom w:val="single" w:sz="4" w:space="0" w:color="auto"/>
              <w:right w:val="single" w:sz="4" w:space="0" w:color="auto"/>
            </w:tcBorders>
            <w:shd w:val="clear" w:color="auto" w:fill="BFBFBF"/>
          </w:tcPr>
          <w:p w14:paraId="75DD7632" w14:textId="77777777" w:rsidR="007C3F79" w:rsidRPr="00EB512D" w:rsidRDefault="007C3F79" w:rsidP="00B359C5">
            <w:pPr>
              <w:jc w:val="center"/>
              <w:rPr>
                <w:b/>
                <w:bCs/>
                <w:lang w:eastAsia="sk-SK"/>
              </w:rPr>
            </w:pPr>
            <w:r w:rsidRPr="00EB512D">
              <w:rPr>
                <w:b/>
                <w:bCs/>
                <w:lang w:eastAsia="sk-SK"/>
              </w:rPr>
              <w:t>r + 1</w:t>
            </w:r>
          </w:p>
        </w:tc>
        <w:tc>
          <w:tcPr>
            <w:tcW w:w="1500" w:type="dxa"/>
            <w:tcBorders>
              <w:top w:val="nil"/>
              <w:left w:val="nil"/>
              <w:bottom w:val="single" w:sz="4" w:space="0" w:color="auto"/>
              <w:right w:val="single" w:sz="4" w:space="0" w:color="auto"/>
            </w:tcBorders>
            <w:shd w:val="clear" w:color="auto" w:fill="BFBFBF"/>
          </w:tcPr>
          <w:p w14:paraId="4C0C5CAA" w14:textId="77777777" w:rsidR="007C3F79" w:rsidRPr="00EB512D" w:rsidRDefault="007C3F79" w:rsidP="00B359C5">
            <w:pPr>
              <w:jc w:val="center"/>
              <w:rPr>
                <w:b/>
                <w:bCs/>
                <w:lang w:eastAsia="sk-SK"/>
              </w:rPr>
            </w:pPr>
            <w:r w:rsidRPr="00EB512D">
              <w:rPr>
                <w:b/>
                <w:bCs/>
                <w:lang w:eastAsia="sk-SK"/>
              </w:rPr>
              <w:t>r + 2</w:t>
            </w:r>
          </w:p>
        </w:tc>
        <w:tc>
          <w:tcPr>
            <w:tcW w:w="1500" w:type="dxa"/>
            <w:tcBorders>
              <w:top w:val="nil"/>
              <w:left w:val="nil"/>
              <w:bottom w:val="single" w:sz="4" w:space="0" w:color="auto"/>
              <w:right w:val="single" w:sz="4" w:space="0" w:color="auto"/>
            </w:tcBorders>
            <w:shd w:val="clear" w:color="auto" w:fill="BFBFBF"/>
          </w:tcPr>
          <w:p w14:paraId="114BD362" w14:textId="77777777" w:rsidR="007C3F79" w:rsidRPr="00EB512D" w:rsidRDefault="007C3F79" w:rsidP="00B359C5">
            <w:pPr>
              <w:jc w:val="center"/>
              <w:rPr>
                <w:b/>
                <w:bCs/>
                <w:lang w:eastAsia="sk-SK"/>
              </w:rPr>
            </w:pPr>
            <w:r w:rsidRPr="00EB512D">
              <w:rPr>
                <w:b/>
                <w:bCs/>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24F9001D" w14:textId="77777777" w:rsidR="007C3F79" w:rsidRPr="00EB512D" w:rsidRDefault="007C3F79" w:rsidP="00B359C5">
            <w:pPr>
              <w:rPr>
                <w:b/>
                <w:bCs/>
                <w:color w:val="FFFFFF"/>
                <w:lang w:eastAsia="sk-SK"/>
              </w:rPr>
            </w:pPr>
          </w:p>
        </w:tc>
      </w:tr>
      <w:tr w:rsidR="007C3F79" w:rsidRPr="00EB512D" w14:paraId="13DB97E5" w14:textId="77777777" w:rsidTr="00B359C5">
        <w:trPr>
          <w:trHeight w:val="255"/>
        </w:trPr>
        <w:tc>
          <w:tcPr>
            <w:tcW w:w="4950" w:type="dxa"/>
            <w:tcBorders>
              <w:top w:val="nil"/>
              <w:left w:val="single" w:sz="4" w:space="0" w:color="auto"/>
              <w:bottom w:val="single" w:sz="4" w:space="0" w:color="auto"/>
              <w:right w:val="single" w:sz="4" w:space="0" w:color="auto"/>
            </w:tcBorders>
          </w:tcPr>
          <w:p w14:paraId="5825371E" w14:textId="77777777" w:rsidR="007C3F79" w:rsidRPr="00EB512D" w:rsidRDefault="007C3F79" w:rsidP="00B359C5">
            <w:pPr>
              <w:rPr>
                <w:b/>
                <w:bCs/>
                <w:vertAlign w:val="superscript"/>
                <w:lang w:eastAsia="sk-SK"/>
              </w:rPr>
            </w:pPr>
            <w:r w:rsidRPr="00EB512D">
              <w:rPr>
                <w:b/>
                <w:bCs/>
                <w:lang w:eastAsia="sk-SK"/>
              </w:rPr>
              <w:t>Daňové príjmy (100)</w:t>
            </w:r>
            <w:r w:rsidRPr="00EB512D">
              <w:rPr>
                <w:b/>
                <w:bCs/>
                <w:vertAlign w:val="superscript"/>
                <w:lang w:eastAsia="sk-SK"/>
              </w:rPr>
              <w:t>1</w:t>
            </w:r>
          </w:p>
        </w:tc>
        <w:tc>
          <w:tcPr>
            <w:tcW w:w="1500" w:type="dxa"/>
            <w:tcBorders>
              <w:top w:val="nil"/>
              <w:left w:val="nil"/>
              <w:bottom w:val="single" w:sz="4" w:space="0" w:color="auto"/>
              <w:right w:val="single" w:sz="4" w:space="0" w:color="auto"/>
            </w:tcBorders>
          </w:tcPr>
          <w:p w14:paraId="26C06306"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3DA3B0F3"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4BC836F7"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5AF16FA8" w14:textId="77777777" w:rsidR="007C3F79" w:rsidRPr="00EB512D" w:rsidRDefault="007C3F79" w:rsidP="00B359C5">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7B555645" w14:textId="77777777" w:rsidR="007C3F79" w:rsidRPr="00EB512D" w:rsidRDefault="007C3F79" w:rsidP="00B359C5">
            <w:pPr>
              <w:rPr>
                <w:lang w:eastAsia="sk-SK"/>
              </w:rPr>
            </w:pPr>
            <w:r w:rsidRPr="00EB512D">
              <w:rPr>
                <w:lang w:eastAsia="sk-SK"/>
              </w:rPr>
              <w:t> </w:t>
            </w:r>
          </w:p>
        </w:tc>
      </w:tr>
      <w:tr w:rsidR="007C3F79" w:rsidRPr="00EB512D" w14:paraId="26D1DBD6" w14:textId="77777777" w:rsidTr="00B359C5">
        <w:trPr>
          <w:trHeight w:val="255"/>
        </w:trPr>
        <w:tc>
          <w:tcPr>
            <w:tcW w:w="4950" w:type="dxa"/>
            <w:tcBorders>
              <w:top w:val="nil"/>
              <w:left w:val="single" w:sz="4" w:space="0" w:color="auto"/>
              <w:bottom w:val="single" w:sz="4" w:space="0" w:color="auto"/>
              <w:right w:val="single" w:sz="4" w:space="0" w:color="auto"/>
            </w:tcBorders>
          </w:tcPr>
          <w:p w14:paraId="6A5EE55C" w14:textId="77777777" w:rsidR="007C3F79" w:rsidRPr="00EB512D" w:rsidRDefault="007C3F79" w:rsidP="00B359C5">
            <w:pPr>
              <w:rPr>
                <w:b/>
                <w:bCs/>
                <w:lang w:eastAsia="sk-SK"/>
              </w:rPr>
            </w:pPr>
            <w:r w:rsidRPr="00EB512D">
              <w:rPr>
                <w:b/>
                <w:bCs/>
                <w:lang w:eastAsia="sk-SK"/>
              </w:rPr>
              <w:t>Nedaňové príjmy (200)</w:t>
            </w:r>
            <w:r w:rsidRPr="00EB512D">
              <w:rPr>
                <w:b/>
                <w:bCs/>
                <w:vertAlign w:val="superscript"/>
                <w:lang w:eastAsia="sk-SK"/>
              </w:rPr>
              <w:t>1</w:t>
            </w:r>
          </w:p>
        </w:tc>
        <w:tc>
          <w:tcPr>
            <w:tcW w:w="1500" w:type="dxa"/>
            <w:tcBorders>
              <w:top w:val="nil"/>
              <w:left w:val="nil"/>
              <w:bottom w:val="single" w:sz="4" w:space="0" w:color="auto"/>
              <w:right w:val="single" w:sz="4" w:space="0" w:color="auto"/>
            </w:tcBorders>
          </w:tcPr>
          <w:p w14:paraId="5591EAF7"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59EFD8D3"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615E0159"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6E66A658" w14:textId="77777777" w:rsidR="007C3F79" w:rsidRPr="00EB512D" w:rsidRDefault="007C3F79" w:rsidP="00B359C5">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73087733" w14:textId="77777777" w:rsidR="007C3F79" w:rsidRPr="00EB512D" w:rsidRDefault="007C3F79" w:rsidP="00B359C5">
            <w:pPr>
              <w:rPr>
                <w:lang w:eastAsia="sk-SK"/>
              </w:rPr>
            </w:pPr>
            <w:r w:rsidRPr="00EB512D">
              <w:rPr>
                <w:lang w:eastAsia="sk-SK"/>
              </w:rPr>
              <w:t> </w:t>
            </w:r>
          </w:p>
        </w:tc>
      </w:tr>
      <w:tr w:rsidR="007C3F79" w:rsidRPr="00EB512D" w14:paraId="4B2A96FE" w14:textId="77777777" w:rsidTr="00B359C5">
        <w:trPr>
          <w:trHeight w:val="255"/>
        </w:trPr>
        <w:tc>
          <w:tcPr>
            <w:tcW w:w="4950" w:type="dxa"/>
            <w:tcBorders>
              <w:top w:val="nil"/>
              <w:left w:val="single" w:sz="4" w:space="0" w:color="auto"/>
              <w:bottom w:val="single" w:sz="4" w:space="0" w:color="auto"/>
              <w:right w:val="single" w:sz="4" w:space="0" w:color="auto"/>
            </w:tcBorders>
          </w:tcPr>
          <w:p w14:paraId="5BEB6167" w14:textId="77777777" w:rsidR="007C3F79" w:rsidRPr="00EB512D" w:rsidRDefault="007C3F79" w:rsidP="00B359C5">
            <w:pPr>
              <w:rPr>
                <w:b/>
                <w:bCs/>
                <w:lang w:eastAsia="sk-SK"/>
              </w:rPr>
            </w:pPr>
            <w:r w:rsidRPr="00EB512D">
              <w:rPr>
                <w:b/>
                <w:bCs/>
                <w:lang w:eastAsia="sk-SK"/>
              </w:rPr>
              <w:t>Granty a transfery (300)</w:t>
            </w:r>
            <w:r w:rsidRPr="00EB512D">
              <w:rPr>
                <w:b/>
                <w:bCs/>
                <w:vertAlign w:val="superscript"/>
                <w:lang w:eastAsia="sk-SK"/>
              </w:rPr>
              <w:t>1</w:t>
            </w:r>
          </w:p>
        </w:tc>
        <w:tc>
          <w:tcPr>
            <w:tcW w:w="1500" w:type="dxa"/>
            <w:tcBorders>
              <w:top w:val="nil"/>
              <w:left w:val="nil"/>
              <w:bottom w:val="single" w:sz="4" w:space="0" w:color="auto"/>
              <w:right w:val="single" w:sz="4" w:space="0" w:color="auto"/>
            </w:tcBorders>
          </w:tcPr>
          <w:p w14:paraId="7004A340"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7CF7D199"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4A30C475" w14:textId="77777777" w:rsidR="007C3F79" w:rsidRPr="00EB512D" w:rsidRDefault="007C3F79" w:rsidP="00B359C5">
            <w:pPr>
              <w:jc w:val="center"/>
              <w:rPr>
                <w:b/>
                <w:bCs/>
                <w:lang w:eastAsia="sk-SK"/>
              </w:rPr>
            </w:pPr>
          </w:p>
        </w:tc>
        <w:tc>
          <w:tcPr>
            <w:tcW w:w="1500" w:type="dxa"/>
            <w:tcBorders>
              <w:top w:val="nil"/>
              <w:left w:val="nil"/>
              <w:bottom w:val="single" w:sz="4" w:space="0" w:color="auto"/>
              <w:right w:val="single" w:sz="4" w:space="0" w:color="auto"/>
            </w:tcBorders>
          </w:tcPr>
          <w:p w14:paraId="4BED894E" w14:textId="77777777" w:rsidR="007C3F79" w:rsidRPr="00EB512D" w:rsidRDefault="007C3F79" w:rsidP="00B359C5">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72B95624" w14:textId="77777777" w:rsidR="007C3F79" w:rsidRPr="00EB512D" w:rsidRDefault="007C3F79" w:rsidP="00B359C5">
            <w:pPr>
              <w:rPr>
                <w:lang w:eastAsia="sk-SK"/>
              </w:rPr>
            </w:pPr>
            <w:r w:rsidRPr="00EB512D">
              <w:rPr>
                <w:lang w:eastAsia="sk-SK"/>
              </w:rPr>
              <w:t> </w:t>
            </w:r>
          </w:p>
        </w:tc>
      </w:tr>
      <w:tr w:rsidR="007C3F79" w:rsidRPr="00EB512D" w14:paraId="3DDCC314" w14:textId="77777777" w:rsidTr="00B359C5">
        <w:trPr>
          <w:trHeight w:val="255"/>
        </w:trPr>
        <w:tc>
          <w:tcPr>
            <w:tcW w:w="4950" w:type="dxa"/>
            <w:tcBorders>
              <w:top w:val="nil"/>
              <w:left w:val="single" w:sz="4" w:space="0" w:color="auto"/>
              <w:bottom w:val="single" w:sz="4" w:space="0" w:color="auto"/>
              <w:right w:val="single" w:sz="4" w:space="0" w:color="auto"/>
            </w:tcBorders>
          </w:tcPr>
          <w:p w14:paraId="3BEF681D" w14:textId="77777777" w:rsidR="007C3F79" w:rsidRPr="00EB512D" w:rsidRDefault="007C3F79" w:rsidP="00B359C5">
            <w:pPr>
              <w:rPr>
                <w:b/>
                <w:bCs/>
                <w:lang w:eastAsia="sk-SK"/>
              </w:rPr>
            </w:pPr>
            <w:r w:rsidRPr="00EB512D">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6A79F234"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634DB4A4"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3717EC2B"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2BCBF960" w14:textId="77777777" w:rsidR="007C3F79" w:rsidRPr="00EB512D" w:rsidRDefault="007C3F79" w:rsidP="00B359C5">
            <w:pPr>
              <w:jc w:val="center"/>
              <w:rPr>
                <w:b/>
                <w:bCs/>
                <w:lang w:eastAsia="sk-SK"/>
              </w:rPr>
            </w:pPr>
            <w:r w:rsidRPr="00EB512D">
              <w:rPr>
                <w:b/>
                <w:bCs/>
                <w:lang w:eastAsia="sk-SK"/>
              </w:rPr>
              <w:t> </w:t>
            </w:r>
          </w:p>
        </w:tc>
        <w:tc>
          <w:tcPr>
            <w:tcW w:w="3000" w:type="dxa"/>
            <w:tcBorders>
              <w:top w:val="nil"/>
              <w:left w:val="nil"/>
              <w:bottom w:val="single" w:sz="4" w:space="0" w:color="auto"/>
              <w:right w:val="single" w:sz="4" w:space="0" w:color="auto"/>
            </w:tcBorders>
            <w:noWrap/>
            <w:vAlign w:val="bottom"/>
          </w:tcPr>
          <w:p w14:paraId="4B2AA3DA" w14:textId="77777777" w:rsidR="007C3F79" w:rsidRPr="00EB512D" w:rsidRDefault="007C3F79" w:rsidP="00B359C5">
            <w:pPr>
              <w:rPr>
                <w:lang w:eastAsia="sk-SK"/>
              </w:rPr>
            </w:pPr>
            <w:r w:rsidRPr="00EB512D">
              <w:rPr>
                <w:lang w:eastAsia="sk-SK"/>
              </w:rPr>
              <w:t> </w:t>
            </w:r>
          </w:p>
        </w:tc>
      </w:tr>
      <w:tr w:rsidR="007C3F79" w:rsidRPr="00EB512D" w14:paraId="1053DFEB" w14:textId="77777777" w:rsidTr="00B359C5">
        <w:trPr>
          <w:trHeight w:val="255"/>
        </w:trPr>
        <w:tc>
          <w:tcPr>
            <w:tcW w:w="4950" w:type="dxa"/>
            <w:tcBorders>
              <w:top w:val="nil"/>
              <w:left w:val="single" w:sz="4" w:space="0" w:color="auto"/>
              <w:bottom w:val="single" w:sz="4" w:space="0" w:color="auto"/>
              <w:right w:val="single" w:sz="4" w:space="0" w:color="auto"/>
            </w:tcBorders>
          </w:tcPr>
          <w:p w14:paraId="5934AAC9" w14:textId="77777777" w:rsidR="007C3F79" w:rsidRPr="00EB512D" w:rsidRDefault="007C3F79" w:rsidP="00B359C5">
            <w:pPr>
              <w:rPr>
                <w:b/>
                <w:bCs/>
                <w:lang w:eastAsia="sk-SK"/>
              </w:rPr>
            </w:pPr>
            <w:r w:rsidRPr="00EB512D">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5488B6A9"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1BD462D7"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3DE085BB" w14:textId="77777777" w:rsidR="007C3F79" w:rsidRPr="00EB512D" w:rsidRDefault="007C3F79" w:rsidP="00B359C5">
            <w:pPr>
              <w:jc w:val="center"/>
              <w:rPr>
                <w:b/>
                <w:bCs/>
                <w:lang w:eastAsia="sk-SK"/>
              </w:rPr>
            </w:pPr>
            <w:r w:rsidRPr="00EB512D">
              <w:rPr>
                <w:b/>
                <w:bCs/>
                <w:lang w:eastAsia="sk-SK"/>
              </w:rPr>
              <w:t> </w:t>
            </w:r>
          </w:p>
        </w:tc>
        <w:tc>
          <w:tcPr>
            <w:tcW w:w="1500" w:type="dxa"/>
            <w:tcBorders>
              <w:top w:val="nil"/>
              <w:left w:val="nil"/>
              <w:bottom w:val="single" w:sz="4" w:space="0" w:color="auto"/>
              <w:right w:val="single" w:sz="4" w:space="0" w:color="auto"/>
            </w:tcBorders>
            <w:shd w:val="clear" w:color="auto" w:fill="FFFF99"/>
          </w:tcPr>
          <w:p w14:paraId="6977368A" w14:textId="77777777" w:rsidR="007C3F79" w:rsidRPr="00EB512D" w:rsidRDefault="007C3F79" w:rsidP="00B359C5">
            <w:pPr>
              <w:jc w:val="center"/>
              <w:rPr>
                <w:b/>
                <w:bCs/>
                <w:lang w:eastAsia="sk-SK"/>
              </w:rPr>
            </w:pPr>
            <w:r w:rsidRPr="00EB512D">
              <w:rPr>
                <w:b/>
                <w:bCs/>
                <w:lang w:eastAsia="sk-SK"/>
              </w:rPr>
              <w:t> </w:t>
            </w:r>
          </w:p>
        </w:tc>
        <w:tc>
          <w:tcPr>
            <w:tcW w:w="3000" w:type="dxa"/>
            <w:tcBorders>
              <w:top w:val="nil"/>
              <w:left w:val="nil"/>
              <w:bottom w:val="single" w:sz="4" w:space="0" w:color="auto"/>
              <w:right w:val="single" w:sz="4" w:space="0" w:color="auto"/>
            </w:tcBorders>
            <w:noWrap/>
            <w:vAlign w:val="bottom"/>
          </w:tcPr>
          <w:p w14:paraId="1D7443A5" w14:textId="77777777" w:rsidR="007C3F79" w:rsidRPr="00EB512D" w:rsidRDefault="007C3F79" w:rsidP="00B359C5">
            <w:pPr>
              <w:rPr>
                <w:lang w:eastAsia="sk-SK"/>
              </w:rPr>
            </w:pPr>
            <w:r w:rsidRPr="00EB512D">
              <w:rPr>
                <w:lang w:eastAsia="sk-SK"/>
              </w:rPr>
              <w:t> </w:t>
            </w:r>
          </w:p>
        </w:tc>
      </w:tr>
      <w:tr w:rsidR="007C3F79" w:rsidRPr="00EB512D" w14:paraId="7E6815E7" w14:textId="77777777" w:rsidTr="00B359C5">
        <w:trPr>
          <w:trHeight w:val="255"/>
        </w:trPr>
        <w:tc>
          <w:tcPr>
            <w:tcW w:w="4950" w:type="dxa"/>
            <w:tcBorders>
              <w:top w:val="nil"/>
              <w:left w:val="single" w:sz="4" w:space="0" w:color="auto"/>
              <w:bottom w:val="single" w:sz="4" w:space="0" w:color="auto"/>
              <w:right w:val="single" w:sz="4" w:space="0" w:color="auto"/>
            </w:tcBorders>
            <w:shd w:val="clear" w:color="auto" w:fill="BFBFBF"/>
          </w:tcPr>
          <w:p w14:paraId="7CC1FF14" w14:textId="77777777" w:rsidR="007C3F79" w:rsidRPr="00EB512D" w:rsidRDefault="007C3F79" w:rsidP="00B359C5">
            <w:pPr>
              <w:rPr>
                <w:b/>
                <w:bCs/>
                <w:lang w:eastAsia="sk-SK"/>
              </w:rPr>
            </w:pPr>
            <w:r w:rsidRPr="00EB512D">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396391C2" w14:textId="77777777" w:rsidR="007C3F79" w:rsidRPr="00EB512D" w:rsidRDefault="007C3F79" w:rsidP="00B359C5">
            <w:pPr>
              <w:jc w:val="center"/>
              <w:rPr>
                <w:b/>
                <w:bCs/>
                <w:lang w:eastAsia="sk-SK"/>
              </w:rPr>
            </w:pPr>
            <w:r w:rsidRPr="00EB512D">
              <w:rPr>
                <w:b/>
                <w:bCs/>
                <w:lang w:eastAsia="sk-SK"/>
              </w:rPr>
              <w:t>0</w:t>
            </w:r>
          </w:p>
        </w:tc>
        <w:tc>
          <w:tcPr>
            <w:tcW w:w="1500" w:type="dxa"/>
            <w:tcBorders>
              <w:top w:val="nil"/>
              <w:left w:val="nil"/>
              <w:bottom w:val="single" w:sz="4" w:space="0" w:color="auto"/>
              <w:right w:val="single" w:sz="4" w:space="0" w:color="auto"/>
            </w:tcBorders>
            <w:shd w:val="clear" w:color="auto" w:fill="BFBFBF"/>
          </w:tcPr>
          <w:p w14:paraId="3BDBA41B" w14:textId="77777777" w:rsidR="007C3F79" w:rsidRPr="00EB512D" w:rsidRDefault="007C3F79" w:rsidP="00B359C5">
            <w:pPr>
              <w:jc w:val="center"/>
              <w:rPr>
                <w:b/>
                <w:bCs/>
                <w:lang w:eastAsia="sk-SK"/>
              </w:rPr>
            </w:pPr>
            <w:r w:rsidRPr="00EB512D">
              <w:rPr>
                <w:b/>
                <w:bCs/>
                <w:lang w:eastAsia="sk-SK"/>
              </w:rPr>
              <w:t>0</w:t>
            </w:r>
          </w:p>
        </w:tc>
        <w:tc>
          <w:tcPr>
            <w:tcW w:w="1500" w:type="dxa"/>
            <w:tcBorders>
              <w:top w:val="nil"/>
              <w:left w:val="nil"/>
              <w:bottom w:val="single" w:sz="4" w:space="0" w:color="auto"/>
              <w:right w:val="single" w:sz="4" w:space="0" w:color="auto"/>
            </w:tcBorders>
            <w:shd w:val="clear" w:color="auto" w:fill="BFBFBF"/>
          </w:tcPr>
          <w:p w14:paraId="74337779" w14:textId="77777777" w:rsidR="007C3F79" w:rsidRPr="00EB512D" w:rsidRDefault="007C3F79" w:rsidP="00B359C5">
            <w:pPr>
              <w:jc w:val="center"/>
              <w:rPr>
                <w:b/>
                <w:bCs/>
                <w:lang w:eastAsia="sk-SK"/>
              </w:rPr>
            </w:pPr>
            <w:r w:rsidRPr="00EB512D">
              <w:rPr>
                <w:b/>
                <w:bCs/>
                <w:lang w:eastAsia="sk-SK"/>
              </w:rPr>
              <w:t>0</w:t>
            </w:r>
          </w:p>
        </w:tc>
        <w:tc>
          <w:tcPr>
            <w:tcW w:w="1500" w:type="dxa"/>
            <w:tcBorders>
              <w:top w:val="nil"/>
              <w:left w:val="nil"/>
              <w:bottom w:val="single" w:sz="4" w:space="0" w:color="auto"/>
              <w:right w:val="single" w:sz="4" w:space="0" w:color="auto"/>
            </w:tcBorders>
            <w:shd w:val="clear" w:color="auto" w:fill="BFBFBF"/>
          </w:tcPr>
          <w:p w14:paraId="757B4AB9" w14:textId="77777777" w:rsidR="007C3F79" w:rsidRPr="00EB512D" w:rsidRDefault="007C3F79" w:rsidP="00B359C5">
            <w:pPr>
              <w:jc w:val="center"/>
              <w:rPr>
                <w:b/>
                <w:bCs/>
                <w:lang w:eastAsia="sk-SK"/>
              </w:rPr>
            </w:pPr>
            <w:r w:rsidRPr="00EB512D">
              <w:rPr>
                <w:b/>
                <w:bCs/>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15EE9F75" w14:textId="77777777" w:rsidR="007C3F79" w:rsidRPr="00EB512D" w:rsidRDefault="007C3F79" w:rsidP="00B359C5">
            <w:pPr>
              <w:rPr>
                <w:lang w:eastAsia="sk-SK"/>
              </w:rPr>
            </w:pPr>
            <w:r w:rsidRPr="00EB512D">
              <w:rPr>
                <w:lang w:eastAsia="sk-SK"/>
              </w:rPr>
              <w:t> </w:t>
            </w:r>
          </w:p>
        </w:tc>
      </w:tr>
    </w:tbl>
    <w:p w14:paraId="7A1D4D47" w14:textId="77777777" w:rsidR="007C3F79" w:rsidRPr="00EB512D" w:rsidRDefault="007C3F79" w:rsidP="007C3F79">
      <w:pPr>
        <w:tabs>
          <w:tab w:val="num" w:pos="1080"/>
        </w:tabs>
        <w:jc w:val="both"/>
        <w:rPr>
          <w:bCs/>
          <w:sz w:val="20"/>
          <w:szCs w:val="20"/>
          <w:lang w:eastAsia="sk-SK"/>
        </w:rPr>
      </w:pPr>
      <w:r w:rsidRPr="00EB512D">
        <w:rPr>
          <w:bCs/>
          <w:sz w:val="20"/>
          <w:szCs w:val="20"/>
          <w:lang w:eastAsia="sk-SK"/>
        </w:rPr>
        <w:t xml:space="preserve">1 </w:t>
      </w:r>
      <w:proofErr w:type="gramStart"/>
      <w:r w:rsidRPr="00EB512D">
        <w:rPr>
          <w:bCs/>
          <w:sz w:val="20"/>
          <w:szCs w:val="20"/>
          <w:lang w:eastAsia="sk-SK"/>
        </w:rPr>
        <w:t>–  príjmy</w:t>
      </w:r>
      <w:proofErr w:type="gramEnd"/>
      <w:r w:rsidRPr="00EB512D">
        <w:rPr>
          <w:bCs/>
          <w:sz w:val="20"/>
          <w:szCs w:val="20"/>
          <w:lang w:eastAsia="sk-SK"/>
        </w:rPr>
        <w:t xml:space="preserve"> rozpísať až do položiek platnej ekonomickej klasifikácie</w:t>
      </w:r>
    </w:p>
    <w:p w14:paraId="512AA17E" w14:textId="77777777" w:rsidR="007C3F79" w:rsidRPr="00EB512D" w:rsidRDefault="007C3F79" w:rsidP="007C3F79">
      <w:pPr>
        <w:tabs>
          <w:tab w:val="num" w:pos="1080"/>
        </w:tabs>
        <w:jc w:val="both"/>
        <w:rPr>
          <w:bCs/>
          <w:szCs w:val="20"/>
          <w:lang w:eastAsia="sk-SK"/>
        </w:rPr>
      </w:pPr>
    </w:p>
    <w:p w14:paraId="6B822C9F" w14:textId="77777777" w:rsidR="007C3F79" w:rsidRPr="00EB512D" w:rsidRDefault="007C3F79" w:rsidP="007C3F79">
      <w:pPr>
        <w:tabs>
          <w:tab w:val="num" w:pos="1080"/>
        </w:tabs>
        <w:jc w:val="both"/>
        <w:rPr>
          <w:b/>
          <w:bCs/>
          <w:szCs w:val="20"/>
          <w:lang w:eastAsia="sk-SK"/>
        </w:rPr>
      </w:pPr>
      <w:r w:rsidRPr="00EB512D">
        <w:rPr>
          <w:b/>
          <w:bCs/>
          <w:szCs w:val="20"/>
          <w:lang w:eastAsia="sk-SK"/>
        </w:rPr>
        <w:t>Poznámka:</w:t>
      </w:r>
    </w:p>
    <w:p w14:paraId="7BF6C565" w14:textId="77777777" w:rsidR="007C3F79" w:rsidRPr="00EB512D" w:rsidRDefault="007C3F79" w:rsidP="007C3F79">
      <w:pPr>
        <w:tabs>
          <w:tab w:val="num" w:pos="1080"/>
        </w:tabs>
        <w:jc w:val="both"/>
        <w:rPr>
          <w:bCs/>
          <w:szCs w:val="20"/>
          <w:lang w:eastAsia="sk-SK"/>
        </w:rPr>
      </w:pPr>
      <w:r w:rsidRPr="00EB512D">
        <w:rPr>
          <w:bCs/>
          <w:szCs w:val="20"/>
          <w:lang w:eastAsia="sk-SK"/>
        </w:rPr>
        <w:t xml:space="preserve">Ak </w:t>
      </w:r>
      <w:proofErr w:type="gramStart"/>
      <w:r w:rsidRPr="00EB512D">
        <w:rPr>
          <w:bCs/>
          <w:szCs w:val="20"/>
          <w:lang w:eastAsia="sk-SK"/>
        </w:rPr>
        <w:t>sa</w:t>
      </w:r>
      <w:proofErr w:type="gramEnd"/>
      <w:r w:rsidRPr="00EB512D">
        <w:rPr>
          <w:bCs/>
          <w:szCs w:val="20"/>
          <w:lang w:eastAsia="sk-SK"/>
        </w:rPr>
        <w:t xml:space="preserve"> vplyv týka viacerých subjektov verejnej správy, vypĺňa sa samostatná tabuľka za každý subjekt.</w:t>
      </w:r>
    </w:p>
    <w:p w14:paraId="44FFBACA" w14:textId="77777777" w:rsidR="007C3F79" w:rsidRPr="00EB512D" w:rsidRDefault="007C3F79" w:rsidP="007C3F79">
      <w:pPr>
        <w:tabs>
          <w:tab w:val="num" w:pos="1080"/>
        </w:tabs>
        <w:ind w:right="-578"/>
        <w:jc w:val="right"/>
        <w:rPr>
          <w:bCs/>
          <w:lang w:eastAsia="sk-SK"/>
        </w:rPr>
      </w:pPr>
      <w:r w:rsidRPr="00EB512D">
        <w:rPr>
          <w:bCs/>
          <w:lang w:eastAsia="sk-SK"/>
        </w:rPr>
        <w:t xml:space="preserve"> </w:t>
      </w:r>
    </w:p>
    <w:p w14:paraId="21AD9E0B" w14:textId="77777777" w:rsidR="007C3F79" w:rsidRPr="00EB512D" w:rsidRDefault="007C3F79" w:rsidP="007C3F79">
      <w:pPr>
        <w:tabs>
          <w:tab w:val="num" w:pos="1080"/>
        </w:tabs>
        <w:ind w:right="-578"/>
        <w:jc w:val="right"/>
        <w:rPr>
          <w:bCs/>
          <w:lang w:eastAsia="sk-SK"/>
        </w:rPr>
      </w:pPr>
    </w:p>
    <w:p w14:paraId="1C94CA7D" w14:textId="77777777" w:rsidR="007C3F79" w:rsidRPr="00EB512D" w:rsidRDefault="007C3F79" w:rsidP="007C3F79">
      <w:pPr>
        <w:tabs>
          <w:tab w:val="num" w:pos="1080"/>
        </w:tabs>
        <w:ind w:right="-578"/>
        <w:jc w:val="right"/>
        <w:rPr>
          <w:bCs/>
          <w:lang w:eastAsia="sk-SK"/>
        </w:rPr>
      </w:pPr>
    </w:p>
    <w:p w14:paraId="1328E39F" w14:textId="77777777" w:rsidR="007C3F79" w:rsidRPr="00EB512D" w:rsidRDefault="007C3F79" w:rsidP="007C3F79">
      <w:pPr>
        <w:tabs>
          <w:tab w:val="num" w:pos="1080"/>
        </w:tabs>
        <w:ind w:right="-578"/>
        <w:jc w:val="right"/>
        <w:rPr>
          <w:bCs/>
          <w:lang w:eastAsia="sk-SK"/>
        </w:rPr>
      </w:pPr>
    </w:p>
    <w:p w14:paraId="22B105CF" w14:textId="77777777" w:rsidR="007C3F79" w:rsidRPr="00EB512D" w:rsidRDefault="007C3F79" w:rsidP="007C3F79">
      <w:pPr>
        <w:tabs>
          <w:tab w:val="num" w:pos="1080"/>
        </w:tabs>
        <w:ind w:right="-578"/>
        <w:jc w:val="right"/>
        <w:rPr>
          <w:bCs/>
          <w:lang w:eastAsia="sk-SK"/>
        </w:rPr>
      </w:pPr>
    </w:p>
    <w:p w14:paraId="7C388EC4" w14:textId="77777777" w:rsidR="007C3F79" w:rsidRPr="00EB512D" w:rsidRDefault="007C3F79" w:rsidP="007C3F79">
      <w:pPr>
        <w:tabs>
          <w:tab w:val="num" w:pos="1080"/>
        </w:tabs>
        <w:ind w:right="-578"/>
        <w:jc w:val="right"/>
        <w:rPr>
          <w:bCs/>
          <w:lang w:eastAsia="sk-SK"/>
        </w:rPr>
      </w:pPr>
    </w:p>
    <w:p w14:paraId="20C9FABA" w14:textId="77777777" w:rsidR="007C3F79" w:rsidRPr="00EB512D" w:rsidRDefault="007C3F79" w:rsidP="007C3F79">
      <w:pPr>
        <w:tabs>
          <w:tab w:val="num" w:pos="1080"/>
        </w:tabs>
        <w:ind w:right="-578"/>
        <w:jc w:val="right"/>
        <w:rPr>
          <w:bCs/>
          <w:lang w:eastAsia="sk-SK"/>
        </w:rPr>
      </w:pPr>
    </w:p>
    <w:p w14:paraId="7FA47F6B" w14:textId="77777777" w:rsidR="007C3F79" w:rsidRPr="00EB512D" w:rsidRDefault="007C3F79" w:rsidP="007C3F79">
      <w:pPr>
        <w:tabs>
          <w:tab w:val="num" w:pos="1080"/>
        </w:tabs>
        <w:ind w:right="-578"/>
        <w:jc w:val="right"/>
        <w:rPr>
          <w:bCs/>
          <w:lang w:eastAsia="sk-SK"/>
        </w:rPr>
      </w:pPr>
    </w:p>
    <w:p w14:paraId="64B92182" w14:textId="77777777" w:rsidR="007C3F79" w:rsidRPr="00EB512D" w:rsidRDefault="007C3F79" w:rsidP="007C3F79">
      <w:pPr>
        <w:tabs>
          <w:tab w:val="num" w:pos="1080"/>
        </w:tabs>
        <w:ind w:right="-578"/>
        <w:jc w:val="right"/>
        <w:rPr>
          <w:bCs/>
          <w:lang w:eastAsia="sk-SK"/>
        </w:rPr>
      </w:pPr>
    </w:p>
    <w:p w14:paraId="2D4758F6" w14:textId="77777777" w:rsidR="007C3F79" w:rsidRPr="00EB512D" w:rsidRDefault="007C3F79" w:rsidP="007C3F79">
      <w:pPr>
        <w:tabs>
          <w:tab w:val="num" w:pos="1080"/>
        </w:tabs>
        <w:ind w:right="-578"/>
        <w:jc w:val="right"/>
        <w:rPr>
          <w:bCs/>
          <w:lang w:eastAsia="sk-SK"/>
        </w:rPr>
      </w:pPr>
    </w:p>
    <w:p w14:paraId="252C9BF4" w14:textId="77777777" w:rsidR="007C3F79" w:rsidRPr="00EB512D" w:rsidRDefault="007C3F79" w:rsidP="007C3F79">
      <w:pPr>
        <w:tabs>
          <w:tab w:val="num" w:pos="1080"/>
        </w:tabs>
        <w:ind w:right="-578"/>
        <w:jc w:val="right"/>
        <w:rPr>
          <w:bCs/>
          <w:lang w:eastAsia="sk-SK"/>
        </w:rPr>
      </w:pPr>
    </w:p>
    <w:p w14:paraId="3B67972A" w14:textId="77777777" w:rsidR="007C3F79" w:rsidRPr="00EB512D" w:rsidRDefault="007C3F79" w:rsidP="007C3F79">
      <w:pPr>
        <w:tabs>
          <w:tab w:val="num" w:pos="1080"/>
        </w:tabs>
        <w:ind w:right="-578"/>
        <w:jc w:val="right"/>
        <w:rPr>
          <w:bCs/>
          <w:lang w:eastAsia="sk-SK"/>
        </w:rPr>
      </w:pPr>
    </w:p>
    <w:p w14:paraId="101EF097" w14:textId="77777777" w:rsidR="007C3F79" w:rsidRPr="00EB512D" w:rsidRDefault="007C3F79" w:rsidP="007C3F79">
      <w:pPr>
        <w:tabs>
          <w:tab w:val="num" w:pos="1080"/>
        </w:tabs>
        <w:ind w:right="-578"/>
        <w:jc w:val="right"/>
        <w:rPr>
          <w:bCs/>
          <w:lang w:eastAsia="sk-SK"/>
        </w:rPr>
      </w:pPr>
    </w:p>
    <w:p w14:paraId="0E008B87" w14:textId="77777777" w:rsidR="007C3F79" w:rsidRPr="00EB512D" w:rsidRDefault="007C3F79" w:rsidP="007C3F79">
      <w:pPr>
        <w:tabs>
          <w:tab w:val="num" w:pos="1080"/>
        </w:tabs>
        <w:ind w:right="-578"/>
        <w:jc w:val="right"/>
        <w:rPr>
          <w:bCs/>
          <w:lang w:eastAsia="sk-SK"/>
        </w:rPr>
      </w:pPr>
    </w:p>
    <w:p w14:paraId="45F57623" w14:textId="77777777" w:rsidR="007C3F79" w:rsidRPr="00EB512D" w:rsidRDefault="007C3F79" w:rsidP="007C3F79">
      <w:pPr>
        <w:tabs>
          <w:tab w:val="num" w:pos="1080"/>
        </w:tabs>
        <w:ind w:right="-578"/>
        <w:jc w:val="right"/>
        <w:rPr>
          <w:bCs/>
          <w:lang w:eastAsia="sk-SK"/>
        </w:rPr>
      </w:pPr>
    </w:p>
    <w:p w14:paraId="74C1EA1D" w14:textId="77777777" w:rsidR="007C3F79" w:rsidRPr="00EB512D" w:rsidRDefault="007C3F79" w:rsidP="007C3F79">
      <w:pPr>
        <w:tabs>
          <w:tab w:val="num" w:pos="1080"/>
        </w:tabs>
        <w:ind w:right="-32"/>
        <w:rPr>
          <w:bCs/>
          <w:lang w:eastAsia="sk-SK"/>
        </w:rPr>
      </w:pPr>
      <w:r w:rsidRPr="00EB512D">
        <w:rPr>
          <w:bCs/>
          <w:lang w:eastAsia="sk-SK"/>
        </w:rPr>
        <w:lastRenderedPageBreak/>
        <w:t xml:space="preserve">Úrad podpredsedu vlády SR pre investície </w:t>
      </w:r>
      <w:proofErr w:type="gramStart"/>
      <w:r w:rsidRPr="00EB512D">
        <w:rPr>
          <w:bCs/>
          <w:lang w:eastAsia="sk-SK"/>
        </w:rPr>
        <w:t>a</w:t>
      </w:r>
      <w:proofErr w:type="gramEnd"/>
      <w:r w:rsidRPr="00EB512D">
        <w:rPr>
          <w:bCs/>
          <w:lang w:eastAsia="sk-SK"/>
        </w:rPr>
        <w:t xml:space="preserve"> informatizáciu</w:t>
      </w:r>
    </w:p>
    <w:p w14:paraId="4E3F4CBA" w14:textId="77777777" w:rsidR="007C3F79" w:rsidRPr="00EB512D" w:rsidRDefault="007C3F79" w:rsidP="007C3F79">
      <w:pPr>
        <w:tabs>
          <w:tab w:val="num" w:pos="1080"/>
        </w:tabs>
        <w:ind w:right="-32"/>
        <w:jc w:val="right"/>
        <w:rPr>
          <w:bCs/>
          <w:lang w:eastAsia="sk-SK"/>
        </w:rPr>
      </w:pPr>
    </w:p>
    <w:p w14:paraId="6D6F4E83" w14:textId="77777777" w:rsidR="007C3F79" w:rsidRPr="00EB512D" w:rsidRDefault="007C3F79" w:rsidP="007C3F79">
      <w:pPr>
        <w:tabs>
          <w:tab w:val="num" w:pos="1080"/>
        </w:tabs>
        <w:ind w:right="-32"/>
        <w:jc w:val="right"/>
        <w:rPr>
          <w:bCs/>
          <w:lang w:eastAsia="sk-SK"/>
        </w:rPr>
      </w:pPr>
      <w:r w:rsidRPr="00EB512D">
        <w:rPr>
          <w:bCs/>
          <w:lang w:eastAsia="sk-SK"/>
        </w:rPr>
        <w:t xml:space="preserve">Tabuľka č. 4 </w:t>
      </w:r>
    </w:p>
    <w:p w14:paraId="6223FAB6" w14:textId="77777777" w:rsidR="007C3F79" w:rsidRPr="00EB512D" w:rsidRDefault="007C3F79" w:rsidP="007C3F79">
      <w:pPr>
        <w:tabs>
          <w:tab w:val="num" w:pos="1080"/>
        </w:tabs>
        <w:jc w:val="both"/>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C3F79" w:rsidRPr="00EB512D" w14:paraId="285DB83A" w14:textId="77777777" w:rsidTr="00B359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9561387" w14:textId="77777777" w:rsidR="007C3F79" w:rsidRPr="00EB512D" w:rsidRDefault="007C3F79" w:rsidP="00B359C5">
            <w:pPr>
              <w:jc w:val="center"/>
              <w:rPr>
                <w:b/>
                <w:bCs/>
                <w:sz w:val="20"/>
                <w:szCs w:val="20"/>
                <w:lang w:eastAsia="sk-SK"/>
              </w:rPr>
            </w:pPr>
            <w:r w:rsidRPr="00EB512D">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1637DBBE" w14:textId="77777777" w:rsidR="007C3F79" w:rsidRPr="00EB512D" w:rsidRDefault="007C3F79" w:rsidP="00B359C5">
            <w:pPr>
              <w:jc w:val="center"/>
              <w:rPr>
                <w:b/>
                <w:bCs/>
                <w:sz w:val="20"/>
                <w:szCs w:val="20"/>
                <w:lang w:eastAsia="sk-SK"/>
              </w:rPr>
            </w:pPr>
            <w:r w:rsidRPr="00EB512D">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7F5B640" w14:textId="77777777" w:rsidR="007C3F79" w:rsidRPr="00EB512D" w:rsidRDefault="007C3F79" w:rsidP="00B359C5">
            <w:pPr>
              <w:jc w:val="center"/>
              <w:rPr>
                <w:b/>
                <w:bCs/>
                <w:lang w:eastAsia="sk-SK"/>
              </w:rPr>
            </w:pPr>
            <w:r w:rsidRPr="00EB512D">
              <w:rPr>
                <w:b/>
                <w:bCs/>
                <w:lang w:eastAsia="sk-SK"/>
              </w:rPr>
              <w:t>poznámka</w:t>
            </w:r>
          </w:p>
        </w:tc>
      </w:tr>
      <w:tr w:rsidR="007C3F79" w:rsidRPr="00EB512D" w14:paraId="3BE2DA14" w14:textId="77777777" w:rsidTr="00B359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E715007" w14:textId="77777777" w:rsidR="007C3F79" w:rsidRPr="00EB512D" w:rsidRDefault="007C3F79" w:rsidP="00B359C5">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cPr>
          <w:p w14:paraId="4C17F6E8" w14:textId="77777777" w:rsidR="007C3F79" w:rsidRPr="00EB512D" w:rsidRDefault="007C3F79" w:rsidP="00B359C5">
            <w:pPr>
              <w:jc w:val="center"/>
              <w:rPr>
                <w:b/>
                <w:bCs/>
                <w:sz w:val="20"/>
                <w:szCs w:val="20"/>
                <w:lang w:eastAsia="sk-SK"/>
              </w:rPr>
            </w:pPr>
            <w:r w:rsidRPr="00EB512D">
              <w:rPr>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cPr>
          <w:p w14:paraId="4E67FE5E" w14:textId="77777777" w:rsidR="007C3F79" w:rsidRPr="00EB512D" w:rsidRDefault="007C3F79" w:rsidP="00B359C5">
            <w:pPr>
              <w:jc w:val="center"/>
              <w:rPr>
                <w:b/>
                <w:bCs/>
                <w:sz w:val="20"/>
                <w:szCs w:val="20"/>
                <w:lang w:eastAsia="sk-SK"/>
              </w:rPr>
            </w:pPr>
            <w:r w:rsidRPr="00EB512D">
              <w:rPr>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cPr>
          <w:p w14:paraId="06963F0F" w14:textId="77777777" w:rsidR="007C3F79" w:rsidRPr="00EB512D" w:rsidRDefault="007C3F79" w:rsidP="00B359C5">
            <w:pPr>
              <w:jc w:val="center"/>
              <w:rPr>
                <w:b/>
                <w:bCs/>
                <w:sz w:val="20"/>
                <w:szCs w:val="20"/>
                <w:lang w:eastAsia="sk-SK"/>
              </w:rPr>
            </w:pPr>
            <w:r w:rsidRPr="00EB512D">
              <w:rPr>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cPr>
          <w:p w14:paraId="4CFDCCEF" w14:textId="77777777" w:rsidR="007C3F79" w:rsidRPr="00EB512D" w:rsidRDefault="007C3F79" w:rsidP="00B359C5">
            <w:pPr>
              <w:jc w:val="center"/>
              <w:rPr>
                <w:b/>
                <w:bCs/>
                <w:lang w:eastAsia="sk-SK"/>
              </w:rPr>
            </w:pPr>
            <w:r w:rsidRPr="00EB512D">
              <w:rPr>
                <w:b/>
                <w:bCs/>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14:paraId="3FABC64A" w14:textId="77777777" w:rsidR="007C3F79" w:rsidRPr="00EB512D" w:rsidRDefault="007C3F79" w:rsidP="00B359C5">
            <w:pPr>
              <w:rPr>
                <w:b/>
                <w:bCs/>
                <w:color w:val="FFFFFF"/>
                <w:lang w:eastAsia="sk-SK"/>
              </w:rPr>
            </w:pPr>
          </w:p>
        </w:tc>
      </w:tr>
      <w:tr w:rsidR="007C3F79" w:rsidRPr="00EB512D" w14:paraId="1C9448C2" w14:textId="77777777" w:rsidTr="00B359C5">
        <w:trPr>
          <w:trHeight w:val="255"/>
        </w:trPr>
        <w:tc>
          <w:tcPr>
            <w:tcW w:w="7070" w:type="dxa"/>
            <w:tcBorders>
              <w:top w:val="nil"/>
              <w:left w:val="single" w:sz="4" w:space="0" w:color="auto"/>
              <w:bottom w:val="single" w:sz="4" w:space="0" w:color="auto"/>
              <w:right w:val="single" w:sz="4" w:space="0" w:color="auto"/>
            </w:tcBorders>
          </w:tcPr>
          <w:p w14:paraId="08D4F8E7" w14:textId="77777777" w:rsidR="007C3F79" w:rsidRPr="00EB512D" w:rsidRDefault="007C3F79" w:rsidP="00B359C5">
            <w:pPr>
              <w:rPr>
                <w:b/>
                <w:bCs/>
                <w:sz w:val="20"/>
                <w:szCs w:val="20"/>
                <w:lang w:eastAsia="sk-SK"/>
              </w:rPr>
            </w:pPr>
            <w:r w:rsidRPr="00EB512D">
              <w:rPr>
                <w:b/>
                <w:bCs/>
                <w:sz w:val="20"/>
                <w:szCs w:val="20"/>
                <w:lang w:eastAsia="sk-SK"/>
              </w:rPr>
              <w:t>Bežné výdavky (600)</w:t>
            </w:r>
          </w:p>
        </w:tc>
        <w:tc>
          <w:tcPr>
            <w:tcW w:w="1540" w:type="dxa"/>
            <w:tcBorders>
              <w:top w:val="nil"/>
              <w:left w:val="nil"/>
              <w:bottom w:val="single" w:sz="4" w:space="0" w:color="auto"/>
              <w:right w:val="single" w:sz="4" w:space="0" w:color="auto"/>
            </w:tcBorders>
          </w:tcPr>
          <w:p w14:paraId="6D5D5BE7" w14:textId="77777777" w:rsidR="007C3F79" w:rsidRPr="00EB512D" w:rsidRDefault="007C3F79" w:rsidP="00B359C5">
            <w:pPr>
              <w:jc w:val="center"/>
              <w:rPr>
                <w:b/>
                <w:sz w:val="20"/>
                <w:szCs w:val="20"/>
                <w:lang w:eastAsia="sk-SK"/>
              </w:rPr>
            </w:pPr>
            <w:r w:rsidRPr="00EB512D">
              <w:rPr>
                <w:b/>
                <w:sz w:val="20"/>
                <w:szCs w:val="20"/>
                <w:lang w:eastAsia="sk-SK"/>
              </w:rPr>
              <w:t>200 000,00</w:t>
            </w:r>
          </w:p>
        </w:tc>
        <w:tc>
          <w:tcPr>
            <w:tcW w:w="1540" w:type="dxa"/>
            <w:tcBorders>
              <w:top w:val="nil"/>
              <w:left w:val="nil"/>
              <w:bottom w:val="single" w:sz="4" w:space="0" w:color="auto"/>
              <w:right w:val="single" w:sz="4" w:space="0" w:color="auto"/>
            </w:tcBorders>
          </w:tcPr>
          <w:p w14:paraId="319BB0A5" w14:textId="77777777" w:rsidR="007C3F79" w:rsidRPr="00EB512D" w:rsidRDefault="007C3F79" w:rsidP="00B359C5">
            <w:pPr>
              <w:jc w:val="center"/>
              <w:rPr>
                <w:b/>
                <w:sz w:val="20"/>
                <w:szCs w:val="20"/>
                <w:lang w:eastAsia="sk-SK"/>
              </w:rPr>
            </w:pPr>
            <w:r w:rsidRPr="00EB512D">
              <w:rPr>
                <w:b/>
                <w:sz w:val="20"/>
                <w:szCs w:val="20"/>
                <w:lang w:eastAsia="sk-SK"/>
              </w:rPr>
              <w:t>300 000,00</w:t>
            </w:r>
          </w:p>
        </w:tc>
        <w:tc>
          <w:tcPr>
            <w:tcW w:w="1540" w:type="dxa"/>
            <w:tcBorders>
              <w:top w:val="nil"/>
              <w:left w:val="nil"/>
              <w:bottom w:val="single" w:sz="4" w:space="0" w:color="auto"/>
              <w:right w:val="single" w:sz="4" w:space="0" w:color="auto"/>
            </w:tcBorders>
          </w:tcPr>
          <w:p w14:paraId="3CD46A01" w14:textId="77777777" w:rsidR="007C3F79" w:rsidRPr="00EB512D" w:rsidRDefault="007C3F79" w:rsidP="00B359C5">
            <w:pPr>
              <w:jc w:val="center"/>
              <w:rPr>
                <w:b/>
                <w:sz w:val="20"/>
                <w:szCs w:val="20"/>
                <w:lang w:eastAsia="sk-SK"/>
              </w:rPr>
            </w:pPr>
            <w:r w:rsidRPr="00EB512D">
              <w:rPr>
                <w:b/>
                <w:sz w:val="20"/>
                <w:szCs w:val="20"/>
                <w:lang w:eastAsia="sk-SK"/>
              </w:rPr>
              <w:t>100 000,00</w:t>
            </w:r>
          </w:p>
        </w:tc>
        <w:tc>
          <w:tcPr>
            <w:tcW w:w="1540" w:type="dxa"/>
            <w:tcBorders>
              <w:top w:val="nil"/>
              <w:left w:val="nil"/>
              <w:bottom w:val="single" w:sz="4" w:space="0" w:color="auto"/>
              <w:right w:val="single" w:sz="4" w:space="0" w:color="auto"/>
            </w:tcBorders>
          </w:tcPr>
          <w:p w14:paraId="3BF38DD1" w14:textId="77777777" w:rsidR="007C3F79" w:rsidRPr="00EB512D" w:rsidRDefault="007C3F79" w:rsidP="00B359C5">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09946285" w14:textId="77777777" w:rsidR="007C3F79" w:rsidRPr="00EB512D" w:rsidRDefault="007C3F79" w:rsidP="00B359C5">
            <w:pPr>
              <w:rPr>
                <w:lang w:eastAsia="sk-SK"/>
              </w:rPr>
            </w:pPr>
            <w:r w:rsidRPr="00EB512D">
              <w:rPr>
                <w:lang w:eastAsia="sk-SK"/>
              </w:rPr>
              <w:t> </w:t>
            </w:r>
          </w:p>
        </w:tc>
      </w:tr>
      <w:tr w:rsidR="007C3F79" w:rsidRPr="00EB512D" w14:paraId="1FE9245E" w14:textId="77777777" w:rsidTr="00B359C5">
        <w:trPr>
          <w:trHeight w:val="255"/>
        </w:trPr>
        <w:tc>
          <w:tcPr>
            <w:tcW w:w="7070" w:type="dxa"/>
            <w:tcBorders>
              <w:top w:val="nil"/>
              <w:left w:val="single" w:sz="4" w:space="0" w:color="auto"/>
              <w:bottom w:val="single" w:sz="4" w:space="0" w:color="auto"/>
              <w:right w:val="single" w:sz="4" w:space="0" w:color="auto"/>
            </w:tcBorders>
          </w:tcPr>
          <w:p w14:paraId="7FB7F60A" w14:textId="77777777" w:rsidR="007C3F79" w:rsidRPr="00EB512D" w:rsidRDefault="007C3F79" w:rsidP="00B359C5">
            <w:pPr>
              <w:rPr>
                <w:sz w:val="20"/>
                <w:szCs w:val="20"/>
                <w:lang w:eastAsia="sk-SK"/>
              </w:rPr>
            </w:pPr>
            <w:r w:rsidRPr="00EB512D">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4F66ED58"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3AAC31CB"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7AFF1701"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27226E89"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6EF74A45" w14:textId="77777777" w:rsidR="007C3F79" w:rsidRPr="00EB512D" w:rsidRDefault="007C3F79" w:rsidP="00B359C5">
            <w:pPr>
              <w:rPr>
                <w:lang w:eastAsia="sk-SK"/>
              </w:rPr>
            </w:pPr>
            <w:r w:rsidRPr="00EB512D">
              <w:rPr>
                <w:lang w:eastAsia="sk-SK"/>
              </w:rPr>
              <w:t> </w:t>
            </w:r>
          </w:p>
        </w:tc>
      </w:tr>
      <w:tr w:rsidR="007C3F79" w:rsidRPr="00EB512D" w14:paraId="58E77E05" w14:textId="77777777" w:rsidTr="00B359C5">
        <w:trPr>
          <w:trHeight w:val="255"/>
        </w:trPr>
        <w:tc>
          <w:tcPr>
            <w:tcW w:w="7070" w:type="dxa"/>
            <w:tcBorders>
              <w:top w:val="nil"/>
              <w:left w:val="single" w:sz="4" w:space="0" w:color="auto"/>
              <w:bottom w:val="single" w:sz="4" w:space="0" w:color="auto"/>
              <w:right w:val="single" w:sz="4" w:space="0" w:color="auto"/>
            </w:tcBorders>
          </w:tcPr>
          <w:p w14:paraId="4E24E1D2" w14:textId="77777777" w:rsidR="007C3F79" w:rsidRPr="00EB512D" w:rsidRDefault="007C3F79" w:rsidP="00B359C5">
            <w:pPr>
              <w:rPr>
                <w:sz w:val="20"/>
                <w:szCs w:val="20"/>
                <w:vertAlign w:val="superscript"/>
                <w:lang w:eastAsia="sk-SK"/>
              </w:rPr>
            </w:pPr>
            <w:r w:rsidRPr="00EB512D">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77F80D8D"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022CD961"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0D9C1B29"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38CA9ADC"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4FA3C5C9" w14:textId="77777777" w:rsidR="007C3F79" w:rsidRPr="00EB512D" w:rsidRDefault="007C3F79" w:rsidP="00B359C5">
            <w:pPr>
              <w:rPr>
                <w:lang w:eastAsia="sk-SK"/>
              </w:rPr>
            </w:pPr>
            <w:r w:rsidRPr="00EB512D">
              <w:rPr>
                <w:lang w:eastAsia="sk-SK"/>
              </w:rPr>
              <w:t> </w:t>
            </w:r>
          </w:p>
        </w:tc>
      </w:tr>
      <w:tr w:rsidR="007C3F79" w:rsidRPr="00EB512D" w14:paraId="6ECCA69A" w14:textId="77777777" w:rsidTr="00B359C5">
        <w:trPr>
          <w:trHeight w:val="255"/>
        </w:trPr>
        <w:tc>
          <w:tcPr>
            <w:tcW w:w="7070" w:type="dxa"/>
            <w:tcBorders>
              <w:top w:val="nil"/>
              <w:left w:val="single" w:sz="4" w:space="0" w:color="auto"/>
              <w:bottom w:val="single" w:sz="4" w:space="0" w:color="auto"/>
              <w:right w:val="single" w:sz="4" w:space="0" w:color="auto"/>
            </w:tcBorders>
          </w:tcPr>
          <w:p w14:paraId="43DA6307" w14:textId="77777777" w:rsidR="007C3F79" w:rsidRPr="00EB512D" w:rsidRDefault="007C3F79" w:rsidP="00B359C5">
            <w:pPr>
              <w:rPr>
                <w:sz w:val="20"/>
                <w:szCs w:val="20"/>
                <w:vertAlign w:val="superscript"/>
                <w:lang w:eastAsia="sk-SK"/>
              </w:rPr>
            </w:pPr>
            <w:r w:rsidRPr="00EB512D">
              <w:rPr>
                <w:sz w:val="20"/>
                <w:szCs w:val="20"/>
                <w:lang w:eastAsia="sk-SK"/>
              </w:rPr>
              <w:t xml:space="preserve">  Tovary a služby (630)</w:t>
            </w:r>
            <w:r w:rsidRPr="00EB512D">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2C15DBE3" w14:textId="77777777" w:rsidR="007C3F79" w:rsidRPr="00EB512D" w:rsidRDefault="007C3F79" w:rsidP="00B359C5">
            <w:pPr>
              <w:jc w:val="center"/>
              <w:rPr>
                <w:sz w:val="20"/>
                <w:szCs w:val="20"/>
                <w:lang w:eastAsia="sk-SK"/>
              </w:rPr>
            </w:pPr>
            <w:r w:rsidRPr="00EB512D">
              <w:rPr>
                <w:sz w:val="20"/>
                <w:szCs w:val="20"/>
                <w:lang w:eastAsia="sk-SK"/>
              </w:rPr>
              <w:t>200 000,00</w:t>
            </w:r>
          </w:p>
        </w:tc>
        <w:tc>
          <w:tcPr>
            <w:tcW w:w="1540" w:type="dxa"/>
            <w:tcBorders>
              <w:top w:val="nil"/>
              <w:left w:val="nil"/>
              <w:bottom w:val="single" w:sz="4" w:space="0" w:color="auto"/>
              <w:right w:val="single" w:sz="4" w:space="0" w:color="auto"/>
            </w:tcBorders>
          </w:tcPr>
          <w:p w14:paraId="5DA14CDC" w14:textId="77777777" w:rsidR="007C3F79" w:rsidRPr="00EB512D" w:rsidRDefault="007C3F79" w:rsidP="00B359C5">
            <w:pPr>
              <w:jc w:val="center"/>
              <w:rPr>
                <w:sz w:val="20"/>
                <w:szCs w:val="20"/>
                <w:lang w:eastAsia="sk-SK"/>
              </w:rPr>
            </w:pPr>
            <w:r w:rsidRPr="00EB512D">
              <w:rPr>
                <w:sz w:val="20"/>
                <w:szCs w:val="20"/>
                <w:lang w:eastAsia="sk-SK"/>
              </w:rPr>
              <w:t>300 000,00</w:t>
            </w:r>
          </w:p>
        </w:tc>
        <w:tc>
          <w:tcPr>
            <w:tcW w:w="1540" w:type="dxa"/>
            <w:tcBorders>
              <w:top w:val="nil"/>
              <w:left w:val="nil"/>
              <w:bottom w:val="single" w:sz="4" w:space="0" w:color="auto"/>
              <w:right w:val="single" w:sz="4" w:space="0" w:color="auto"/>
            </w:tcBorders>
          </w:tcPr>
          <w:p w14:paraId="100E7302" w14:textId="77777777" w:rsidR="007C3F79" w:rsidRPr="00EB512D" w:rsidRDefault="007C3F79" w:rsidP="00B359C5">
            <w:pPr>
              <w:jc w:val="center"/>
              <w:rPr>
                <w:sz w:val="20"/>
                <w:szCs w:val="20"/>
                <w:lang w:eastAsia="sk-SK"/>
              </w:rPr>
            </w:pPr>
            <w:r w:rsidRPr="00EB512D">
              <w:rPr>
                <w:sz w:val="20"/>
                <w:szCs w:val="20"/>
                <w:lang w:eastAsia="sk-SK"/>
              </w:rPr>
              <w:t>100 000,00</w:t>
            </w:r>
          </w:p>
        </w:tc>
        <w:tc>
          <w:tcPr>
            <w:tcW w:w="1540" w:type="dxa"/>
            <w:tcBorders>
              <w:top w:val="nil"/>
              <w:left w:val="nil"/>
              <w:bottom w:val="single" w:sz="4" w:space="0" w:color="auto"/>
              <w:right w:val="single" w:sz="4" w:space="0" w:color="auto"/>
            </w:tcBorders>
          </w:tcPr>
          <w:p w14:paraId="155EDA76"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72EFA653" w14:textId="77777777" w:rsidR="007C3F79" w:rsidRPr="00EB512D" w:rsidRDefault="007C3F79" w:rsidP="00B359C5">
            <w:pPr>
              <w:rPr>
                <w:lang w:eastAsia="sk-SK"/>
              </w:rPr>
            </w:pPr>
            <w:r w:rsidRPr="00EB512D">
              <w:rPr>
                <w:lang w:eastAsia="sk-SK"/>
              </w:rPr>
              <w:t> </w:t>
            </w:r>
          </w:p>
        </w:tc>
      </w:tr>
      <w:tr w:rsidR="007C3F79" w:rsidRPr="00EB512D" w14:paraId="2C208277" w14:textId="77777777" w:rsidTr="00B359C5">
        <w:trPr>
          <w:trHeight w:val="255"/>
        </w:trPr>
        <w:tc>
          <w:tcPr>
            <w:tcW w:w="7070" w:type="dxa"/>
            <w:tcBorders>
              <w:top w:val="nil"/>
              <w:left w:val="single" w:sz="4" w:space="0" w:color="auto"/>
              <w:bottom w:val="single" w:sz="4" w:space="0" w:color="auto"/>
              <w:right w:val="single" w:sz="4" w:space="0" w:color="auto"/>
            </w:tcBorders>
          </w:tcPr>
          <w:p w14:paraId="3C2043E1" w14:textId="77777777" w:rsidR="007C3F79" w:rsidRPr="00EB512D" w:rsidRDefault="007C3F79" w:rsidP="00B359C5">
            <w:pPr>
              <w:rPr>
                <w:sz w:val="20"/>
                <w:szCs w:val="20"/>
                <w:lang w:eastAsia="sk-SK"/>
              </w:rPr>
            </w:pPr>
            <w:r w:rsidRPr="00EB512D">
              <w:rPr>
                <w:sz w:val="20"/>
                <w:szCs w:val="20"/>
                <w:lang w:eastAsia="sk-SK"/>
              </w:rPr>
              <w:t xml:space="preserve">  Bežné transfery (640)</w:t>
            </w:r>
            <w:r w:rsidRPr="00EB512D">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3CD8D1CD"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64F56EC0"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36A6AE51"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337A28DA"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707DFB59" w14:textId="77777777" w:rsidR="007C3F79" w:rsidRPr="00EB512D" w:rsidRDefault="007C3F79" w:rsidP="00B359C5">
            <w:pPr>
              <w:rPr>
                <w:lang w:eastAsia="sk-SK"/>
              </w:rPr>
            </w:pPr>
            <w:r w:rsidRPr="00EB512D">
              <w:rPr>
                <w:lang w:eastAsia="sk-SK"/>
              </w:rPr>
              <w:t> </w:t>
            </w:r>
          </w:p>
        </w:tc>
      </w:tr>
      <w:tr w:rsidR="007C3F79" w:rsidRPr="00EB512D" w14:paraId="11C5C52B" w14:textId="77777777" w:rsidTr="00B359C5">
        <w:trPr>
          <w:trHeight w:val="255"/>
        </w:trPr>
        <w:tc>
          <w:tcPr>
            <w:tcW w:w="7070" w:type="dxa"/>
            <w:tcBorders>
              <w:top w:val="nil"/>
              <w:left w:val="single" w:sz="4" w:space="0" w:color="auto"/>
              <w:bottom w:val="single" w:sz="4" w:space="0" w:color="auto"/>
              <w:right w:val="single" w:sz="4" w:space="0" w:color="auto"/>
            </w:tcBorders>
            <w:vAlign w:val="center"/>
          </w:tcPr>
          <w:p w14:paraId="7639CFE4" w14:textId="77777777" w:rsidR="007C3F79" w:rsidRPr="00EB512D" w:rsidRDefault="007C3F79" w:rsidP="00B359C5">
            <w:pPr>
              <w:rPr>
                <w:sz w:val="20"/>
                <w:szCs w:val="20"/>
                <w:lang w:eastAsia="sk-SK"/>
              </w:rPr>
            </w:pPr>
            <w:r w:rsidRPr="00EB512D">
              <w:rPr>
                <w:sz w:val="20"/>
                <w:szCs w:val="20"/>
                <w:lang w:eastAsia="sk-SK"/>
              </w:rPr>
              <w:t xml:space="preserve">  Splácanie úrokov a ostatné platby súvisiace s </w:t>
            </w:r>
            <w:r w:rsidRPr="00EB512D">
              <w:t xml:space="preserve"> </w:t>
            </w:r>
            <w:r w:rsidRPr="00EB512D">
              <w:rPr>
                <w:sz w:val="20"/>
                <w:szCs w:val="20"/>
                <w:lang w:eastAsia="sk-SK"/>
              </w:rPr>
              <w:t>úverom, pôžičkou, návratnou finančnou výpomocou a finančným prenájmom (650)</w:t>
            </w:r>
            <w:r w:rsidRPr="00EB512D">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22E954AB"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6C61DAE4"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01175491"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7713FC57"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54C48240" w14:textId="77777777" w:rsidR="007C3F79" w:rsidRPr="00EB512D" w:rsidRDefault="007C3F79" w:rsidP="00B359C5">
            <w:pPr>
              <w:rPr>
                <w:lang w:eastAsia="sk-SK"/>
              </w:rPr>
            </w:pPr>
          </w:p>
        </w:tc>
      </w:tr>
      <w:tr w:rsidR="007C3F79" w:rsidRPr="00EB512D" w14:paraId="1963380E" w14:textId="77777777" w:rsidTr="00B359C5">
        <w:trPr>
          <w:trHeight w:val="255"/>
        </w:trPr>
        <w:tc>
          <w:tcPr>
            <w:tcW w:w="7070" w:type="dxa"/>
            <w:tcBorders>
              <w:top w:val="nil"/>
              <w:left w:val="single" w:sz="4" w:space="0" w:color="auto"/>
              <w:bottom w:val="single" w:sz="4" w:space="0" w:color="auto"/>
              <w:right w:val="single" w:sz="4" w:space="0" w:color="auto"/>
            </w:tcBorders>
          </w:tcPr>
          <w:p w14:paraId="6B29B605" w14:textId="77777777" w:rsidR="007C3F79" w:rsidRPr="00EB512D" w:rsidRDefault="007C3F79" w:rsidP="00B359C5">
            <w:pPr>
              <w:rPr>
                <w:b/>
                <w:bCs/>
                <w:sz w:val="20"/>
                <w:szCs w:val="20"/>
                <w:lang w:eastAsia="sk-SK"/>
              </w:rPr>
            </w:pPr>
            <w:r w:rsidRPr="00EB512D">
              <w:rPr>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3A38CEE2" w14:textId="77777777" w:rsidR="007C3F79" w:rsidRPr="00EB512D" w:rsidRDefault="007C3F79" w:rsidP="00B359C5">
            <w:pPr>
              <w:jc w:val="center"/>
              <w:rPr>
                <w:sz w:val="20"/>
              </w:rPr>
            </w:pPr>
            <w:r w:rsidRPr="00EB512D">
              <w:rPr>
                <w:sz w:val="20"/>
              </w:rPr>
              <w:t>1 600 000</w:t>
            </w:r>
          </w:p>
        </w:tc>
        <w:tc>
          <w:tcPr>
            <w:tcW w:w="1540" w:type="dxa"/>
            <w:tcBorders>
              <w:top w:val="nil"/>
              <w:left w:val="nil"/>
              <w:bottom w:val="single" w:sz="4" w:space="0" w:color="auto"/>
              <w:right w:val="single" w:sz="4" w:space="0" w:color="auto"/>
            </w:tcBorders>
          </w:tcPr>
          <w:p w14:paraId="306591B0" w14:textId="77777777" w:rsidR="007C3F79" w:rsidRPr="00EB512D" w:rsidRDefault="007C3F79" w:rsidP="00B359C5">
            <w:pPr>
              <w:jc w:val="center"/>
              <w:rPr>
                <w:sz w:val="20"/>
              </w:rPr>
            </w:pPr>
            <w:r w:rsidRPr="00EB512D">
              <w:rPr>
                <w:sz w:val="20"/>
              </w:rPr>
              <w:t>9 000 000</w:t>
            </w:r>
          </w:p>
        </w:tc>
        <w:tc>
          <w:tcPr>
            <w:tcW w:w="1540" w:type="dxa"/>
            <w:tcBorders>
              <w:top w:val="nil"/>
              <w:left w:val="nil"/>
              <w:bottom w:val="single" w:sz="4" w:space="0" w:color="auto"/>
              <w:right w:val="single" w:sz="4" w:space="0" w:color="auto"/>
            </w:tcBorders>
          </w:tcPr>
          <w:p w14:paraId="4392E1C2" w14:textId="77777777" w:rsidR="007C3F79" w:rsidRPr="00EB512D" w:rsidRDefault="007C3F79" w:rsidP="00B359C5">
            <w:pPr>
              <w:jc w:val="center"/>
              <w:rPr>
                <w:sz w:val="20"/>
              </w:rPr>
            </w:pPr>
            <w:r w:rsidRPr="00EB512D">
              <w:rPr>
                <w:sz w:val="20"/>
              </w:rPr>
              <w:t>13 500 000</w:t>
            </w:r>
          </w:p>
        </w:tc>
        <w:tc>
          <w:tcPr>
            <w:tcW w:w="1540" w:type="dxa"/>
            <w:tcBorders>
              <w:top w:val="nil"/>
              <w:left w:val="nil"/>
              <w:bottom w:val="single" w:sz="4" w:space="0" w:color="auto"/>
              <w:right w:val="single" w:sz="4" w:space="0" w:color="auto"/>
            </w:tcBorders>
          </w:tcPr>
          <w:p w14:paraId="74EB9AA0" w14:textId="77777777" w:rsidR="007C3F79" w:rsidRPr="00EB512D" w:rsidRDefault="007C3F79" w:rsidP="00B359C5">
            <w:pPr>
              <w:jc w:val="center"/>
              <w:rPr>
                <w:sz w:val="20"/>
              </w:rPr>
            </w:pPr>
            <w:r w:rsidRPr="00EB512D">
              <w:rPr>
                <w:sz w:val="20"/>
              </w:rPr>
              <w:t>19 900 000</w:t>
            </w:r>
          </w:p>
        </w:tc>
        <w:tc>
          <w:tcPr>
            <w:tcW w:w="2220" w:type="dxa"/>
            <w:tcBorders>
              <w:top w:val="nil"/>
              <w:left w:val="nil"/>
              <w:bottom w:val="single" w:sz="4" w:space="0" w:color="auto"/>
              <w:right w:val="single" w:sz="4" w:space="0" w:color="auto"/>
            </w:tcBorders>
            <w:noWrap/>
            <w:vAlign w:val="bottom"/>
          </w:tcPr>
          <w:p w14:paraId="0D97F373" w14:textId="77777777" w:rsidR="007C3F79" w:rsidRPr="00EB512D" w:rsidRDefault="007C3F79" w:rsidP="00B359C5">
            <w:pPr>
              <w:rPr>
                <w:lang w:eastAsia="sk-SK"/>
              </w:rPr>
            </w:pPr>
            <w:r w:rsidRPr="00EB512D">
              <w:rPr>
                <w:sz w:val="20"/>
                <w:lang w:eastAsia="sk-SK"/>
              </w:rPr>
              <w:t xml:space="preserve">Vzhľadom na rozpočtové zdroje z OPII nie je možné bližšie určiť kapitálové výdavky.  </w:t>
            </w:r>
          </w:p>
        </w:tc>
      </w:tr>
      <w:tr w:rsidR="007C3F79" w:rsidRPr="00EB512D" w14:paraId="1FC9E5E5" w14:textId="77777777" w:rsidTr="00B359C5">
        <w:trPr>
          <w:trHeight w:val="255"/>
        </w:trPr>
        <w:tc>
          <w:tcPr>
            <w:tcW w:w="7070" w:type="dxa"/>
            <w:tcBorders>
              <w:top w:val="nil"/>
              <w:left w:val="single" w:sz="4" w:space="0" w:color="auto"/>
              <w:bottom w:val="single" w:sz="4" w:space="0" w:color="auto"/>
              <w:right w:val="single" w:sz="4" w:space="0" w:color="auto"/>
            </w:tcBorders>
          </w:tcPr>
          <w:p w14:paraId="0E6A2A2F" w14:textId="77777777" w:rsidR="007C3F79" w:rsidRPr="00EB512D" w:rsidRDefault="007C3F79" w:rsidP="00B359C5">
            <w:pPr>
              <w:rPr>
                <w:sz w:val="20"/>
                <w:szCs w:val="20"/>
                <w:lang w:eastAsia="sk-SK"/>
              </w:rPr>
            </w:pPr>
            <w:r w:rsidRPr="00EB512D">
              <w:rPr>
                <w:sz w:val="20"/>
                <w:szCs w:val="20"/>
                <w:lang w:eastAsia="sk-SK"/>
              </w:rPr>
              <w:t xml:space="preserve">  Obstarávanie kapitálových aktív (710)</w:t>
            </w:r>
            <w:r w:rsidRPr="00EB512D">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19E1104A"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6A3A97BC"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64DBF19E"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64D130EF"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484F284D" w14:textId="77777777" w:rsidR="007C3F79" w:rsidRPr="00EB512D" w:rsidRDefault="007C3F79" w:rsidP="00B359C5">
            <w:pPr>
              <w:rPr>
                <w:lang w:eastAsia="sk-SK"/>
              </w:rPr>
            </w:pPr>
            <w:r w:rsidRPr="00EB512D">
              <w:rPr>
                <w:lang w:eastAsia="sk-SK"/>
              </w:rPr>
              <w:t> </w:t>
            </w:r>
          </w:p>
        </w:tc>
      </w:tr>
      <w:tr w:rsidR="007C3F79" w:rsidRPr="00EB512D" w14:paraId="536F588B" w14:textId="77777777" w:rsidTr="00B359C5">
        <w:trPr>
          <w:trHeight w:val="255"/>
        </w:trPr>
        <w:tc>
          <w:tcPr>
            <w:tcW w:w="7070" w:type="dxa"/>
            <w:tcBorders>
              <w:top w:val="nil"/>
              <w:left w:val="single" w:sz="4" w:space="0" w:color="auto"/>
              <w:bottom w:val="single" w:sz="4" w:space="0" w:color="auto"/>
              <w:right w:val="single" w:sz="4" w:space="0" w:color="auto"/>
            </w:tcBorders>
          </w:tcPr>
          <w:p w14:paraId="1F854674" w14:textId="77777777" w:rsidR="007C3F79" w:rsidRPr="00EB512D" w:rsidRDefault="007C3F79" w:rsidP="00B359C5">
            <w:pPr>
              <w:rPr>
                <w:sz w:val="20"/>
                <w:szCs w:val="20"/>
                <w:lang w:eastAsia="sk-SK"/>
              </w:rPr>
            </w:pPr>
            <w:r w:rsidRPr="00EB512D">
              <w:rPr>
                <w:sz w:val="20"/>
                <w:szCs w:val="20"/>
                <w:lang w:eastAsia="sk-SK"/>
              </w:rPr>
              <w:t xml:space="preserve">  Kapitálové transfery (720)</w:t>
            </w:r>
            <w:r w:rsidRPr="00EB512D">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56EC95D3"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4D3C96A5"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286C0D5D" w14:textId="77777777" w:rsidR="007C3F79" w:rsidRPr="00EB512D" w:rsidRDefault="007C3F79" w:rsidP="00B359C5">
            <w:pPr>
              <w:jc w:val="center"/>
              <w:rPr>
                <w:sz w:val="20"/>
                <w:szCs w:val="20"/>
                <w:lang w:eastAsia="sk-SK"/>
              </w:rPr>
            </w:pPr>
          </w:p>
        </w:tc>
        <w:tc>
          <w:tcPr>
            <w:tcW w:w="1540" w:type="dxa"/>
            <w:tcBorders>
              <w:top w:val="nil"/>
              <w:left w:val="nil"/>
              <w:bottom w:val="single" w:sz="4" w:space="0" w:color="auto"/>
              <w:right w:val="single" w:sz="4" w:space="0" w:color="auto"/>
            </w:tcBorders>
          </w:tcPr>
          <w:p w14:paraId="54495EF5" w14:textId="77777777" w:rsidR="007C3F79" w:rsidRPr="00EB512D" w:rsidRDefault="007C3F79" w:rsidP="00B359C5">
            <w:pPr>
              <w:jc w:val="center"/>
              <w:rPr>
                <w:lang w:eastAsia="sk-SK"/>
              </w:rPr>
            </w:pPr>
          </w:p>
        </w:tc>
        <w:tc>
          <w:tcPr>
            <w:tcW w:w="2220" w:type="dxa"/>
            <w:tcBorders>
              <w:top w:val="nil"/>
              <w:left w:val="nil"/>
              <w:bottom w:val="single" w:sz="4" w:space="0" w:color="auto"/>
              <w:right w:val="single" w:sz="4" w:space="0" w:color="auto"/>
            </w:tcBorders>
            <w:noWrap/>
            <w:vAlign w:val="bottom"/>
          </w:tcPr>
          <w:p w14:paraId="1DCCC35C" w14:textId="77777777" w:rsidR="007C3F79" w:rsidRPr="00EB512D" w:rsidRDefault="007C3F79" w:rsidP="00B359C5">
            <w:pPr>
              <w:rPr>
                <w:lang w:eastAsia="sk-SK"/>
              </w:rPr>
            </w:pPr>
            <w:r w:rsidRPr="00EB512D">
              <w:rPr>
                <w:lang w:eastAsia="sk-SK"/>
              </w:rPr>
              <w:t> </w:t>
            </w:r>
          </w:p>
        </w:tc>
      </w:tr>
      <w:tr w:rsidR="007C3F79" w:rsidRPr="00EB512D" w14:paraId="0A62C1E1" w14:textId="77777777" w:rsidTr="00B359C5">
        <w:trPr>
          <w:trHeight w:val="255"/>
        </w:trPr>
        <w:tc>
          <w:tcPr>
            <w:tcW w:w="7070" w:type="dxa"/>
            <w:tcBorders>
              <w:top w:val="nil"/>
              <w:left w:val="single" w:sz="4" w:space="0" w:color="auto"/>
              <w:bottom w:val="single" w:sz="4" w:space="0" w:color="auto"/>
              <w:right w:val="single" w:sz="4" w:space="0" w:color="auto"/>
            </w:tcBorders>
          </w:tcPr>
          <w:p w14:paraId="71A4A835" w14:textId="77777777" w:rsidR="007C3F79" w:rsidRPr="00EB512D" w:rsidRDefault="007C3F79" w:rsidP="00B359C5">
            <w:pPr>
              <w:rPr>
                <w:b/>
                <w:bCs/>
                <w:sz w:val="20"/>
                <w:szCs w:val="20"/>
                <w:lang w:eastAsia="sk-SK"/>
              </w:rPr>
            </w:pPr>
            <w:r w:rsidRPr="00EB512D">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54D5DFAE" w14:textId="77777777" w:rsidR="007C3F79" w:rsidRPr="00EB512D" w:rsidRDefault="007C3F79" w:rsidP="00B359C5">
            <w:pPr>
              <w:jc w:val="center"/>
              <w:rPr>
                <w:b/>
                <w:bCs/>
                <w:sz w:val="20"/>
                <w:szCs w:val="20"/>
                <w:lang w:eastAsia="sk-SK"/>
              </w:rPr>
            </w:pPr>
            <w:r w:rsidRPr="00EB512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BF2FBBE" w14:textId="77777777" w:rsidR="007C3F79" w:rsidRPr="00EB512D" w:rsidRDefault="007C3F79" w:rsidP="00B359C5">
            <w:pPr>
              <w:jc w:val="center"/>
              <w:rPr>
                <w:b/>
                <w:bCs/>
                <w:sz w:val="20"/>
                <w:szCs w:val="20"/>
                <w:lang w:eastAsia="sk-SK"/>
              </w:rPr>
            </w:pPr>
            <w:r w:rsidRPr="00EB512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3B06039" w14:textId="77777777" w:rsidR="007C3F79" w:rsidRPr="00EB512D" w:rsidRDefault="007C3F79" w:rsidP="00B359C5">
            <w:pPr>
              <w:jc w:val="center"/>
              <w:rPr>
                <w:b/>
                <w:bCs/>
                <w:sz w:val="20"/>
                <w:szCs w:val="20"/>
                <w:lang w:eastAsia="sk-SK"/>
              </w:rPr>
            </w:pPr>
            <w:r w:rsidRPr="00EB512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0682706" w14:textId="77777777" w:rsidR="007C3F79" w:rsidRPr="00EB512D" w:rsidRDefault="007C3F79" w:rsidP="00B359C5">
            <w:pPr>
              <w:jc w:val="center"/>
              <w:rPr>
                <w:b/>
                <w:bCs/>
                <w:lang w:eastAsia="sk-SK"/>
              </w:rPr>
            </w:pPr>
            <w:r w:rsidRPr="00EB512D">
              <w:rPr>
                <w:b/>
                <w:bCs/>
                <w:lang w:eastAsia="sk-SK"/>
              </w:rPr>
              <w:t> </w:t>
            </w:r>
          </w:p>
        </w:tc>
        <w:tc>
          <w:tcPr>
            <w:tcW w:w="2220" w:type="dxa"/>
            <w:tcBorders>
              <w:top w:val="nil"/>
              <w:left w:val="nil"/>
              <w:bottom w:val="single" w:sz="4" w:space="0" w:color="auto"/>
              <w:right w:val="single" w:sz="4" w:space="0" w:color="auto"/>
            </w:tcBorders>
            <w:noWrap/>
            <w:vAlign w:val="bottom"/>
          </w:tcPr>
          <w:p w14:paraId="76ADF37C" w14:textId="77777777" w:rsidR="007C3F79" w:rsidRPr="00EB512D" w:rsidRDefault="007C3F79" w:rsidP="00B359C5">
            <w:pPr>
              <w:rPr>
                <w:lang w:eastAsia="sk-SK"/>
              </w:rPr>
            </w:pPr>
            <w:r w:rsidRPr="00EB512D">
              <w:rPr>
                <w:lang w:eastAsia="sk-SK"/>
              </w:rPr>
              <w:t xml:space="preserve">  </w:t>
            </w:r>
          </w:p>
        </w:tc>
      </w:tr>
      <w:tr w:rsidR="007C3F79" w:rsidRPr="00EB512D" w14:paraId="5ED74A15" w14:textId="77777777" w:rsidTr="00B359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9B48286" w14:textId="77777777" w:rsidR="007C3F79" w:rsidRPr="00EB512D" w:rsidRDefault="007C3F79" w:rsidP="00B359C5">
            <w:pPr>
              <w:rPr>
                <w:b/>
                <w:bCs/>
                <w:sz w:val="20"/>
                <w:szCs w:val="20"/>
                <w:lang w:eastAsia="sk-SK"/>
              </w:rPr>
            </w:pPr>
            <w:r w:rsidRPr="00EB512D">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6D00017B" w14:textId="77777777" w:rsidR="007C3F79" w:rsidRPr="00EB512D" w:rsidRDefault="007C3F79" w:rsidP="00B359C5">
            <w:pPr>
              <w:jc w:val="right"/>
              <w:rPr>
                <w:b/>
                <w:bCs/>
                <w:lang w:eastAsia="sk-SK"/>
              </w:rPr>
            </w:pPr>
            <w:r w:rsidRPr="00EB512D">
              <w:rPr>
                <w:b/>
                <w:bCs/>
                <w:iCs/>
                <w:lang w:eastAsia="sk-SK"/>
              </w:rPr>
              <w:t>1 800 000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3445AB5E" w14:textId="77777777" w:rsidR="007C3F79" w:rsidRPr="00EB512D" w:rsidRDefault="007C3F79" w:rsidP="00B359C5">
            <w:pPr>
              <w:jc w:val="right"/>
              <w:rPr>
                <w:b/>
                <w:bCs/>
                <w:lang w:eastAsia="sk-SK"/>
              </w:rPr>
            </w:pPr>
            <w:r w:rsidRPr="00EB512D">
              <w:rPr>
                <w:b/>
                <w:bCs/>
                <w:lang w:eastAsia="sk-SK"/>
              </w:rPr>
              <w:t>9 300 000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6FCC0D56" w14:textId="77777777" w:rsidR="007C3F79" w:rsidRPr="00EB512D" w:rsidRDefault="007C3F79" w:rsidP="00B359C5">
            <w:pPr>
              <w:jc w:val="right"/>
              <w:rPr>
                <w:b/>
                <w:bCs/>
                <w:lang w:eastAsia="sk-SK"/>
              </w:rPr>
            </w:pPr>
            <w:r w:rsidRPr="00EB512D">
              <w:rPr>
                <w:b/>
                <w:bCs/>
                <w:lang w:eastAsia="sk-SK"/>
              </w:rPr>
              <w:t>13 600 000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0228946E" w14:textId="77777777" w:rsidR="007C3F79" w:rsidRPr="00EB512D" w:rsidRDefault="007C3F79" w:rsidP="00B359C5">
            <w:pPr>
              <w:jc w:val="right"/>
              <w:rPr>
                <w:b/>
                <w:bCs/>
                <w:lang w:eastAsia="sk-SK"/>
              </w:rPr>
            </w:pPr>
            <w:r w:rsidRPr="00EB512D">
              <w:rPr>
                <w:b/>
                <w:bCs/>
                <w:lang w:eastAsia="sk-SK"/>
              </w:rPr>
              <w:t xml:space="preserve">19 900 000   </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69D300EC" w14:textId="77777777" w:rsidR="007C3F79" w:rsidRPr="00EB512D" w:rsidRDefault="007C3F79" w:rsidP="00B359C5">
            <w:pPr>
              <w:rPr>
                <w:lang w:eastAsia="sk-SK"/>
              </w:rPr>
            </w:pPr>
            <w:r w:rsidRPr="00EB512D">
              <w:rPr>
                <w:lang w:eastAsia="sk-SK"/>
              </w:rPr>
              <w:t> </w:t>
            </w:r>
          </w:p>
        </w:tc>
      </w:tr>
    </w:tbl>
    <w:p w14:paraId="0441EB23" w14:textId="77777777" w:rsidR="007C3F79" w:rsidRPr="00EB512D" w:rsidRDefault="007C3F79" w:rsidP="007C3F79">
      <w:pPr>
        <w:tabs>
          <w:tab w:val="num" w:pos="1080"/>
        </w:tabs>
        <w:ind w:left="-900"/>
        <w:jc w:val="both"/>
        <w:rPr>
          <w:bCs/>
          <w:sz w:val="20"/>
          <w:szCs w:val="20"/>
          <w:lang w:eastAsia="sk-SK"/>
        </w:rPr>
      </w:pPr>
      <w:r w:rsidRPr="00EB512D">
        <w:rPr>
          <w:bCs/>
          <w:sz w:val="20"/>
          <w:szCs w:val="20"/>
          <w:lang w:eastAsia="sk-SK"/>
        </w:rPr>
        <w:t xml:space="preserve">2 </w:t>
      </w:r>
      <w:proofErr w:type="gramStart"/>
      <w:r w:rsidRPr="00EB512D">
        <w:rPr>
          <w:bCs/>
          <w:sz w:val="20"/>
          <w:szCs w:val="20"/>
          <w:lang w:eastAsia="sk-SK"/>
        </w:rPr>
        <w:t>–  výdavky</w:t>
      </w:r>
      <w:proofErr w:type="gramEnd"/>
      <w:r w:rsidRPr="00EB512D">
        <w:rPr>
          <w:bCs/>
          <w:sz w:val="20"/>
          <w:szCs w:val="20"/>
          <w:lang w:eastAsia="sk-SK"/>
        </w:rPr>
        <w:t xml:space="preserve"> rozpísať až do položiek platnej ekonomickej klasifikácie</w:t>
      </w:r>
    </w:p>
    <w:p w14:paraId="6FE65994" w14:textId="77777777" w:rsidR="007C3F79" w:rsidRPr="00EB512D" w:rsidRDefault="007C3F79" w:rsidP="007C3F79">
      <w:pPr>
        <w:tabs>
          <w:tab w:val="num" w:pos="1080"/>
        </w:tabs>
        <w:ind w:left="-900"/>
        <w:jc w:val="both"/>
        <w:rPr>
          <w:bCs/>
          <w:szCs w:val="20"/>
          <w:lang w:eastAsia="sk-SK"/>
        </w:rPr>
      </w:pPr>
    </w:p>
    <w:p w14:paraId="730787FC" w14:textId="77777777" w:rsidR="007C3F79" w:rsidRPr="00EB512D" w:rsidRDefault="007C3F79" w:rsidP="007C3F79">
      <w:pPr>
        <w:tabs>
          <w:tab w:val="num" w:pos="1080"/>
        </w:tabs>
        <w:ind w:left="-900"/>
        <w:jc w:val="both"/>
        <w:rPr>
          <w:b/>
          <w:bCs/>
          <w:sz w:val="20"/>
          <w:szCs w:val="20"/>
          <w:lang w:eastAsia="sk-SK"/>
        </w:rPr>
      </w:pPr>
      <w:r w:rsidRPr="00EB512D">
        <w:rPr>
          <w:b/>
          <w:bCs/>
          <w:szCs w:val="20"/>
          <w:lang w:eastAsia="sk-SK"/>
        </w:rPr>
        <w:t>Poznámka:</w:t>
      </w:r>
    </w:p>
    <w:p w14:paraId="02F8CD41" w14:textId="77777777" w:rsidR="007C3F79" w:rsidRPr="00EB512D" w:rsidRDefault="007C3F79" w:rsidP="007C3F79">
      <w:pPr>
        <w:tabs>
          <w:tab w:val="num" w:pos="1080"/>
        </w:tabs>
        <w:ind w:left="-900"/>
        <w:jc w:val="both"/>
        <w:rPr>
          <w:bCs/>
          <w:sz w:val="20"/>
          <w:szCs w:val="20"/>
          <w:lang w:eastAsia="sk-SK"/>
        </w:rPr>
      </w:pPr>
      <w:r w:rsidRPr="00EB512D">
        <w:rPr>
          <w:bCs/>
          <w:szCs w:val="20"/>
          <w:lang w:eastAsia="sk-SK"/>
        </w:rPr>
        <w:t xml:space="preserve">Ak </w:t>
      </w:r>
      <w:proofErr w:type="gramStart"/>
      <w:r w:rsidRPr="00EB512D">
        <w:rPr>
          <w:bCs/>
          <w:szCs w:val="20"/>
          <w:lang w:eastAsia="sk-SK"/>
        </w:rPr>
        <w:t>sa</w:t>
      </w:r>
      <w:proofErr w:type="gramEnd"/>
      <w:r w:rsidRPr="00EB512D">
        <w:rPr>
          <w:bCs/>
          <w:szCs w:val="20"/>
          <w:lang w:eastAsia="sk-SK"/>
        </w:rPr>
        <w:t xml:space="preserve"> vplyv týka viacerých subjektov verejnej správy, vypĺňa sa samostatná tabuľka za každý subjekt. </w:t>
      </w:r>
    </w:p>
    <w:p w14:paraId="1DE6F016" w14:textId="77777777" w:rsidR="007C3F79" w:rsidRPr="00EB512D" w:rsidRDefault="007C3F79" w:rsidP="007C3F79">
      <w:pPr>
        <w:tabs>
          <w:tab w:val="num" w:pos="1080"/>
        </w:tabs>
        <w:ind w:left="-900"/>
        <w:jc w:val="both"/>
        <w:rPr>
          <w:bCs/>
          <w:sz w:val="20"/>
          <w:szCs w:val="20"/>
          <w:lang w:eastAsia="sk-SK"/>
        </w:rPr>
      </w:pPr>
    </w:p>
    <w:p w14:paraId="3F953BAF" w14:textId="77777777" w:rsidR="007C3F79" w:rsidRPr="00EB512D" w:rsidRDefault="007C3F79" w:rsidP="007C3F79">
      <w:pPr>
        <w:tabs>
          <w:tab w:val="num" w:pos="1080"/>
        </w:tabs>
        <w:ind w:left="-900"/>
        <w:jc w:val="both"/>
        <w:rPr>
          <w:bCs/>
          <w:sz w:val="20"/>
          <w:szCs w:val="20"/>
          <w:lang w:eastAsia="sk-SK"/>
        </w:rPr>
      </w:pPr>
    </w:p>
    <w:p w14:paraId="5B1F8230" w14:textId="77777777" w:rsidR="007C3F79" w:rsidRPr="00EB512D" w:rsidRDefault="007C3F79" w:rsidP="007C3F79">
      <w:pPr>
        <w:tabs>
          <w:tab w:val="num" w:pos="1080"/>
        </w:tabs>
        <w:ind w:left="-900"/>
        <w:jc w:val="both"/>
        <w:rPr>
          <w:bCs/>
          <w:sz w:val="20"/>
          <w:szCs w:val="20"/>
          <w:lang w:eastAsia="sk-SK"/>
        </w:rPr>
      </w:pPr>
    </w:p>
    <w:p w14:paraId="62D24E91" w14:textId="77777777" w:rsidR="007C3F79" w:rsidRPr="00EB512D" w:rsidRDefault="007C3F79" w:rsidP="007C3F79">
      <w:pPr>
        <w:tabs>
          <w:tab w:val="num" w:pos="1080"/>
        </w:tabs>
        <w:ind w:left="-900"/>
        <w:jc w:val="both"/>
        <w:rPr>
          <w:bCs/>
          <w:sz w:val="20"/>
          <w:szCs w:val="20"/>
          <w:lang w:eastAsia="sk-SK"/>
        </w:rPr>
      </w:pPr>
    </w:p>
    <w:p w14:paraId="391CF66E" w14:textId="77777777" w:rsidR="007C3F79" w:rsidRPr="00EB512D" w:rsidRDefault="007C3F79" w:rsidP="007C3F79">
      <w:pPr>
        <w:tabs>
          <w:tab w:val="num" w:pos="1080"/>
        </w:tabs>
        <w:ind w:left="-900"/>
        <w:jc w:val="both"/>
        <w:rPr>
          <w:bCs/>
          <w:sz w:val="20"/>
          <w:szCs w:val="20"/>
          <w:lang w:eastAsia="sk-SK"/>
        </w:rPr>
      </w:pPr>
    </w:p>
    <w:p w14:paraId="2726A710" w14:textId="77777777" w:rsidR="007C3F79" w:rsidRPr="00EB512D" w:rsidRDefault="007C3F79" w:rsidP="007C3F79">
      <w:pPr>
        <w:tabs>
          <w:tab w:val="num" w:pos="1080"/>
        </w:tabs>
        <w:ind w:left="-900"/>
        <w:jc w:val="both"/>
        <w:rPr>
          <w:bCs/>
          <w:sz w:val="20"/>
          <w:szCs w:val="20"/>
          <w:lang w:eastAsia="sk-SK"/>
        </w:rPr>
      </w:pPr>
    </w:p>
    <w:p w14:paraId="10E3E722" w14:textId="77777777" w:rsidR="007C3F79" w:rsidRPr="00EB512D" w:rsidRDefault="007C3F79" w:rsidP="007C3F79">
      <w:pPr>
        <w:tabs>
          <w:tab w:val="num" w:pos="1080"/>
        </w:tabs>
        <w:ind w:left="-900"/>
        <w:jc w:val="both"/>
        <w:rPr>
          <w:bCs/>
          <w:sz w:val="20"/>
          <w:szCs w:val="20"/>
          <w:lang w:eastAsia="sk-SK"/>
        </w:rPr>
      </w:pPr>
    </w:p>
    <w:p w14:paraId="1226C06C" w14:textId="77777777" w:rsidR="007C3F79" w:rsidRPr="00EB512D" w:rsidRDefault="007C3F79" w:rsidP="007C3F79">
      <w:pPr>
        <w:tabs>
          <w:tab w:val="num" w:pos="1080"/>
        </w:tabs>
        <w:ind w:left="-900"/>
        <w:jc w:val="both"/>
        <w:rPr>
          <w:bCs/>
          <w:sz w:val="20"/>
          <w:szCs w:val="20"/>
          <w:lang w:eastAsia="sk-SK"/>
        </w:rPr>
      </w:pPr>
    </w:p>
    <w:p w14:paraId="73B0A422" w14:textId="77777777" w:rsidR="007C3F79" w:rsidRPr="00EB512D" w:rsidRDefault="007C3F79" w:rsidP="007C3F79">
      <w:pPr>
        <w:tabs>
          <w:tab w:val="num" w:pos="1080"/>
        </w:tabs>
        <w:ind w:left="-900"/>
        <w:jc w:val="both"/>
        <w:rPr>
          <w:bCs/>
          <w:sz w:val="20"/>
          <w:szCs w:val="20"/>
          <w:lang w:eastAsia="sk-SK"/>
        </w:rPr>
      </w:pPr>
    </w:p>
    <w:p w14:paraId="5A958F55" w14:textId="77777777" w:rsidR="007C3F79" w:rsidRPr="00EB512D" w:rsidRDefault="007C3F79" w:rsidP="007C3F79">
      <w:pPr>
        <w:tabs>
          <w:tab w:val="num" w:pos="1080"/>
        </w:tabs>
        <w:ind w:left="-900"/>
        <w:jc w:val="both"/>
        <w:rPr>
          <w:bCs/>
          <w:sz w:val="20"/>
          <w:szCs w:val="20"/>
          <w:lang w:eastAsia="sk-SK"/>
        </w:rPr>
      </w:pPr>
    </w:p>
    <w:p w14:paraId="36A887C5" w14:textId="77777777" w:rsidR="007C3F79" w:rsidRPr="00EB512D" w:rsidRDefault="007C3F79" w:rsidP="007C3F79">
      <w:pPr>
        <w:tabs>
          <w:tab w:val="num" w:pos="1080"/>
        </w:tabs>
        <w:ind w:left="-900"/>
        <w:jc w:val="both"/>
        <w:rPr>
          <w:bCs/>
          <w:sz w:val="20"/>
          <w:szCs w:val="20"/>
          <w:lang w:eastAsia="sk-SK"/>
        </w:rPr>
      </w:pPr>
    </w:p>
    <w:p w14:paraId="7A6D6CE0" w14:textId="77777777" w:rsidR="007C3F79" w:rsidRPr="00EB512D" w:rsidRDefault="007C3F79" w:rsidP="007C3F79">
      <w:pPr>
        <w:tabs>
          <w:tab w:val="num" w:pos="1080"/>
        </w:tabs>
        <w:ind w:left="-900"/>
        <w:jc w:val="both"/>
        <w:rPr>
          <w:bCs/>
          <w:sz w:val="20"/>
          <w:szCs w:val="20"/>
          <w:lang w:eastAsia="sk-SK"/>
        </w:rPr>
      </w:pPr>
    </w:p>
    <w:p w14:paraId="52F6C52F" w14:textId="77777777" w:rsidR="007C3F79" w:rsidRPr="00EB512D" w:rsidRDefault="007C3F79" w:rsidP="007C3F79">
      <w:pPr>
        <w:tabs>
          <w:tab w:val="num" w:pos="1080"/>
        </w:tabs>
        <w:ind w:left="-900"/>
        <w:jc w:val="both"/>
        <w:rPr>
          <w:bCs/>
          <w:sz w:val="20"/>
          <w:szCs w:val="20"/>
          <w:lang w:eastAsia="sk-SK"/>
        </w:rPr>
      </w:pPr>
    </w:p>
    <w:p w14:paraId="5FF786FF" w14:textId="77777777" w:rsidR="007C3F79" w:rsidRPr="00EB512D" w:rsidRDefault="007C3F79" w:rsidP="007C3F79">
      <w:pPr>
        <w:tabs>
          <w:tab w:val="num" w:pos="1080"/>
        </w:tabs>
        <w:ind w:left="-900"/>
        <w:jc w:val="both"/>
        <w:rPr>
          <w:bCs/>
          <w:sz w:val="20"/>
          <w:szCs w:val="20"/>
          <w:lang w:eastAsia="sk-SK"/>
        </w:rPr>
      </w:pPr>
    </w:p>
    <w:p w14:paraId="3602C632" w14:textId="77777777" w:rsidR="007C3F79" w:rsidRPr="00EB512D" w:rsidRDefault="007C3F79" w:rsidP="007C3F79">
      <w:pPr>
        <w:tabs>
          <w:tab w:val="num" w:pos="1080"/>
        </w:tabs>
        <w:ind w:left="-900"/>
        <w:jc w:val="both"/>
        <w:rPr>
          <w:bCs/>
          <w:sz w:val="20"/>
          <w:szCs w:val="20"/>
          <w:lang w:eastAsia="sk-SK"/>
        </w:rPr>
      </w:pPr>
    </w:p>
    <w:p w14:paraId="237A32AC" w14:textId="77777777" w:rsidR="007C3F79" w:rsidRPr="00EB512D" w:rsidRDefault="007C3F79" w:rsidP="007C3F79">
      <w:pPr>
        <w:tabs>
          <w:tab w:val="num" w:pos="1080"/>
        </w:tabs>
        <w:ind w:left="-900"/>
        <w:jc w:val="both"/>
        <w:rPr>
          <w:bCs/>
          <w:sz w:val="20"/>
          <w:szCs w:val="20"/>
          <w:lang w:eastAsia="sk-SK"/>
        </w:rPr>
      </w:pPr>
    </w:p>
    <w:p w14:paraId="21F6C767" w14:textId="77777777" w:rsidR="007C3F79" w:rsidRPr="00EB512D" w:rsidRDefault="007C3F79" w:rsidP="007C3F79">
      <w:pPr>
        <w:tabs>
          <w:tab w:val="num" w:pos="1080"/>
        </w:tabs>
        <w:jc w:val="right"/>
        <w:rPr>
          <w:bCs/>
          <w:lang w:eastAsia="sk-SK"/>
        </w:rPr>
      </w:pPr>
      <w:r w:rsidRPr="00EB512D">
        <w:rPr>
          <w:bCs/>
          <w:lang w:eastAsia="sk-SK"/>
        </w:rPr>
        <w:t xml:space="preserve">                 Tabuľka č. 5 </w:t>
      </w:r>
    </w:p>
    <w:p w14:paraId="134C88DF" w14:textId="77777777" w:rsidR="007C3F79" w:rsidRPr="00EB512D" w:rsidRDefault="007C3F79" w:rsidP="007C3F79">
      <w:pPr>
        <w:tabs>
          <w:tab w:val="num" w:pos="1080"/>
        </w:tabs>
        <w:jc w:val="both"/>
        <w:rPr>
          <w:bCs/>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C3F79" w:rsidRPr="00EB512D" w14:paraId="1B42E671" w14:textId="77777777" w:rsidTr="00B359C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A2B8D4D" w14:textId="77777777" w:rsidR="007C3F79" w:rsidRPr="00EB512D" w:rsidRDefault="007C3F79" w:rsidP="00B359C5">
            <w:pPr>
              <w:jc w:val="center"/>
              <w:rPr>
                <w:b/>
                <w:bCs/>
                <w:lang w:eastAsia="sk-SK"/>
              </w:rPr>
            </w:pPr>
            <w:r w:rsidRPr="00EB512D">
              <w:rPr>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73D8CF4F" w14:textId="77777777" w:rsidR="007C3F79" w:rsidRPr="00EB512D" w:rsidRDefault="007C3F79" w:rsidP="00B359C5">
            <w:pPr>
              <w:jc w:val="center"/>
              <w:rPr>
                <w:b/>
                <w:bCs/>
                <w:lang w:eastAsia="sk-SK"/>
              </w:rPr>
            </w:pPr>
            <w:r w:rsidRPr="00EB512D">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F961224" w14:textId="77777777" w:rsidR="007C3F79" w:rsidRPr="00EB512D" w:rsidRDefault="007C3F79" w:rsidP="00B359C5">
            <w:pPr>
              <w:jc w:val="center"/>
              <w:rPr>
                <w:b/>
                <w:bCs/>
                <w:lang w:eastAsia="sk-SK"/>
              </w:rPr>
            </w:pPr>
            <w:r w:rsidRPr="00EB512D">
              <w:rPr>
                <w:b/>
                <w:bCs/>
                <w:lang w:eastAsia="sk-SK"/>
              </w:rPr>
              <w:t>poznámka</w:t>
            </w:r>
          </w:p>
        </w:tc>
      </w:tr>
      <w:tr w:rsidR="007C3F79" w:rsidRPr="00EB512D" w14:paraId="57AC28C1" w14:textId="77777777" w:rsidTr="00B359C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08F3E16" w14:textId="77777777" w:rsidR="007C3F79" w:rsidRPr="00EB512D" w:rsidRDefault="007C3F79" w:rsidP="00B359C5">
            <w:pPr>
              <w:rPr>
                <w:b/>
                <w:bCs/>
                <w:lang w:eastAsia="sk-SK"/>
              </w:rPr>
            </w:pPr>
          </w:p>
        </w:tc>
        <w:tc>
          <w:tcPr>
            <w:tcW w:w="1698" w:type="dxa"/>
            <w:tcBorders>
              <w:top w:val="nil"/>
              <w:left w:val="nil"/>
              <w:bottom w:val="single" w:sz="4" w:space="0" w:color="auto"/>
              <w:right w:val="single" w:sz="4" w:space="0" w:color="auto"/>
            </w:tcBorders>
            <w:shd w:val="clear" w:color="auto" w:fill="BFBFBF"/>
          </w:tcPr>
          <w:p w14:paraId="424DC54F" w14:textId="77777777" w:rsidR="007C3F79" w:rsidRPr="00EB512D" w:rsidRDefault="007C3F79" w:rsidP="00B359C5">
            <w:pPr>
              <w:jc w:val="center"/>
              <w:rPr>
                <w:b/>
                <w:bCs/>
                <w:lang w:eastAsia="sk-SK"/>
              </w:rPr>
            </w:pPr>
            <w:r w:rsidRPr="00EB512D">
              <w:rPr>
                <w:b/>
                <w:bCs/>
                <w:lang w:eastAsia="sk-SK"/>
              </w:rPr>
              <w:t>r</w:t>
            </w:r>
          </w:p>
        </w:tc>
        <w:tc>
          <w:tcPr>
            <w:tcW w:w="1788" w:type="dxa"/>
            <w:tcBorders>
              <w:top w:val="nil"/>
              <w:left w:val="nil"/>
              <w:bottom w:val="single" w:sz="4" w:space="0" w:color="auto"/>
              <w:right w:val="single" w:sz="4" w:space="0" w:color="auto"/>
            </w:tcBorders>
            <w:shd w:val="clear" w:color="auto" w:fill="BFBFBF"/>
          </w:tcPr>
          <w:p w14:paraId="3C973028" w14:textId="77777777" w:rsidR="007C3F79" w:rsidRPr="00EB512D" w:rsidRDefault="007C3F79" w:rsidP="00B359C5">
            <w:pPr>
              <w:jc w:val="center"/>
              <w:rPr>
                <w:b/>
                <w:bCs/>
                <w:lang w:eastAsia="sk-SK"/>
              </w:rPr>
            </w:pPr>
            <w:r w:rsidRPr="00EB512D">
              <w:rPr>
                <w:b/>
                <w:bCs/>
                <w:lang w:eastAsia="sk-SK"/>
              </w:rPr>
              <w:t>r + 1</w:t>
            </w:r>
          </w:p>
        </w:tc>
        <w:tc>
          <w:tcPr>
            <w:tcW w:w="2418" w:type="dxa"/>
            <w:gridSpan w:val="2"/>
            <w:tcBorders>
              <w:top w:val="nil"/>
              <w:left w:val="nil"/>
              <w:bottom w:val="single" w:sz="4" w:space="0" w:color="auto"/>
              <w:right w:val="single" w:sz="4" w:space="0" w:color="auto"/>
            </w:tcBorders>
            <w:shd w:val="clear" w:color="auto" w:fill="BFBFBF"/>
          </w:tcPr>
          <w:p w14:paraId="0F1F3AD0" w14:textId="77777777" w:rsidR="007C3F79" w:rsidRPr="00EB512D" w:rsidRDefault="007C3F79" w:rsidP="00B359C5">
            <w:pPr>
              <w:jc w:val="center"/>
              <w:rPr>
                <w:b/>
                <w:bCs/>
                <w:lang w:eastAsia="sk-SK"/>
              </w:rPr>
            </w:pPr>
            <w:r w:rsidRPr="00EB512D">
              <w:rPr>
                <w:b/>
                <w:bCs/>
                <w:lang w:eastAsia="sk-SK"/>
              </w:rPr>
              <w:t>r + 2</w:t>
            </w:r>
          </w:p>
        </w:tc>
        <w:tc>
          <w:tcPr>
            <w:tcW w:w="1722" w:type="dxa"/>
            <w:tcBorders>
              <w:top w:val="nil"/>
              <w:left w:val="nil"/>
              <w:bottom w:val="single" w:sz="4" w:space="0" w:color="auto"/>
              <w:right w:val="single" w:sz="4" w:space="0" w:color="auto"/>
            </w:tcBorders>
            <w:shd w:val="clear" w:color="auto" w:fill="BFBFBF"/>
          </w:tcPr>
          <w:p w14:paraId="3C1FED98" w14:textId="77777777" w:rsidR="007C3F79" w:rsidRPr="00EB512D" w:rsidRDefault="007C3F79" w:rsidP="00B359C5">
            <w:pPr>
              <w:jc w:val="center"/>
              <w:rPr>
                <w:b/>
                <w:bCs/>
                <w:lang w:eastAsia="sk-SK"/>
              </w:rPr>
            </w:pPr>
            <w:r w:rsidRPr="00EB512D">
              <w:rPr>
                <w:b/>
                <w:bCs/>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2FEAA441" w14:textId="77777777" w:rsidR="007C3F79" w:rsidRPr="00EB512D" w:rsidRDefault="007C3F79" w:rsidP="00B359C5">
            <w:pPr>
              <w:rPr>
                <w:b/>
                <w:bCs/>
                <w:color w:val="FFFFFF"/>
                <w:lang w:eastAsia="sk-SK"/>
              </w:rPr>
            </w:pPr>
          </w:p>
        </w:tc>
      </w:tr>
      <w:tr w:rsidR="007C3F79" w:rsidRPr="00EB512D" w14:paraId="6414B724" w14:textId="77777777" w:rsidTr="00B359C5">
        <w:trPr>
          <w:trHeight w:val="255"/>
        </w:trPr>
        <w:tc>
          <w:tcPr>
            <w:tcW w:w="6188" w:type="dxa"/>
            <w:tcBorders>
              <w:top w:val="nil"/>
              <w:left w:val="single" w:sz="4" w:space="0" w:color="auto"/>
              <w:bottom w:val="single" w:sz="4" w:space="0" w:color="auto"/>
              <w:right w:val="single" w:sz="4" w:space="0" w:color="auto"/>
            </w:tcBorders>
          </w:tcPr>
          <w:p w14:paraId="02A45779" w14:textId="77777777" w:rsidR="007C3F79" w:rsidRPr="00EB512D" w:rsidRDefault="007C3F79" w:rsidP="00B359C5">
            <w:pPr>
              <w:rPr>
                <w:b/>
                <w:bCs/>
                <w:lang w:eastAsia="sk-SK"/>
              </w:rPr>
            </w:pPr>
            <w:r w:rsidRPr="00EB512D">
              <w:rPr>
                <w:b/>
                <w:bCs/>
                <w:lang w:eastAsia="sk-SK"/>
              </w:rPr>
              <w:t>Počet zamestnancov celkom</w:t>
            </w:r>
          </w:p>
        </w:tc>
        <w:tc>
          <w:tcPr>
            <w:tcW w:w="1698" w:type="dxa"/>
            <w:tcBorders>
              <w:top w:val="nil"/>
              <w:left w:val="nil"/>
              <w:bottom w:val="single" w:sz="4" w:space="0" w:color="auto"/>
              <w:right w:val="single" w:sz="4" w:space="0" w:color="auto"/>
            </w:tcBorders>
          </w:tcPr>
          <w:p w14:paraId="75BC6AE3" w14:textId="77777777" w:rsidR="007C3F79" w:rsidRPr="00EB512D" w:rsidRDefault="007C3F79" w:rsidP="00B359C5">
            <w:pPr>
              <w:jc w:val="center"/>
              <w:rPr>
                <w:b/>
                <w:bCs/>
                <w:lang w:eastAsia="sk-SK"/>
              </w:rPr>
            </w:pPr>
          </w:p>
        </w:tc>
        <w:tc>
          <w:tcPr>
            <w:tcW w:w="1788" w:type="dxa"/>
            <w:tcBorders>
              <w:top w:val="nil"/>
              <w:left w:val="nil"/>
              <w:bottom w:val="single" w:sz="4" w:space="0" w:color="auto"/>
              <w:right w:val="single" w:sz="4" w:space="0" w:color="auto"/>
            </w:tcBorders>
          </w:tcPr>
          <w:p w14:paraId="585D6D91" w14:textId="77777777" w:rsidR="007C3F79" w:rsidRPr="00EB512D" w:rsidRDefault="007C3F79" w:rsidP="00B359C5">
            <w:pPr>
              <w:jc w:val="center"/>
              <w:rPr>
                <w:b/>
                <w:bCs/>
                <w:lang w:eastAsia="sk-SK"/>
              </w:rPr>
            </w:pPr>
          </w:p>
        </w:tc>
        <w:tc>
          <w:tcPr>
            <w:tcW w:w="2418" w:type="dxa"/>
            <w:gridSpan w:val="2"/>
            <w:tcBorders>
              <w:top w:val="nil"/>
              <w:left w:val="nil"/>
              <w:bottom w:val="single" w:sz="4" w:space="0" w:color="auto"/>
              <w:right w:val="single" w:sz="4" w:space="0" w:color="auto"/>
            </w:tcBorders>
          </w:tcPr>
          <w:p w14:paraId="13414233" w14:textId="77777777" w:rsidR="007C3F79" w:rsidRPr="00EB512D" w:rsidRDefault="007C3F79" w:rsidP="00B359C5">
            <w:pPr>
              <w:jc w:val="center"/>
              <w:rPr>
                <w:b/>
                <w:bCs/>
                <w:lang w:eastAsia="sk-SK"/>
              </w:rPr>
            </w:pPr>
          </w:p>
        </w:tc>
        <w:tc>
          <w:tcPr>
            <w:tcW w:w="1722" w:type="dxa"/>
            <w:tcBorders>
              <w:top w:val="nil"/>
              <w:left w:val="nil"/>
              <w:bottom w:val="single" w:sz="4" w:space="0" w:color="auto"/>
              <w:right w:val="single" w:sz="4" w:space="0" w:color="auto"/>
            </w:tcBorders>
          </w:tcPr>
          <w:p w14:paraId="49954EEE" w14:textId="77777777" w:rsidR="007C3F79" w:rsidRPr="00EB512D" w:rsidRDefault="007C3F79" w:rsidP="00B359C5">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0001E757" w14:textId="77777777" w:rsidR="007C3F79" w:rsidRPr="00EB512D" w:rsidRDefault="007C3F79" w:rsidP="00B359C5">
            <w:pPr>
              <w:rPr>
                <w:lang w:eastAsia="sk-SK"/>
              </w:rPr>
            </w:pPr>
            <w:r w:rsidRPr="00EB512D">
              <w:rPr>
                <w:lang w:eastAsia="sk-SK"/>
              </w:rPr>
              <w:t> </w:t>
            </w:r>
          </w:p>
        </w:tc>
      </w:tr>
      <w:tr w:rsidR="007C3F79" w:rsidRPr="00EB512D" w14:paraId="18359171" w14:textId="77777777" w:rsidTr="00B359C5">
        <w:trPr>
          <w:trHeight w:val="255"/>
        </w:trPr>
        <w:tc>
          <w:tcPr>
            <w:tcW w:w="6188" w:type="dxa"/>
            <w:tcBorders>
              <w:top w:val="nil"/>
              <w:left w:val="single" w:sz="4" w:space="0" w:color="auto"/>
              <w:bottom w:val="single" w:sz="4" w:space="0" w:color="auto"/>
              <w:right w:val="single" w:sz="4" w:space="0" w:color="auto"/>
            </w:tcBorders>
          </w:tcPr>
          <w:p w14:paraId="09C2C550" w14:textId="77777777" w:rsidR="007C3F79" w:rsidRPr="00EB512D" w:rsidRDefault="007C3F79" w:rsidP="00B359C5">
            <w:pPr>
              <w:rPr>
                <w:b/>
                <w:bCs/>
                <w:lang w:eastAsia="sk-SK"/>
              </w:rPr>
            </w:pPr>
            <w:r w:rsidRPr="00EB512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0183840" w14:textId="77777777" w:rsidR="007C3F79" w:rsidRPr="00EB512D" w:rsidRDefault="007C3F79" w:rsidP="00B359C5">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0C32ACD8" w14:textId="77777777" w:rsidR="007C3F79" w:rsidRPr="00EB512D" w:rsidRDefault="007C3F79" w:rsidP="00B359C5">
            <w:pPr>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14:paraId="0F1D99C9" w14:textId="77777777" w:rsidR="007C3F79" w:rsidRPr="00EB512D" w:rsidRDefault="007C3F79" w:rsidP="00B359C5">
            <w:pPr>
              <w:jc w:val="center"/>
              <w:rPr>
                <w:b/>
                <w:bCs/>
                <w:lang w:eastAsia="sk-SK"/>
              </w:rPr>
            </w:pPr>
          </w:p>
        </w:tc>
        <w:tc>
          <w:tcPr>
            <w:tcW w:w="1722" w:type="dxa"/>
            <w:tcBorders>
              <w:top w:val="single" w:sz="4" w:space="0" w:color="auto"/>
              <w:left w:val="nil"/>
              <w:bottom w:val="single" w:sz="4" w:space="0" w:color="auto"/>
              <w:right w:val="single" w:sz="4" w:space="0" w:color="auto"/>
            </w:tcBorders>
          </w:tcPr>
          <w:p w14:paraId="7DA17A26" w14:textId="77777777" w:rsidR="007C3F79" w:rsidRPr="00EB512D" w:rsidRDefault="007C3F79" w:rsidP="00B359C5">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36D8049B" w14:textId="77777777" w:rsidR="007C3F79" w:rsidRPr="00EB512D" w:rsidRDefault="007C3F79" w:rsidP="00B359C5">
            <w:pPr>
              <w:rPr>
                <w:lang w:eastAsia="sk-SK"/>
              </w:rPr>
            </w:pPr>
          </w:p>
        </w:tc>
      </w:tr>
      <w:tr w:rsidR="007C3F79" w:rsidRPr="00EB512D" w14:paraId="5FEFD4FC" w14:textId="77777777" w:rsidTr="00B359C5">
        <w:trPr>
          <w:trHeight w:val="255"/>
        </w:trPr>
        <w:tc>
          <w:tcPr>
            <w:tcW w:w="6188" w:type="dxa"/>
            <w:tcBorders>
              <w:top w:val="nil"/>
              <w:left w:val="single" w:sz="4" w:space="0" w:color="auto"/>
              <w:bottom w:val="single" w:sz="4" w:space="0" w:color="auto"/>
              <w:right w:val="single" w:sz="4" w:space="0" w:color="auto"/>
            </w:tcBorders>
          </w:tcPr>
          <w:p w14:paraId="5A195B70" w14:textId="77777777" w:rsidR="007C3F79" w:rsidRPr="00EB512D" w:rsidRDefault="007C3F79" w:rsidP="00B359C5">
            <w:pPr>
              <w:rPr>
                <w:b/>
                <w:bCs/>
                <w:lang w:eastAsia="sk-SK"/>
              </w:rPr>
            </w:pPr>
            <w:r w:rsidRPr="00EB512D">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9D5CB28" w14:textId="77777777" w:rsidR="007C3F79" w:rsidRPr="00EB512D" w:rsidRDefault="007C3F79" w:rsidP="00B359C5">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39DF6D7C" w14:textId="77777777" w:rsidR="007C3F79" w:rsidRPr="00EB512D" w:rsidRDefault="007C3F79" w:rsidP="00B359C5">
            <w:pPr>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14:paraId="4B78117A" w14:textId="77777777" w:rsidR="007C3F79" w:rsidRPr="00EB512D" w:rsidRDefault="007C3F79" w:rsidP="00B359C5">
            <w:pPr>
              <w:jc w:val="center"/>
              <w:rPr>
                <w:b/>
                <w:bCs/>
                <w:lang w:eastAsia="sk-SK"/>
              </w:rPr>
            </w:pPr>
          </w:p>
        </w:tc>
        <w:tc>
          <w:tcPr>
            <w:tcW w:w="1722" w:type="dxa"/>
            <w:tcBorders>
              <w:top w:val="single" w:sz="4" w:space="0" w:color="auto"/>
              <w:left w:val="nil"/>
              <w:bottom w:val="single" w:sz="4" w:space="0" w:color="auto"/>
              <w:right w:val="single" w:sz="4" w:space="0" w:color="auto"/>
            </w:tcBorders>
          </w:tcPr>
          <w:p w14:paraId="58435095" w14:textId="77777777" w:rsidR="007C3F79" w:rsidRPr="00EB512D" w:rsidRDefault="007C3F79" w:rsidP="00B359C5">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2977471C" w14:textId="77777777" w:rsidR="007C3F79" w:rsidRPr="00EB512D" w:rsidRDefault="007C3F79" w:rsidP="00B359C5">
            <w:pPr>
              <w:rPr>
                <w:lang w:eastAsia="sk-SK"/>
              </w:rPr>
            </w:pPr>
            <w:r w:rsidRPr="00EB512D">
              <w:rPr>
                <w:lang w:eastAsia="sk-SK"/>
              </w:rPr>
              <w:t> </w:t>
            </w:r>
          </w:p>
        </w:tc>
      </w:tr>
      <w:tr w:rsidR="007C3F79" w:rsidRPr="00EB512D" w14:paraId="4DCF80BA" w14:textId="77777777" w:rsidTr="00B359C5">
        <w:trPr>
          <w:trHeight w:val="255"/>
        </w:trPr>
        <w:tc>
          <w:tcPr>
            <w:tcW w:w="6188" w:type="dxa"/>
            <w:tcBorders>
              <w:top w:val="nil"/>
              <w:left w:val="single" w:sz="4" w:space="0" w:color="auto"/>
              <w:bottom w:val="single" w:sz="4" w:space="0" w:color="auto"/>
              <w:right w:val="single" w:sz="4" w:space="0" w:color="auto"/>
            </w:tcBorders>
          </w:tcPr>
          <w:p w14:paraId="0ECAC342" w14:textId="77777777" w:rsidR="007C3F79" w:rsidRPr="00EB512D" w:rsidRDefault="007C3F79" w:rsidP="00B359C5">
            <w:pPr>
              <w:rPr>
                <w:lang w:eastAsia="sk-SK"/>
              </w:rPr>
            </w:pPr>
            <w:r w:rsidRPr="00EB512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3B16A2F" w14:textId="77777777" w:rsidR="007C3F79" w:rsidRPr="00EB512D" w:rsidRDefault="007C3F79" w:rsidP="00B359C5">
            <w:pPr>
              <w:jc w:val="center"/>
              <w:rPr>
                <w:lang w:eastAsia="sk-SK"/>
              </w:rPr>
            </w:pPr>
            <w:r w:rsidRPr="00EB512D">
              <w:rPr>
                <w:lang w:eastAsia="sk-SK"/>
              </w:rPr>
              <w:t> </w:t>
            </w:r>
          </w:p>
        </w:tc>
        <w:tc>
          <w:tcPr>
            <w:tcW w:w="1788" w:type="dxa"/>
            <w:tcBorders>
              <w:top w:val="single" w:sz="4" w:space="0" w:color="auto"/>
              <w:left w:val="nil"/>
              <w:bottom w:val="single" w:sz="4" w:space="0" w:color="auto"/>
              <w:right w:val="single" w:sz="4" w:space="0" w:color="auto"/>
            </w:tcBorders>
          </w:tcPr>
          <w:p w14:paraId="18435130" w14:textId="77777777" w:rsidR="007C3F79" w:rsidRPr="00EB512D" w:rsidRDefault="007C3F79" w:rsidP="00B359C5">
            <w:pPr>
              <w:jc w:val="center"/>
              <w:rPr>
                <w:lang w:eastAsia="sk-SK"/>
              </w:rPr>
            </w:pPr>
            <w:r w:rsidRPr="00EB512D">
              <w:rPr>
                <w:lang w:eastAsia="sk-SK"/>
              </w:rPr>
              <w:t> </w:t>
            </w:r>
          </w:p>
        </w:tc>
        <w:tc>
          <w:tcPr>
            <w:tcW w:w="2418" w:type="dxa"/>
            <w:gridSpan w:val="2"/>
            <w:tcBorders>
              <w:top w:val="single" w:sz="4" w:space="0" w:color="auto"/>
              <w:left w:val="nil"/>
              <w:bottom w:val="single" w:sz="4" w:space="0" w:color="auto"/>
              <w:right w:val="single" w:sz="4" w:space="0" w:color="auto"/>
            </w:tcBorders>
          </w:tcPr>
          <w:p w14:paraId="698E562F" w14:textId="77777777" w:rsidR="007C3F79" w:rsidRPr="00EB512D" w:rsidRDefault="007C3F79" w:rsidP="00B359C5">
            <w:pPr>
              <w:jc w:val="center"/>
              <w:rPr>
                <w:lang w:eastAsia="sk-SK"/>
              </w:rPr>
            </w:pPr>
            <w:r w:rsidRPr="00EB512D">
              <w:rPr>
                <w:lang w:eastAsia="sk-SK"/>
              </w:rPr>
              <w:t> </w:t>
            </w:r>
          </w:p>
        </w:tc>
        <w:tc>
          <w:tcPr>
            <w:tcW w:w="1722" w:type="dxa"/>
            <w:tcBorders>
              <w:top w:val="single" w:sz="4" w:space="0" w:color="auto"/>
              <w:left w:val="nil"/>
              <w:bottom w:val="single" w:sz="4" w:space="0" w:color="auto"/>
              <w:right w:val="single" w:sz="4" w:space="0" w:color="auto"/>
            </w:tcBorders>
          </w:tcPr>
          <w:p w14:paraId="148D2850" w14:textId="77777777" w:rsidR="007C3F79" w:rsidRPr="00EB512D" w:rsidRDefault="007C3F79" w:rsidP="00B359C5">
            <w:pPr>
              <w:jc w:val="center"/>
              <w:rPr>
                <w:lang w:eastAsia="sk-SK"/>
              </w:rPr>
            </w:pPr>
            <w:r w:rsidRPr="00EB512D">
              <w:rPr>
                <w:lang w:eastAsia="sk-SK"/>
              </w:rPr>
              <w:t> </w:t>
            </w:r>
          </w:p>
        </w:tc>
        <w:tc>
          <w:tcPr>
            <w:tcW w:w="1620" w:type="dxa"/>
            <w:gridSpan w:val="2"/>
            <w:tcBorders>
              <w:top w:val="nil"/>
              <w:left w:val="nil"/>
              <w:bottom w:val="single" w:sz="4" w:space="0" w:color="auto"/>
              <w:right w:val="single" w:sz="4" w:space="0" w:color="auto"/>
            </w:tcBorders>
            <w:noWrap/>
            <w:vAlign w:val="bottom"/>
          </w:tcPr>
          <w:p w14:paraId="0650335F" w14:textId="77777777" w:rsidR="007C3F79" w:rsidRPr="00EB512D" w:rsidRDefault="007C3F79" w:rsidP="00B359C5">
            <w:pPr>
              <w:rPr>
                <w:lang w:eastAsia="sk-SK"/>
              </w:rPr>
            </w:pPr>
            <w:r w:rsidRPr="00EB512D">
              <w:rPr>
                <w:lang w:eastAsia="sk-SK"/>
              </w:rPr>
              <w:t> </w:t>
            </w:r>
          </w:p>
        </w:tc>
      </w:tr>
      <w:tr w:rsidR="007C3F79" w:rsidRPr="00EB512D" w14:paraId="6322D329" w14:textId="77777777" w:rsidTr="00B359C5">
        <w:trPr>
          <w:trHeight w:val="255"/>
        </w:trPr>
        <w:tc>
          <w:tcPr>
            <w:tcW w:w="6188" w:type="dxa"/>
            <w:tcBorders>
              <w:top w:val="nil"/>
              <w:left w:val="single" w:sz="4" w:space="0" w:color="auto"/>
              <w:bottom w:val="single" w:sz="4" w:space="0" w:color="auto"/>
              <w:right w:val="single" w:sz="4" w:space="0" w:color="auto"/>
            </w:tcBorders>
            <w:shd w:val="clear" w:color="auto" w:fill="BFBFBF"/>
          </w:tcPr>
          <w:p w14:paraId="2C8A48C5" w14:textId="77777777" w:rsidR="007C3F79" w:rsidRPr="00EB512D" w:rsidRDefault="007C3F79" w:rsidP="00B359C5">
            <w:pPr>
              <w:rPr>
                <w:b/>
                <w:bCs/>
                <w:lang w:eastAsia="sk-SK"/>
              </w:rPr>
            </w:pPr>
            <w:r w:rsidRPr="00EB512D">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5016884E" w14:textId="77777777" w:rsidR="007C3F79" w:rsidRPr="00EB512D" w:rsidRDefault="007C3F79" w:rsidP="00B359C5">
            <w:pPr>
              <w:jc w:val="center"/>
              <w:rPr>
                <w:b/>
                <w:bCs/>
                <w:lang w:eastAsia="sk-SK"/>
              </w:rPr>
            </w:pPr>
            <w:r w:rsidRPr="00EB512D">
              <w:rPr>
                <w:b/>
                <w:bCs/>
                <w:lang w:eastAsia="sk-SK"/>
              </w:rPr>
              <w:t>0</w:t>
            </w:r>
          </w:p>
        </w:tc>
        <w:tc>
          <w:tcPr>
            <w:tcW w:w="1788" w:type="dxa"/>
            <w:tcBorders>
              <w:top w:val="nil"/>
              <w:left w:val="nil"/>
              <w:bottom w:val="single" w:sz="4" w:space="0" w:color="auto"/>
              <w:right w:val="single" w:sz="4" w:space="0" w:color="auto"/>
            </w:tcBorders>
            <w:shd w:val="clear" w:color="auto" w:fill="BFBFBF"/>
          </w:tcPr>
          <w:p w14:paraId="0B77F0E8" w14:textId="77777777" w:rsidR="007C3F79" w:rsidRPr="00EB512D" w:rsidRDefault="007C3F79" w:rsidP="00B359C5">
            <w:pPr>
              <w:jc w:val="center"/>
              <w:rPr>
                <w:b/>
                <w:bCs/>
                <w:lang w:eastAsia="sk-SK"/>
              </w:rPr>
            </w:pPr>
            <w:r w:rsidRPr="00EB512D">
              <w:rPr>
                <w:b/>
                <w:bCs/>
                <w:lang w:eastAsia="sk-SK"/>
              </w:rPr>
              <w:t>0</w:t>
            </w:r>
          </w:p>
        </w:tc>
        <w:tc>
          <w:tcPr>
            <w:tcW w:w="2418" w:type="dxa"/>
            <w:gridSpan w:val="2"/>
            <w:tcBorders>
              <w:top w:val="nil"/>
              <w:left w:val="nil"/>
              <w:bottom w:val="single" w:sz="4" w:space="0" w:color="auto"/>
              <w:right w:val="single" w:sz="4" w:space="0" w:color="auto"/>
            </w:tcBorders>
            <w:shd w:val="clear" w:color="auto" w:fill="BFBFBF"/>
          </w:tcPr>
          <w:p w14:paraId="13619C39" w14:textId="77777777" w:rsidR="007C3F79" w:rsidRPr="00EB512D" w:rsidRDefault="007C3F79" w:rsidP="00B359C5">
            <w:pPr>
              <w:jc w:val="center"/>
              <w:rPr>
                <w:b/>
                <w:bCs/>
                <w:lang w:eastAsia="sk-SK"/>
              </w:rPr>
            </w:pPr>
            <w:r w:rsidRPr="00EB512D">
              <w:rPr>
                <w:b/>
                <w:bCs/>
                <w:lang w:eastAsia="sk-SK"/>
              </w:rPr>
              <w:t>0</w:t>
            </w:r>
          </w:p>
        </w:tc>
        <w:tc>
          <w:tcPr>
            <w:tcW w:w="1722" w:type="dxa"/>
            <w:tcBorders>
              <w:top w:val="nil"/>
              <w:left w:val="nil"/>
              <w:bottom w:val="single" w:sz="4" w:space="0" w:color="auto"/>
              <w:right w:val="single" w:sz="4" w:space="0" w:color="auto"/>
            </w:tcBorders>
            <w:shd w:val="clear" w:color="auto" w:fill="BFBFBF"/>
          </w:tcPr>
          <w:p w14:paraId="22B2E311" w14:textId="77777777" w:rsidR="007C3F79" w:rsidRPr="00EB512D" w:rsidRDefault="007C3F79" w:rsidP="00B359C5">
            <w:pPr>
              <w:jc w:val="center"/>
              <w:rPr>
                <w:b/>
                <w:bCs/>
                <w:lang w:eastAsia="sk-SK"/>
              </w:rPr>
            </w:pPr>
            <w:r w:rsidRPr="00EB512D">
              <w:rPr>
                <w:b/>
                <w:bCs/>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43BDCB08" w14:textId="77777777" w:rsidR="007C3F79" w:rsidRPr="00EB512D" w:rsidRDefault="007C3F79" w:rsidP="00B359C5">
            <w:pPr>
              <w:rPr>
                <w:b/>
                <w:bCs/>
                <w:lang w:eastAsia="sk-SK"/>
              </w:rPr>
            </w:pPr>
            <w:r w:rsidRPr="00EB512D">
              <w:rPr>
                <w:b/>
                <w:bCs/>
                <w:lang w:eastAsia="sk-SK"/>
              </w:rPr>
              <w:t> </w:t>
            </w:r>
          </w:p>
        </w:tc>
      </w:tr>
      <w:tr w:rsidR="007C3F79" w:rsidRPr="00EB512D" w14:paraId="363AB476" w14:textId="77777777" w:rsidTr="00B359C5">
        <w:trPr>
          <w:trHeight w:val="255"/>
        </w:trPr>
        <w:tc>
          <w:tcPr>
            <w:tcW w:w="6188" w:type="dxa"/>
            <w:tcBorders>
              <w:top w:val="nil"/>
              <w:left w:val="single" w:sz="4" w:space="0" w:color="auto"/>
              <w:bottom w:val="single" w:sz="4" w:space="0" w:color="auto"/>
              <w:right w:val="single" w:sz="4" w:space="0" w:color="auto"/>
            </w:tcBorders>
          </w:tcPr>
          <w:p w14:paraId="4A0BC341" w14:textId="77777777" w:rsidR="007C3F79" w:rsidRPr="00EB512D" w:rsidRDefault="007C3F79" w:rsidP="00B359C5">
            <w:pPr>
              <w:rPr>
                <w:b/>
                <w:bCs/>
                <w:lang w:eastAsia="sk-SK"/>
              </w:rPr>
            </w:pPr>
            <w:r w:rsidRPr="00EB512D">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04E7C04" w14:textId="77777777" w:rsidR="007C3F79" w:rsidRPr="00EB512D" w:rsidRDefault="007C3F79" w:rsidP="00B359C5">
            <w:pPr>
              <w:jc w:val="center"/>
              <w:rPr>
                <w:b/>
                <w:bCs/>
                <w:lang w:eastAsia="sk-SK"/>
              </w:rPr>
            </w:pPr>
          </w:p>
        </w:tc>
        <w:tc>
          <w:tcPr>
            <w:tcW w:w="1788" w:type="dxa"/>
            <w:tcBorders>
              <w:top w:val="nil"/>
              <w:left w:val="nil"/>
              <w:bottom w:val="single" w:sz="4" w:space="0" w:color="auto"/>
              <w:right w:val="single" w:sz="4" w:space="0" w:color="auto"/>
            </w:tcBorders>
          </w:tcPr>
          <w:p w14:paraId="1DF87268" w14:textId="77777777" w:rsidR="007C3F79" w:rsidRPr="00EB512D" w:rsidRDefault="007C3F79" w:rsidP="00B359C5">
            <w:pPr>
              <w:jc w:val="center"/>
              <w:rPr>
                <w:b/>
                <w:bCs/>
                <w:lang w:eastAsia="sk-SK"/>
              </w:rPr>
            </w:pPr>
          </w:p>
        </w:tc>
        <w:tc>
          <w:tcPr>
            <w:tcW w:w="2418" w:type="dxa"/>
            <w:gridSpan w:val="2"/>
            <w:tcBorders>
              <w:top w:val="nil"/>
              <w:left w:val="nil"/>
              <w:bottom w:val="single" w:sz="4" w:space="0" w:color="auto"/>
              <w:right w:val="single" w:sz="4" w:space="0" w:color="auto"/>
            </w:tcBorders>
          </w:tcPr>
          <w:p w14:paraId="5F49C829" w14:textId="77777777" w:rsidR="007C3F79" w:rsidRPr="00EB512D" w:rsidRDefault="007C3F79" w:rsidP="00B359C5">
            <w:pPr>
              <w:jc w:val="center"/>
              <w:rPr>
                <w:b/>
                <w:bCs/>
                <w:lang w:eastAsia="sk-SK"/>
              </w:rPr>
            </w:pPr>
          </w:p>
        </w:tc>
        <w:tc>
          <w:tcPr>
            <w:tcW w:w="1722" w:type="dxa"/>
            <w:tcBorders>
              <w:top w:val="nil"/>
              <w:left w:val="nil"/>
              <w:bottom w:val="single" w:sz="4" w:space="0" w:color="auto"/>
              <w:right w:val="single" w:sz="4" w:space="0" w:color="auto"/>
            </w:tcBorders>
          </w:tcPr>
          <w:p w14:paraId="2C90B891" w14:textId="77777777" w:rsidR="007C3F79" w:rsidRPr="00EB512D" w:rsidRDefault="007C3F79" w:rsidP="00B359C5">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47056D30" w14:textId="77777777" w:rsidR="007C3F79" w:rsidRPr="00EB512D" w:rsidRDefault="007C3F79" w:rsidP="00B359C5">
            <w:pPr>
              <w:rPr>
                <w:b/>
                <w:bCs/>
                <w:lang w:eastAsia="sk-SK"/>
              </w:rPr>
            </w:pPr>
            <w:r w:rsidRPr="00EB512D">
              <w:rPr>
                <w:b/>
                <w:bCs/>
                <w:lang w:eastAsia="sk-SK"/>
              </w:rPr>
              <w:t> </w:t>
            </w:r>
          </w:p>
        </w:tc>
      </w:tr>
      <w:tr w:rsidR="007C3F79" w:rsidRPr="00EB512D" w14:paraId="3D2B779F" w14:textId="77777777" w:rsidTr="00B359C5">
        <w:trPr>
          <w:trHeight w:val="255"/>
        </w:trPr>
        <w:tc>
          <w:tcPr>
            <w:tcW w:w="6188" w:type="dxa"/>
            <w:tcBorders>
              <w:top w:val="nil"/>
              <w:left w:val="single" w:sz="4" w:space="0" w:color="auto"/>
              <w:bottom w:val="single" w:sz="4" w:space="0" w:color="auto"/>
              <w:right w:val="single" w:sz="4" w:space="0" w:color="auto"/>
            </w:tcBorders>
          </w:tcPr>
          <w:p w14:paraId="0529ED89" w14:textId="77777777" w:rsidR="007C3F79" w:rsidRPr="00EB512D" w:rsidRDefault="007C3F79" w:rsidP="00B359C5">
            <w:pPr>
              <w:rPr>
                <w:lang w:eastAsia="sk-SK"/>
              </w:rPr>
            </w:pPr>
            <w:r w:rsidRPr="00EB512D">
              <w:rPr>
                <w:b/>
                <w:bCs/>
                <w:lang w:eastAsia="sk-SK"/>
              </w:rPr>
              <w:t xml:space="preserve">   z toho vplyv na ŠR</w:t>
            </w:r>
          </w:p>
        </w:tc>
        <w:tc>
          <w:tcPr>
            <w:tcW w:w="1698" w:type="dxa"/>
            <w:tcBorders>
              <w:top w:val="nil"/>
              <w:left w:val="nil"/>
              <w:bottom w:val="single" w:sz="4" w:space="0" w:color="auto"/>
              <w:right w:val="single" w:sz="4" w:space="0" w:color="auto"/>
            </w:tcBorders>
          </w:tcPr>
          <w:p w14:paraId="348A4C01" w14:textId="77777777" w:rsidR="007C3F79" w:rsidRPr="00EB512D" w:rsidRDefault="007C3F79" w:rsidP="00B359C5">
            <w:pPr>
              <w:jc w:val="center"/>
              <w:rPr>
                <w:lang w:eastAsia="sk-SK"/>
              </w:rPr>
            </w:pPr>
          </w:p>
        </w:tc>
        <w:tc>
          <w:tcPr>
            <w:tcW w:w="1788" w:type="dxa"/>
            <w:tcBorders>
              <w:top w:val="nil"/>
              <w:left w:val="nil"/>
              <w:bottom w:val="single" w:sz="4" w:space="0" w:color="auto"/>
              <w:right w:val="single" w:sz="4" w:space="0" w:color="auto"/>
            </w:tcBorders>
          </w:tcPr>
          <w:p w14:paraId="389294C9" w14:textId="77777777" w:rsidR="007C3F79" w:rsidRPr="00EB512D" w:rsidRDefault="007C3F79" w:rsidP="00B359C5">
            <w:pPr>
              <w:jc w:val="center"/>
              <w:rPr>
                <w:lang w:eastAsia="sk-SK"/>
              </w:rPr>
            </w:pPr>
          </w:p>
        </w:tc>
        <w:tc>
          <w:tcPr>
            <w:tcW w:w="2418" w:type="dxa"/>
            <w:gridSpan w:val="2"/>
            <w:tcBorders>
              <w:top w:val="nil"/>
              <w:left w:val="nil"/>
              <w:bottom w:val="single" w:sz="4" w:space="0" w:color="auto"/>
              <w:right w:val="single" w:sz="4" w:space="0" w:color="auto"/>
            </w:tcBorders>
          </w:tcPr>
          <w:p w14:paraId="6A62B55D" w14:textId="77777777" w:rsidR="007C3F79" w:rsidRPr="00EB512D" w:rsidRDefault="007C3F79" w:rsidP="00B359C5">
            <w:pPr>
              <w:jc w:val="center"/>
              <w:rPr>
                <w:lang w:eastAsia="sk-SK"/>
              </w:rPr>
            </w:pPr>
          </w:p>
        </w:tc>
        <w:tc>
          <w:tcPr>
            <w:tcW w:w="1722" w:type="dxa"/>
            <w:tcBorders>
              <w:top w:val="nil"/>
              <w:left w:val="nil"/>
              <w:bottom w:val="single" w:sz="4" w:space="0" w:color="auto"/>
              <w:right w:val="single" w:sz="4" w:space="0" w:color="auto"/>
            </w:tcBorders>
          </w:tcPr>
          <w:p w14:paraId="67D4A286" w14:textId="77777777" w:rsidR="007C3F79" w:rsidRPr="00EB512D" w:rsidRDefault="007C3F79" w:rsidP="00B359C5">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14:paraId="636BE48A" w14:textId="77777777" w:rsidR="007C3F79" w:rsidRPr="00EB512D" w:rsidRDefault="007C3F79" w:rsidP="00B359C5">
            <w:pPr>
              <w:rPr>
                <w:lang w:eastAsia="sk-SK"/>
              </w:rPr>
            </w:pPr>
            <w:r w:rsidRPr="00EB512D">
              <w:rPr>
                <w:lang w:eastAsia="sk-SK"/>
              </w:rPr>
              <w:t> </w:t>
            </w:r>
          </w:p>
        </w:tc>
      </w:tr>
      <w:tr w:rsidR="007C3F79" w:rsidRPr="00EB512D" w14:paraId="4EF8D09B" w14:textId="77777777" w:rsidTr="00B359C5">
        <w:trPr>
          <w:trHeight w:val="255"/>
        </w:trPr>
        <w:tc>
          <w:tcPr>
            <w:tcW w:w="6188" w:type="dxa"/>
            <w:tcBorders>
              <w:top w:val="nil"/>
              <w:left w:val="single" w:sz="4" w:space="0" w:color="auto"/>
              <w:bottom w:val="single" w:sz="4" w:space="0" w:color="auto"/>
              <w:right w:val="single" w:sz="4" w:space="0" w:color="auto"/>
            </w:tcBorders>
          </w:tcPr>
          <w:p w14:paraId="4798E168" w14:textId="77777777" w:rsidR="007C3F79" w:rsidRPr="00EB512D" w:rsidRDefault="007C3F79" w:rsidP="00B359C5">
            <w:pPr>
              <w:rPr>
                <w:b/>
                <w:bCs/>
                <w:lang w:eastAsia="sk-SK"/>
              </w:rPr>
            </w:pPr>
            <w:r w:rsidRPr="00EB512D">
              <w:rPr>
                <w:b/>
                <w:bCs/>
                <w:lang w:eastAsia="sk-SK"/>
              </w:rPr>
              <w:t>Poistné a príspevok do poisťovní (620)</w:t>
            </w:r>
          </w:p>
        </w:tc>
        <w:tc>
          <w:tcPr>
            <w:tcW w:w="1698" w:type="dxa"/>
            <w:tcBorders>
              <w:top w:val="nil"/>
              <w:left w:val="nil"/>
              <w:bottom w:val="single" w:sz="4" w:space="0" w:color="auto"/>
              <w:right w:val="single" w:sz="4" w:space="0" w:color="auto"/>
            </w:tcBorders>
          </w:tcPr>
          <w:p w14:paraId="4F0C3A08" w14:textId="77777777" w:rsidR="007C3F79" w:rsidRPr="00EB512D" w:rsidRDefault="007C3F79" w:rsidP="00B359C5">
            <w:pPr>
              <w:jc w:val="center"/>
              <w:rPr>
                <w:b/>
                <w:bCs/>
                <w:lang w:eastAsia="sk-SK"/>
              </w:rPr>
            </w:pPr>
          </w:p>
        </w:tc>
        <w:tc>
          <w:tcPr>
            <w:tcW w:w="1788" w:type="dxa"/>
            <w:tcBorders>
              <w:top w:val="nil"/>
              <w:left w:val="nil"/>
              <w:bottom w:val="single" w:sz="4" w:space="0" w:color="auto"/>
              <w:right w:val="single" w:sz="4" w:space="0" w:color="auto"/>
            </w:tcBorders>
          </w:tcPr>
          <w:p w14:paraId="231B2A49" w14:textId="77777777" w:rsidR="007C3F79" w:rsidRPr="00EB512D" w:rsidRDefault="007C3F79" w:rsidP="00B359C5">
            <w:pPr>
              <w:jc w:val="center"/>
              <w:rPr>
                <w:b/>
                <w:bCs/>
                <w:lang w:eastAsia="sk-SK"/>
              </w:rPr>
            </w:pPr>
          </w:p>
        </w:tc>
        <w:tc>
          <w:tcPr>
            <w:tcW w:w="2418" w:type="dxa"/>
            <w:gridSpan w:val="2"/>
            <w:tcBorders>
              <w:top w:val="nil"/>
              <w:left w:val="nil"/>
              <w:bottom w:val="single" w:sz="4" w:space="0" w:color="auto"/>
              <w:right w:val="single" w:sz="4" w:space="0" w:color="auto"/>
            </w:tcBorders>
          </w:tcPr>
          <w:p w14:paraId="64320324" w14:textId="77777777" w:rsidR="007C3F79" w:rsidRPr="00EB512D" w:rsidRDefault="007C3F79" w:rsidP="00B359C5">
            <w:pPr>
              <w:jc w:val="center"/>
              <w:rPr>
                <w:b/>
                <w:bCs/>
                <w:lang w:eastAsia="sk-SK"/>
              </w:rPr>
            </w:pPr>
          </w:p>
        </w:tc>
        <w:tc>
          <w:tcPr>
            <w:tcW w:w="1722" w:type="dxa"/>
            <w:tcBorders>
              <w:top w:val="nil"/>
              <w:left w:val="nil"/>
              <w:bottom w:val="single" w:sz="4" w:space="0" w:color="auto"/>
              <w:right w:val="single" w:sz="4" w:space="0" w:color="auto"/>
            </w:tcBorders>
          </w:tcPr>
          <w:p w14:paraId="6DAF6700" w14:textId="77777777" w:rsidR="007C3F79" w:rsidRPr="00EB512D" w:rsidRDefault="007C3F79" w:rsidP="00B359C5">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7D0F4C8E" w14:textId="77777777" w:rsidR="007C3F79" w:rsidRPr="00EB512D" w:rsidRDefault="007C3F79" w:rsidP="00B359C5">
            <w:pPr>
              <w:rPr>
                <w:b/>
                <w:bCs/>
                <w:lang w:eastAsia="sk-SK"/>
              </w:rPr>
            </w:pPr>
            <w:r w:rsidRPr="00EB512D">
              <w:rPr>
                <w:b/>
                <w:bCs/>
                <w:lang w:eastAsia="sk-SK"/>
              </w:rPr>
              <w:t> </w:t>
            </w:r>
          </w:p>
        </w:tc>
      </w:tr>
      <w:tr w:rsidR="007C3F79" w:rsidRPr="00EB512D" w14:paraId="4D10E6C3" w14:textId="77777777" w:rsidTr="00B359C5">
        <w:trPr>
          <w:trHeight w:val="255"/>
        </w:trPr>
        <w:tc>
          <w:tcPr>
            <w:tcW w:w="6188" w:type="dxa"/>
            <w:tcBorders>
              <w:top w:val="nil"/>
              <w:left w:val="single" w:sz="4" w:space="0" w:color="auto"/>
              <w:bottom w:val="single" w:sz="4" w:space="0" w:color="auto"/>
              <w:right w:val="single" w:sz="4" w:space="0" w:color="auto"/>
            </w:tcBorders>
          </w:tcPr>
          <w:p w14:paraId="3A67AF3D" w14:textId="77777777" w:rsidR="007C3F79" w:rsidRPr="00EB512D" w:rsidRDefault="007C3F79" w:rsidP="00B359C5">
            <w:pPr>
              <w:rPr>
                <w:lang w:eastAsia="sk-SK"/>
              </w:rPr>
            </w:pPr>
            <w:r w:rsidRPr="00EB512D">
              <w:rPr>
                <w:b/>
                <w:bCs/>
                <w:lang w:eastAsia="sk-SK"/>
              </w:rPr>
              <w:t xml:space="preserve">   z toho vplyv na ŠR</w:t>
            </w:r>
          </w:p>
        </w:tc>
        <w:tc>
          <w:tcPr>
            <w:tcW w:w="1698" w:type="dxa"/>
            <w:tcBorders>
              <w:top w:val="nil"/>
              <w:left w:val="nil"/>
              <w:bottom w:val="single" w:sz="4" w:space="0" w:color="auto"/>
              <w:right w:val="single" w:sz="4" w:space="0" w:color="auto"/>
            </w:tcBorders>
          </w:tcPr>
          <w:p w14:paraId="36BA8456" w14:textId="77777777" w:rsidR="007C3F79" w:rsidRPr="00EB512D" w:rsidRDefault="007C3F79" w:rsidP="00B359C5">
            <w:pPr>
              <w:jc w:val="center"/>
              <w:rPr>
                <w:lang w:eastAsia="sk-SK"/>
              </w:rPr>
            </w:pPr>
          </w:p>
        </w:tc>
        <w:tc>
          <w:tcPr>
            <w:tcW w:w="1788" w:type="dxa"/>
            <w:tcBorders>
              <w:top w:val="nil"/>
              <w:left w:val="nil"/>
              <w:bottom w:val="single" w:sz="4" w:space="0" w:color="auto"/>
              <w:right w:val="single" w:sz="4" w:space="0" w:color="auto"/>
            </w:tcBorders>
          </w:tcPr>
          <w:p w14:paraId="2C73B488" w14:textId="77777777" w:rsidR="007C3F79" w:rsidRPr="00EB512D" w:rsidRDefault="007C3F79" w:rsidP="00B359C5">
            <w:pPr>
              <w:jc w:val="center"/>
              <w:rPr>
                <w:lang w:eastAsia="sk-SK"/>
              </w:rPr>
            </w:pPr>
          </w:p>
        </w:tc>
        <w:tc>
          <w:tcPr>
            <w:tcW w:w="2418" w:type="dxa"/>
            <w:gridSpan w:val="2"/>
            <w:tcBorders>
              <w:top w:val="nil"/>
              <w:left w:val="nil"/>
              <w:bottom w:val="single" w:sz="4" w:space="0" w:color="auto"/>
              <w:right w:val="single" w:sz="4" w:space="0" w:color="auto"/>
            </w:tcBorders>
          </w:tcPr>
          <w:p w14:paraId="6DE17E59" w14:textId="77777777" w:rsidR="007C3F79" w:rsidRPr="00EB512D" w:rsidRDefault="007C3F79" w:rsidP="00B359C5">
            <w:pPr>
              <w:jc w:val="center"/>
              <w:rPr>
                <w:lang w:eastAsia="sk-SK"/>
              </w:rPr>
            </w:pPr>
          </w:p>
        </w:tc>
        <w:tc>
          <w:tcPr>
            <w:tcW w:w="1722" w:type="dxa"/>
            <w:tcBorders>
              <w:top w:val="nil"/>
              <w:left w:val="nil"/>
              <w:bottom w:val="single" w:sz="4" w:space="0" w:color="auto"/>
              <w:right w:val="single" w:sz="4" w:space="0" w:color="auto"/>
            </w:tcBorders>
          </w:tcPr>
          <w:p w14:paraId="7EB91E54" w14:textId="77777777" w:rsidR="007C3F79" w:rsidRPr="00EB512D" w:rsidRDefault="007C3F79" w:rsidP="00B359C5">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14:paraId="1ECD826A" w14:textId="77777777" w:rsidR="007C3F79" w:rsidRPr="00EB512D" w:rsidRDefault="007C3F79" w:rsidP="00B359C5">
            <w:pPr>
              <w:rPr>
                <w:lang w:eastAsia="sk-SK"/>
              </w:rPr>
            </w:pPr>
            <w:r w:rsidRPr="00EB512D">
              <w:rPr>
                <w:lang w:eastAsia="sk-SK"/>
              </w:rPr>
              <w:t> </w:t>
            </w:r>
          </w:p>
        </w:tc>
      </w:tr>
      <w:tr w:rsidR="007C3F79" w:rsidRPr="00EB512D" w14:paraId="591D59B3" w14:textId="77777777" w:rsidTr="00B359C5">
        <w:trPr>
          <w:trHeight w:val="255"/>
        </w:trPr>
        <w:tc>
          <w:tcPr>
            <w:tcW w:w="6188" w:type="dxa"/>
            <w:tcBorders>
              <w:top w:val="nil"/>
              <w:left w:val="nil"/>
              <w:bottom w:val="nil"/>
              <w:right w:val="nil"/>
            </w:tcBorders>
            <w:noWrap/>
            <w:vAlign w:val="bottom"/>
          </w:tcPr>
          <w:p w14:paraId="1C71A0E8" w14:textId="77777777" w:rsidR="007C3F79" w:rsidRPr="00EB512D" w:rsidRDefault="007C3F79" w:rsidP="00B359C5">
            <w:pPr>
              <w:rPr>
                <w:lang w:eastAsia="sk-SK"/>
              </w:rPr>
            </w:pPr>
          </w:p>
        </w:tc>
        <w:tc>
          <w:tcPr>
            <w:tcW w:w="1698" w:type="dxa"/>
            <w:tcBorders>
              <w:top w:val="nil"/>
              <w:left w:val="nil"/>
              <w:bottom w:val="nil"/>
              <w:right w:val="nil"/>
            </w:tcBorders>
            <w:noWrap/>
            <w:vAlign w:val="bottom"/>
          </w:tcPr>
          <w:p w14:paraId="4E36A47F" w14:textId="77777777" w:rsidR="007C3F79" w:rsidRPr="00EB512D" w:rsidRDefault="007C3F79" w:rsidP="00B359C5">
            <w:pPr>
              <w:rPr>
                <w:lang w:eastAsia="sk-SK"/>
              </w:rPr>
            </w:pPr>
          </w:p>
        </w:tc>
        <w:tc>
          <w:tcPr>
            <w:tcW w:w="1788" w:type="dxa"/>
            <w:tcBorders>
              <w:top w:val="nil"/>
              <w:left w:val="nil"/>
              <w:bottom w:val="nil"/>
              <w:right w:val="nil"/>
            </w:tcBorders>
            <w:noWrap/>
            <w:vAlign w:val="bottom"/>
          </w:tcPr>
          <w:p w14:paraId="2151692A" w14:textId="77777777" w:rsidR="007C3F79" w:rsidRPr="00EB512D" w:rsidRDefault="007C3F79" w:rsidP="00B359C5">
            <w:pPr>
              <w:rPr>
                <w:lang w:eastAsia="sk-SK"/>
              </w:rPr>
            </w:pPr>
          </w:p>
        </w:tc>
        <w:tc>
          <w:tcPr>
            <w:tcW w:w="2418" w:type="dxa"/>
            <w:gridSpan w:val="2"/>
            <w:tcBorders>
              <w:top w:val="nil"/>
              <w:left w:val="nil"/>
              <w:bottom w:val="nil"/>
              <w:right w:val="nil"/>
            </w:tcBorders>
            <w:noWrap/>
            <w:vAlign w:val="bottom"/>
          </w:tcPr>
          <w:p w14:paraId="4B3C3F9B" w14:textId="77777777" w:rsidR="007C3F79" w:rsidRPr="00EB512D" w:rsidRDefault="007C3F79" w:rsidP="00B359C5">
            <w:pPr>
              <w:rPr>
                <w:lang w:eastAsia="sk-SK"/>
              </w:rPr>
            </w:pPr>
          </w:p>
        </w:tc>
        <w:tc>
          <w:tcPr>
            <w:tcW w:w="1722" w:type="dxa"/>
            <w:tcBorders>
              <w:top w:val="nil"/>
              <w:left w:val="nil"/>
              <w:bottom w:val="nil"/>
              <w:right w:val="nil"/>
            </w:tcBorders>
            <w:noWrap/>
            <w:vAlign w:val="bottom"/>
          </w:tcPr>
          <w:p w14:paraId="616104DC" w14:textId="77777777" w:rsidR="007C3F79" w:rsidRPr="00EB512D" w:rsidRDefault="007C3F79" w:rsidP="00B359C5">
            <w:pPr>
              <w:rPr>
                <w:lang w:eastAsia="sk-SK"/>
              </w:rPr>
            </w:pPr>
          </w:p>
        </w:tc>
        <w:tc>
          <w:tcPr>
            <w:tcW w:w="1620" w:type="dxa"/>
            <w:gridSpan w:val="2"/>
            <w:tcBorders>
              <w:top w:val="nil"/>
              <w:left w:val="nil"/>
              <w:bottom w:val="nil"/>
              <w:right w:val="nil"/>
            </w:tcBorders>
            <w:noWrap/>
            <w:vAlign w:val="bottom"/>
          </w:tcPr>
          <w:p w14:paraId="620446CF" w14:textId="77777777" w:rsidR="007C3F79" w:rsidRPr="00EB512D" w:rsidRDefault="007C3F79" w:rsidP="00B359C5">
            <w:pPr>
              <w:rPr>
                <w:lang w:eastAsia="sk-SK"/>
              </w:rPr>
            </w:pPr>
          </w:p>
        </w:tc>
      </w:tr>
      <w:tr w:rsidR="007C3F79" w:rsidRPr="00EB512D" w14:paraId="6076BD3B" w14:textId="77777777" w:rsidTr="00B359C5">
        <w:trPr>
          <w:trHeight w:val="255"/>
        </w:trPr>
        <w:tc>
          <w:tcPr>
            <w:tcW w:w="6188" w:type="dxa"/>
            <w:tcBorders>
              <w:top w:val="nil"/>
              <w:left w:val="nil"/>
              <w:bottom w:val="nil"/>
              <w:right w:val="nil"/>
            </w:tcBorders>
          </w:tcPr>
          <w:p w14:paraId="56071473" w14:textId="77777777" w:rsidR="007C3F79" w:rsidRPr="00EB512D" w:rsidRDefault="007C3F79" w:rsidP="00B359C5">
            <w:pPr>
              <w:rPr>
                <w:b/>
                <w:bCs/>
                <w:lang w:eastAsia="sk-SK"/>
              </w:rPr>
            </w:pPr>
            <w:r w:rsidRPr="00EB512D">
              <w:rPr>
                <w:b/>
                <w:bCs/>
                <w:lang w:eastAsia="sk-SK"/>
              </w:rPr>
              <w:t>Poznámky:</w:t>
            </w:r>
          </w:p>
        </w:tc>
        <w:tc>
          <w:tcPr>
            <w:tcW w:w="1698" w:type="dxa"/>
            <w:tcBorders>
              <w:top w:val="nil"/>
              <w:left w:val="nil"/>
              <w:bottom w:val="nil"/>
              <w:right w:val="nil"/>
            </w:tcBorders>
            <w:noWrap/>
            <w:vAlign w:val="bottom"/>
          </w:tcPr>
          <w:p w14:paraId="68A8533F" w14:textId="77777777" w:rsidR="007C3F79" w:rsidRPr="00EB512D" w:rsidRDefault="007C3F79" w:rsidP="00B359C5">
            <w:pPr>
              <w:rPr>
                <w:lang w:eastAsia="sk-SK"/>
              </w:rPr>
            </w:pPr>
          </w:p>
        </w:tc>
        <w:tc>
          <w:tcPr>
            <w:tcW w:w="1788" w:type="dxa"/>
            <w:tcBorders>
              <w:top w:val="nil"/>
              <w:left w:val="nil"/>
              <w:bottom w:val="nil"/>
              <w:right w:val="nil"/>
            </w:tcBorders>
            <w:noWrap/>
            <w:vAlign w:val="bottom"/>
          </w:tcPr>
          <w:p w14:paraId="1C8E7F11" w14:textId="77777777" w:rsidR="007C3F79" w:rsidRPr="00EB512D" w:rsidRDefault="007C3F79" w:rsidP="00B359C5">
            <w:pPr>
              <w:rPr>
                <w:lang w:eastAsia="sk-SK"/>
              </w:rPr>
            </w:pPr>
          </w:p>
        </w:tc>
        <w:tc>
          <w:tcPr>
            <w:tcW w:w="2418" w:type="dxa"/>
            <w:gridSpan w:val="2"/>
            <w:tcBorders>
              <w:top w:val="nil"/>
              <w:left w:val="nil"/>
              <w:bottom w:val="nil"/>
              <w:right w:val="nil"/>
            </w:tcBorders>
            <w:noWrap/>
            <w:vAlign w:val="bottom"/>
          </w:tcPr>
          <w:p w14:paraId="21AD6739" w14:textId="77777777" w:rsidR="007C3F79" w:rsidRPr="00EB512D" w:rsidRDefault="007C3F79" w:rsidP="00B359C5">
            <w:pPr>
              <w:rPr>
                <w:lang w:eastAsia="sk-SK"/>
              </w:rPr>
            </w:pPr>
          </w:p>
        </w:tc>
        <w:tc>
          <w:tcPr>
            <w:tcW w:w="1722" w:type="dxa"/>
            <w:tcBorders>
              <w:top w:val="nil"/>
              <w:left w:val="nil"/>
              <w:bottom w:val="nil"/>
              <w:right w:val="nil"/>
            </w:tcBorders>
            <w:noWrap/>
            <w:vAlign w:val="bottom"/>
          </w:tcPr>
          <w:p w14:paraId="145DCA74" w14:textId="77777777" w:rsidR="007C3F79" w:rsidRPr="00EB512D" w:rsidRDefault="007C3F79" w:rsidP="00B359C5">
            <w:pPr>
              <w:rPr>
                <w:lang w:eastAsia="sk-SK"/>
              </w:rPr>
            </w:pPr>
          </w:p>
        </w:tc>
        <w:tc>
          <w:tcPr>
            <w:tcW w:w="1620" w:type="dxa"/>
            <w:gridSpan w:val="2"/>
            <w:tcBorders>
              <w:top w:val="nil"/>
              <w:left w:val="nil"/>
              <w:bottom w:val="nil"/>
              <w:right w:val="nil"/>
            </w:tcBorders>
            <w:noWrap/>
            <w:vAlign w:val="bottom"/>
          </w:tcPr>
          <w:p w14:paraId="6D2C8853" w14:textId="77777777" w:rsidR="007C3F79" w:rsidRPr="00EB512D" w:rsidRDefault="007C3F79" w:rsidP="00B359C5">
            <w:pPr>
              <w:rPr>
                <w:lang w:eastAsia="sk-SK"/>
              </w:rPr>
            </w:pPr>
          </w:p>
        </w:tc>
      </w:tr>
      <w:tr w:rsidR="007C3F79" w:rsidRPr="00EB512D" w14:paraId="1723529F" w14:textId="77777777" w:rsidTr="00B359C5">
        <w:trPr>
          <w:trHeight w:val="255"/>
        </w:trPr>
        <w:tc>
          <w:tcPr>
            <w:tcW w:w="13814" w:type="dxa"/>
            <w:gridSpan w:val="6"/>
            <w:tcBorders>
              <w:top w:val="nil"/>
              <w:left w:val="nil"/>
              <w:bottom w:val="nil"/>
              <w:right w:val="nil"/>
            </w:tcBorders>
            <w:noWrap/>
          </w:tcPr>
          <w:p w14:paraId="46465B9F" w14:textId="77777777" w:rsidR="007C3F79" w:rsidRPr="00EB512D" w:rsidRDefault="007C3F79" w:rsidP="00B359C5">
            <w:pPr>
              <w:tabs>
                <w:tab w:val="num" w:pos="1080"/>
              </w:tabs>
              <w:jc w:val="both"/>
              <w:rPr>
                <w:bCs/>
                <w:szCs w:val="20"/>
                <w:lang w:eastAsia="sk-SK"/>
              </w:rPr>
            </w:pPr>
            <w:r w:rsidRPr="00EB512D">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435BEC7" w14:textId="77777777" w:rsidR="007C3F79" w:rsidRPr="00EB512D" w:rsidRDefault="007C3F79" w:rsidP="00B359C5">
            <w:pPr>
              <w:rPr>
                <w:lang w:eastAsia="sk-SK"/>
              </w:rPr>
            </w:pPr>
            <w:r w:rsidRPr="00EB512D">
              <w:rPr>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CE48DDD" w14:textId="77777777" w:rsidR="007C3F79" w:rsidRPr="00EB512D" w:rsidRDefault="007C3F79" w:rsidP="00B359C5">
            <w:pPr>
              <w:rPr>
                <w:lang w:eastAsia="sk-SK"/>
              </w:rPr>
            </w:pPr>
          </w:p>
        </w:tc>
      </w:tr>
      <w:tr w:rsidR="007C3F79" w:rsidRPr="00EB512D" w14:paraId="1C94718D" w14:textId="77777777" w:rsidTr="00B359C5">
        <w:trPr>
          <w:trHeight w:val="255"/>
        </w:trPr>
        <w:tc>
          <w:tcPr>
            <w:tcW w:w="10394" w:type="dxa"/>
            <w:gridSpan w:val="4"/>
            <w:tcBorders>
              <w:top w:val="nil"/>
              <w:left w:val="nil"/>
              <w:bottom w:val="nil"/>
              <w:right w:val="nil"/>
            </w:tcBorders>
            <w:noWrap/>
            <w:vAlign w:val="bottom"/>
          </w:tcPr>
          <w:p w14:paraId="412550A3" w14:textId="77777777" w:rsidR="007C3F79" w:rsidRPr="00EB512D" w:rsidRDefault="007C3F79" w:rsidP="00B359C5">
            <w:pPr>
              <w:rPr>
                <w:lang w:eastAsia="sk-SK"/>
              </w:rPr>
            </w:pPr>
            <w:r w:rsidRPr="00EB512D">
              <w:rPr>
                <w:lang w:eastAsia="sk-SK"/>
              </w:rPr>
              <w:t>Kategórie 610 a </w:t>
            </w:r>
            <w:proofErr w:type="gramStart"/>
            <w:r w:rsidRPr="00EB512D">
              <w:rPr>
                <w:lang w:eastAsia="sk-SK"/>
              </w:rPr>
              <w:t>620 sú</w:t>
            </w:r>
            <w:proofErr w:type="gramEnd"/>
            <w:r w:rsidRPr="00EB512D">
              <w:rPr>
                <w:lang w:eastAsia="sk-SK"/>
              </w:rPr>
              <w:t xml:space="preserve"> z tejto prílohy prenášané do príslušných kategórií prílohy „výdavky“.</w:t>
            </w:r>
          </w:p>
        </w:tc>
        <w:tc>
          <w:tcPr>
            <w:tcW w:w="1698" w:type="dxa"/>
            <w:tcBorders>
              <w:top w:val="nil"/>
              <w:left w:val="nil"/>
              <w:bottom w:val="nil"/>
              <w:right w:val="nil"/>
            </w:tcBorders>
            <w:noWrap/>
            <w:vAlign w:val="bottom"/>
          </w:tcPr>
          <w:p w14:paraId="4F9363DE" w14:textId="77777777" w:rsidR="007C3F79" w:rsidRPr="00EB512D" w:rsidRDefault="007C3F79" w:rsidP="00B359C5">
            <w:pPr>
              <w:rPr>
                <w:lang w:eastAsia="sk-SK"/>
              </w:rPr>
            </w:pPr>
          </w:p>
        </w:tc>
        <w:tc>
          <w:tcPr>
            <w:tcW w:w="2352" w:type="dxa"/>
            <w:gridSpan w:val="2"/>
            <w:tcBorders>
              <w:top w:val="nil"/>
              <w:left w:val="nil"/>
              <w:bottom w:val="nil"/>
              <w:right w:val="nil"/>
            </w:tcBorders>
            <w:noWrap/>
            <w:vAlign w:val="bottom"/>
          </w:tcPr>
          <w:p w14:paraId="646B0FA4" w14:textId="77777777" w:rsidR="007C3F79" w:rsidRPr="00EB512D" w:rsidRDefault="007C3F79" w:rsidP="00B359C5">
            <w:pPr>
              <w:rPr>
                <w:lang w:eastAsia="sk-SK"/>
              </w:rPr>
            </w:pPr>
          </w:p>
        </w:tc>
        <w:tc>
          <w:tcPr>
            <w:tcW w:w="990" w:type="dxa"/>
            <w:tcBorders>
              <w:top w:val="nil"/>
              <w:left w:val="nil"/>
              <w:bottom w:val="nil"/>
              <w:right w:val="nil"/>
            </w:tcBorders>
            <w:noWrap/>
            <w:vAlign w:val="bottom"/>
          </w:tcPr>
          <w:p w14:paraId="7A43F82B" w14:textId="77777777" w:rsidR="007C3F79" w:rsidRPr="00EB512D" w:rsidRDefault="007C3F79" w:rsidP="00B359C5">
            <w:pPr>
              <w:rPr>
                <w:lang w:eastAsia="sk-SK"/>
              </w:rPr>
            </w:pPr>
          </w:p>
        </w:tc>
      </w:tr>
    </w:tbl>
    <w:p w14:paraId="05D4DF4E" w14:textId="77777777" w:rsidR="007C3F79" w:rsidRPr="00EB512D" w:rsidRDefault="007C3F79" w:rsidP="007C3F79">
      <w:pPr>
        <w:rPr>
          <w:b/>
          <w:bCs/>
          <w:lang w:eastAsia="sk-SK"/>
        </w:rPr>
        <w:sectPr w:rsidR="007C3F79" w:rsidRPr="00EB512D">
          <w:pgSz w:w="16838" w:h="11906" w:orient="landscape"/>
          <w:pgMar w:top="1418" w:right="1418" w:bottom="1418" w:left="1418" w:header="709" w:footer="709"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7C3F79" w:rsidRPr="00EB512D" w14:paraId="3AA86E95" w14:textId="77777777" w:rsidTr="00B359C5">
        <w:trPr>
          <w:trHeight w:val="20"/>
        </w:trPr>
        <w:tc>
          <w:tcPr>
            <w:tcW w:w="9371" w:type="dxa"/>
            <w:gridSpan w:val="6"/>
            <w:shd w:val="clear" w:color="auto" w:fill="BFBFBF"/>
            <w:vAlign w:val="center"/>
          </w:tcPr>
          <w:p w14:paraId="79C56F35" w14:textId="77777777" w:rsidR="007C3F79" w:rsidRPr="00EB512D" w:rsidRDefault="007C3F79" w:rsidP="00B359C5">
            <w:pPr>
              <w:jc w:val="center"/>
              <w:rPr>
                <w:b/>
                <w:bCs/>
                <w:sz w:val="28"/>
                <w:szCs w:val="28"/>
              </w:rPr>
            </w:pPr>
            <w:r w:rsidRPr="00EB512D">
              <w:rPr>
                <w:b/>
                <w:bCs/>
                <w:sz w:val="28"/>
                <w:szCs w:val="28"/>
              </w:rPr>
              <w:lastRenderedPageBreak/>
              <w:t>Analýza vplyvov na informatizáciu spoločnosti</w:t>
            </w:r>
          </w:p>
          <w:p w14:paraId="264831BA" w14:textId="77777777" w:rsidR="007C3F79" w:rsidRPr="00EB512D" w:rsidRDefault="007C3F79" w:rsidP="00B359C5">
            <w:pPr>
              <w:jc w:val="center"/>
              <w:rPr>
                <w:b/>
                <w:i/>
                <w:iCs/>
                <w:sz w:val="2"/>
                <w:szCs w:val="22"/>
              </w:rPr>
            </w:pPr>
            <w:r w:rsidRPr="00EB512D">
              <w:rPr>
                <w:b/>
              </w:rPr>
              <w:t>Budovanie základných pilierov informatizácie</w:t>
            </w:r>
          </w:p>
        </w:tc>
      </w:tr>
      <w:tr w:rsidR="007C3F79" w:rsidRPr="00EB512D" w14:paraId="6B773A99" w14:textId="77777777" w:rsidTr="00B359C5">
        <w:trPr>
          <w:trHeight w:val="681"/>
        </w:trPr>
        <w:tc>
          <w:tcPr>
            <w:tcW w:w="3956" w:type="dxa"/>
            <w:shd w:val="clear" w:color="auto" w:fill="C0C0C0"/>
            <w:vAlign w:val="center"/>
          </w:tcPr>
          <w:p w14:paraId="6AA724F1" w14:textId="77777777" w:rsidR="007C3F79" w:rsidRPr="00EB512D" w:rsidRDefault="007C3F79" w:rsidP="00B359C5">
            <w:pPr>
              <w:jc w:val="center"/>
              <w:rPr>
                <w:b/>
                <w:szCs w:val="22"/>
              </w:rPr>
            </w:pPr>
            <w:r w:rsidRPr="00EB512D">
              <w:rPr>
                <w:b/>
                <w:szCs w:val="22"/>
              </w:rPr>
              <w:t>Obsah</w:t>
            </w:r>
          </w:p>
        </w:tc>
        <w:tc>
          <w:tcPr>
            <w:tcW w:w="1162" w:type="dxa"/>
            <w:shd w:val="clear" w:color="auto" w:fill="C0C0C0"/>
            <w:vAlign w:val="center"/>
          </w:tcPr>
          <w:p w14:paraId="29411116" w14:textId="77777777" w:rsidR="007C3F79" w:rsidRPr="00EB512D" w:rsidRDefault="007C3F79" w:rsidP="00B359C5">
            <w:pPr>
              <w:jc w:val="center"/>
              <w:rPr>
                <w:b/>
                <w:szCs w:val="22"/>
              </w:rPr>
            </w:pPr>
            <w:r w:rsidRPr="00EB512D">
              <w:rPr>
                <w:b/>
                <w:szCs w:val="22"/>
              </w:rPr>
              <w:t>A – nová služba</w:t>
            </w:r>
          </w:p>
          <w:p w14:paraId="4039432C" w14:textId="77777777" w:rsidR="007C3F79" w:rsidRPr="00EB512D" w:rsidRDefault="007C3F79" w:rsidP="00B359C5">
            <w:pPr>
              <w:jc w:val="center"/>
              <w:rPr>
                <w:i/>
                <w:iCs/>
                <w:szCs w:val="22"/>
              </w:rPr>
            </w:pPr>
            <w:r w:rsidRPr="00EB512D">
              <w:rPr>
                <w:b/>
                <w:szCs w:val="22"/>
              </w:rPr>
              <w:t>B – zmena služby</w:t>
            </w:r>
          </w:p>
        </w:tc>
        <w:tc>
          <w:tcPr>
            <w:tcW w:w="1560" w:type="dxa"/>
            <w:shd w:val="clear" w:color="auto" w:fill="C0C0C0"/>
            <w:vAlign w:val="center"/>
          </w:tcPr>
          <w:p w14:paraId="6FD2C214" w14:textId="77777777" w:rsidR="007C3F79" w:rsidRPr="00EB512D" w:rsidRDefault="007C3F79" w:rsidP="00B359C5">
            <w:pPr>
              <w:jc w:val="center"/>
              <w:rPr>
                <w:i/>
                <w:iCs/>
                <w:szCs w:val="22"/>
              </w:rPr>
            </w:pPr>
          </w:p>
          <w:p w14:paraId="036C63F8" w14:textId="77777777" w:rsidR="007C3F79" w:rsidRPr="00EB512D" w:rsidRDefault="007C3F79" w:rsidP="00B359C5">
            <w:pPr>
              <w:spacing w:after="200"/>
              <w:jc w:val="center"/>
              <w:rPr>
                <w:szCs w:val="22"/>
              </w:rPr>
            </w:pPr>
            <w:r w:rsidRPr="00EB512D">
              <w:rPr>
                <w:b/>
                <w:szCs w:val="22"/>
              </w:rPr>
              <w:t>Kód služby</w:t>
            </w:r>
          </w:p>
        </w:tc>
        <w:tc>
          <w:tcPr>
            <w:tcW w:w="1701" w:type="dxa"/>
            <w:gridSpan w:val="2"/>
            <w:shd w:val="clear" w:color="auto" w:fill="C0C0C0"/>
            <w:vAlign w:val="center"/>
          </w:tcPr>
          <w:p w14:paraId="7043C761" w14:textId="77777777" w:rsidR="007C3F79" w:rsidRPr="00EB512D" w:rsidRDefault="007C3F79" w:rsidP="00B359C5">
            <w:pPr>
              <w:jc w:val="center"/>
              <w:rPr>
                <w:b/>
                <w:szCs w:val="22"/>
              </w:rPr>
            </w:pPr>
          </w:p>
          <w:p w14:paraId="7344CD78" w14:textId="77777777" w:rsidR="007C3F79" w:rsidRPr="00EB512D" w:rsidRDefault="007C3F79" w:rsidP="00B359C5">
            <w:pPr>
              <w:jc w:val="center"/>
              <w:rPr>
                <w:i/>
                <w:iCs/>
                <w:szCs w:val="22"/>
              </w:rPr>
            </w:pPr>
            <w:r w:rsidRPr="00EB512D">
              <w:rPr>
                <w:b/>
                <w:szCs w:val="22"/>
              </w:rPr>
              <w:t>Názov služby</w:t>
            </w:r>
          </w:p>
        </w:tc>
        <w:tc>
          <w:tcPr>
            <w:tcW w:w="992" w:type="dxa"/>
            <w:shd w:val="clear" w:color="auto" w:fill="C0C0C0"/>
            <w:vAlign w:val="center"/>
          </w:tcPr>
          <w:p w14:paraId="318B70E7" w14:textId="77777777" w:rsidR="007C3F79" w:rsidRPr="00EB512D" w:rsidRDefault="007C3F79" w:rsidP="00B359C5">
            <w:pPr>
              <w:jc w:val="center"/>
              <w:rPr>
                <w:b/>
                <w:szCs w:val="22"/>
              </w:rPr>
            </w:pPr>
            <w:r w:rsidRPr="00EB512D">
              <w:rPr>
                <w:b/>
                <w:szCs w:val="22"/>
              </w:rPr>
              <w:t>Úroveň elektronizácie služby</w:t>
            </w:r>
          </w:p>
          <w:p w14:paraId="4D770E95" w14:textId="77777777" w:rsidR="007C3F79" w:rsidRPr="00EB512D" w:rsidRDefault="007C3F79" w:rsidP="00B359C5">
            <w:pPr>
              <w:jc w:val="center"/>
              <w:rPr>
                <w:i/>
                <w:iCs/>
                <w:szCs w:val="22"/>
              </w:rPr>
            </w:pPr>
            <w:r w:rsidRPr="00EB512D">
              <w:rPr>
                <w:b/>
                <w:szCs w:val="22"/>
              </w:rPr>
              <w:t>(0 až 5)</w:t>
            </w:r>
          </w:p>
        </w:tc>
      </w:tr>
      <w:tr w:rsidR="007C3F79" w:rsidRPr="00EB512D" w14:paraId="59A6414F" w14:textId="77777777" w:rsidTr="00B359C5">
        <w:trPr>
          <w:trHeight w:val="20"/>
        </w:trPr>
        <w:tc>
          <w:tcPr>
            <w:tcW w:w="3956" w:type="dxa"/>
          </w:tcPr>
          <w:p w14:paraId="581002EE" w14:textId="77777777" w:rsidR="007C3F79" w:rsidRPr="00EB512D" w:rsidRDefault="007C3F79" w:rsidP="00B359C5">
            <w:pPr>
              <w:jc w:val="both"/>
              <w:rPr>
                <w:szCs w:val="22"/>
              </w:rPr>
            </w:pPr>
            <w:r w:rsidRPr="00EB512D">
              <w:rPr>
                <w:b/>
                <w:szCs w:val="22"/>
              </w:rPr>
              <w:t>6.1.</w:t>
            </w:r>
            <w:r w:rsidRPr="00EB512D">
              <w:rPr>
                <w:szCs w:val="22"/>
              </w:rPr>
              <w:t xml:space="preserve"> Predpokladá predložený návrh zmenu existujúcich elektronických služieb verejnej správy alebo vytvorenie nových služieb?</w:t>
            </w:r>
          </w:p>
          <w:p w14:paraId="794D4E55" w14:textId="77777777" w:rsidR="007C3F79" w:rsidRPr="00EB512D" w:rsidRDefault="007C3F79" w:rsidP="00B359C5">
            <w:pPr>
              <w:spacing w:line="20" w:lineRule="atLeast"/>
              <w:jc w:val="both"/>
              <w:rPr>
                <w:b/>
                <w:sz w:val="22"/>
                <w:szCs w:val="22"/>
              </w:rPr>
            </w:pPr>
            <w:r w:rsidRPr="00EB512D">
              <w:rPr>
                <w:i/>
                <w:iCs/>
                <w:szCs w:val="22"/>
              </w:rPr>
              <w:t xml:space="preserve">(Ak áno, uveďte zmenu služby alebo vytvorenie novej služby, </w:t>
            </w:r>
            <w:proofErr w:type="gramStart"/>
            <w:r w:rsidRPr="00EB512D">
              <w:rPr>
                <w:i/>
                <w:iCs/>
                <w:szCs w:val="22"/>
              </w:rPr>
              <w:t>ďalej  jej</w:t>
            </w:r>
            <w:proofErr w:type="gramEnd"/>
            <w:r w:rsidRPr="00EB512D">
              <w:rPr>
                <w:i/>
                <w:iCs/>
                <w:szCs w:val="22"/>
              </w:rPr>
              <w:t xml:space="preserve"> kód, názov a úroveň elektronizácie podľa katalógu eGovernment služieb, ktorý je vedený v centrálnom metainformačnom systéme verejnej správy.)</w:t>
            </w:r>
            <w:r w:rsidRPr="00EB512D">
              <w:rPr>
                <w:szCs w:val="22"/>
              </w:rPr>
              <w:t xml:space="preserve"> </w:t>
            </w:r>
          </w:p>
        </w:tc>
        <w:tc>
          <w:tcPr>
            <w:tcW w:w="1162" w:type="dxa"/>
          </w:tcPr>
          <w:p w14:paraId="25C305F8" w14:textId="77777777" w:rsidR="007C3F79" w:rsidRPr="00EB512D" w:rsidRDefault="007C3F79" w:rsidP="00B359C5">
            <w:pPr>
              <w:jc w:val="center"/>
              <w:rPr>
                <w:b/>
                <w:sz w:val="22"/>
                <w:szCs w:val="22"/>
              </w:rPr>
            </w:pPr>
          </w:p>
          <w:p w14:paraId="45C8D4EF" w14:textId="77777777" w:rsidR="007C3F79" w:rsidRPr="00EB512D" w:rsidRDefault="007C3F79" w:rsidP="00B359C5">
            <w:pPr>
              <w:jc w:val="center"/>
              <w:rPr>
                <w:b/>
                <w:sz w:val="22"/>
                <w:szCs w:val="22"/>
              </w:rPr>
            </w:pPr>
          </w:p>
          <w:p w14:paraId="449DA67F" w14:textId="77777777" w:rsidR="007C3F79" w:rsidRPr="00EB512D" w:rsidRDefault="007C3F79" w:rsidP="00B359C5">
            <w:pPr>
              <w:jc w:val="center"/>
              <w:rPr>
                <w:b/>
                <w:sz w:val="22"/>
                <w:szCs w:val="22"/>
              </w:rPr>
            </w:pPr>
          </w:p>
          <w:p w14:paraId="6F092F86" w14:textId="77777777" w:rsidR="007C3F79" w:rsidRPr="00EB512D" w:rsidRDefault="007C3F79" w:rsidP="00B359C5">
            <w:pPr>
              <w:jc w:val="center"/>
              <w:rPr>
                <w:b/>
                <w:sz w:val="22"/>
                <w:szCs w:val="22"/>
              </w:rPr>
            </w:pPr>
            <w:r w:rsidRPr="00EB512D">
              <w:rPr>
                <w:b/>
                <w:sz w:val="22"/>
                <w:szCs w:val="22"/>
              </w:rPr>
              <w:t>-</w:t>
            </w:r>
          </w:p>
        </w:tc>
        <w:tc>
          <w:tcPr>
            <w:tcW w:w="1560" w:type="dxa"/>
          </w:tcPr>
          <w:p w14:paraId="4E711C44" w14:textId="77777777" w:rsidR="007C3F79" w:rsidRPr="00EB512D" w:rsidRDefault="007C3F79" w:rsidP="00B359C5">
            <w:pPr>
              <w:jc w:val="center"/>
              <w:rPr>
                <w:b/>
                <w:sz w:val="22"/>
                <w:szCs w:val="22"/>
              </w:rPr>
            </w:pPr>
          </w:p>
          <w:p w14:paraId="64564ED1" w14:textId="77777777" w:rsidR="007C3F79" w:rsidRPr="00EB512D" w:rsidRDefault="007C3F79" w:rsidP="00B359C5">
            <w:pPr>
              <w:jc w:val="center"/>
              <w:rPr>
                <w:b/>
                <w:sz w:val="22"/>
                <w:szCs w:val="22"/>
              </w:rPr>
            </w:pPr>
          </w:p>
          <w:p w14:paraId="5E1A9A44" w14:textId="77777777" w:rsidR="007C3F79" w:rsidRPr="00EB512D" w:rsidRDefault="007C3F79" w:rsidP="00B359C5">
            <w:pPr>
              <w:jc w:val="center"/>
              <w:rPr>
                <w:b/>
                <w:sz w:val="22"/>
                <w:szCs w:val="22"/>
              </w:rPr>
            </w:pPr>
          </w:p>
          <w:p w14:paraId="3D9D0396" w14:textId="77777777" w:rsidR="007C3F79" w:rsidRPr="00EB512D" w:rsidRDefault="007C3F79" w:rsidP="00B359C5">
            <w:pPr>
              <w:jc w:val="center"/>
              <w:rPr>
                <w:b/>
                <w:sz w:val="22"/>
                <w:szCs w:val="22"/>
              </w:rPr>
            </w:pPr>
            <w:r w:rsidRPr="00EB512D">
              <w:rPr>
                <w:b/>
                <w:sz w:val="22"/>
                <w:szCs w:val="22"/>
              </w:rPr>
              <w:t>-</w:t>
            </w:r>
          </w:p>
        </w:tc>
        <w:tc>
          <w:tcPr>
            <w:tcW w:w="1701" w:type="dxa"/>
            <w:gridSpan w:val="2"/>
          </w:tcPr>
          <w:p w14:paraId="4B9F6603" w14:textId="77777777" w:rsidR="007C3F79" w:rsidRPr="00EB512D" w:rsidRDefault="007C3F79" w:rsidP="00B359C5">
            <w:pPr>
              <w:jc w:val="both"/>
              <w:rPr>
                <w:b/>
                <w:sz w:val="22"/>
                <w:szCs w:val="22"/>
              </w:rPr>
            </w:pPr>
          </w:p>
          <w:p w14:paraId="3D1956BC" w14:textId="77777777" w:rsidR="007C3F79" w:rsidRPr="00EB512D" w:rsidRDefault="007C3F79" w:rsidP="00B359C5">
            <w:pPr>
              <w:jc w:val="both"/>
              <w:rPr>
                <w:b/>
                <w:sz w:val="22"/>
                <w:szCs w:val="22"/>
              </w:rPr>
            </w:pPr>
          </w:p>
          <w:p w14:paraId="10213561" w14:textId="77777777" w:rsidR="007C3F79" w:rsidRPr="00EB512D" w:rsidRDefault="007C3F79" w:rsidP="00B359C5">
            <w:pPr>
              <w:jc w:val="both"/>
              <w:rPr>
                <w:b/>
                <w:sz w:val="22"/>
                <w:szCs w:val="22"/>
              </w:rPr>
            </w:pPr>
          </w:p>
          <w:p w14:paraId="65097DDD" w14:textId="77777777" w:rsidR="007C3F79" w:rsidRPr="00EB512D" w:rsidRDefault="007C3F79" w:rsidP="00B359C5">
            <w:pPr>
              <w:jc w:val="center"/>
              <w:rPr>
                <w:b/>
                <w:sz w:val="22"/>
                <w:szCs w:val="22"/>
              </w:rPr>
            </w:pPr>
            <w:r w:rsidRPr="00EB512D">
              <w:rPr>
                <w:b/>
                <w:sz w:val="22"/>
                <w:szCs w:val="22"/>
              </w:rPr>
              <w:t>-</w:t>
            </w:r>
          </w:p>
        </w:tc>
        <w:tc>
          <w:tcPr>
            <w:tcW w:w="992" w:type="dxa"/>
          </w:tcPr>
          <w:p w14:paraId="382E66E5" w14:textId="77777777" w:rsidR="007C3F79" w:rsidRPr="00EB512D" w:rsidRDefault="007C3F79" w:rsidP="00B359C5">
            <w:pPr>
              <w:rPr>
                <w:b/>
                <w:i/>
                <w:sz w:val="22"/>
                <w:szCs w:val="22"/>
              </w:rPr>
            </w:pPr>
          </w:p>
          <w:p w14:paraId="672E3056" w14:textId="77777777" w:rsidR="007C3F79" w:rsidRPr="00EB512D" w:rsidRDefault="007C3F79" w:rsidP="00B359C5">
            <w:pPr>
              <w:jc w:val="center"/>
              <w:rPr>
                <w:b/>
                <w:sz w:val="22"/>
                <w:szCs w:val="22"/>
              </w:rPr>
            </w:pPr>
          </w:p>
          <w:p w14:paraId="72014894" w14:textId="77777777" w:rsidR="007C3F79" w:rsidRPr="00EB512D" w:rsidRDefault="007C3F79" w:rsidP="00B359C5">
            <w:pPr>
              <w:jc w:val="center"/>
              <w:rPr>
                <w:b/>
                <w:sz w:val="22"/>
                <w:szCs w:val="22"/>
              </w:rPr>
            </w:pPr>
          </w:p>
          <w:p w14:paraId="364A40D7" w14:textId="77777777" w:rsidR="007C3F79" w:rsidRPr="00EB512D" w:rsidRDefault="007C3F79" w:rsidP="00B359C5">
            <w:pPr>
              <w:jc w:val="center"/>
              <w:rPr>
                <w:b/>
                <w:sz w:val="22"/>
                <w:szCs w:val="22"/>
              </w:rPr>
            </w:pPr>
            <w:r w:rsidRPr="00EB512D">
              <w:rPr>
                <w:b/>
                <w:sz w:val="22"/>
                <w:szCs w:val="22"/>
              </w:rPr>
              <w:t>-</w:t>
            </w:r>
          </w:p>
        </w:tc>
      </w:tr>
      <w:tr w:rsidR="007C3F79" w:rsidRPr="00EB512D" w14:paraId="3E610697" w14:textId="77777777" w:rsidTr="00B359C5">
        <w:trPr>
          <w:trHeight w:val="20"/>
        </w:trPr>
        <w:tc>
          <w:tcPr>
            <w:tcW w:w="3956" w:type="dxa"/>
            <w:shd w:val="clear" w:color="auto" w:fill="C0C0C0"/>
            <w:vAlign w:val="center"/>
          </w:tcPr>
          <w:p w14:paraId="5A245F4C" w14:textId="77777777" w:rsidR="007C3F79" w:rsidRPr="00EB512D" w:rsidRDefault="007C3F79" w:rsidP="00B359C5">
            <w:pPr>
              <w:jc w:val="center"/>
              <w:rPr>
                <w:b/>
                <w:szCs w:val="22"/>
              </w:rPr>
            </w:pPr>
            <w:r w:rsidRPr="00EB512D">
              <w:rPr>
                <w:b/>
                <w:szCs w:val="22"/>
              </w:rPr>
              <w:t>Infraštruktúra</w:t>
            </w:r>
          </w:p>
        </w:tc>
        <w:tc>
          <w:tcPr>
            <w:tcW w:w="1162" w:type="dxa"/>
            <w:shd w:val="clear" w:color="auto" w:fill="C0C0C0"/>
            <w:vAlign w:val="center"/>
          </w:tcPr>
          <w:p w14:paraId="4068BA28" w14:textId="77777777" w:rsidR="007C3F79" w:rsidRPr="00EB512D" w:rsidRDefault="007C3F79" w:rsidP="00B359C5">
            <w:pPr>
              <w:jc w:val="center"/>
              <w:rPr>
                <w:b/>
                <w:szCs w:val="22"/>
              </w:rPr>
            </w:pPr>
            <w:r w:rsidRPr="00EB512D">
              <w:rPr>
                <w:b/>
                <w:szCs w:val="22"/>
              </w:rPr>
              <w:t>A – nový systém</w:t>
            </w:r>
          </w:p>
          <w:p w14:paraId="0CBA5851" w14:textId="77777777" w:rsidR="007C3F79" w:rsidRPr="00EB512D" w:rsidRDefault="007C3F79" w:rsidP="00B359C5">
            <w:pPr>
              <w:jc w:val="center"/>
              <w:rPr>
                <w:b/>
                <w:szCs w:val="22"/>
              </w:rPr>
            </w:pPr>
            <w:r w:rsidRPr="00EB512D">
              <w:rPr>
                <w:b/>
                <w:szCs w:val="22"/>
              </w:rPr>
              <w:t>B – zmena systému</w:t>
            </w:r>
          </w:p>
        </w:tc>
        <w:tc>
          <w:tcPr>
            <w:tcW w:w="1560" w:type="dxa"/>
            <w:shd w:val="clear" w:color="auto" w:fill="C0C0C0"/>
            <w:vAlign w:val="center"/>
          </w:tcPr>
          <w:p w14:paraId="63DACF59" w14:textId="77777777" w:rsidR="007C3F79" w:rsidRPr="00EB512D" w:rsidRDefault="007C3F79" w:rsidP="00B359C5">
            <w:pPr>
              <w:jc w:val="center"/>
              <w:rPr>
                <w:b/>
                <w:szCs w:val="22"/>
              </w:rPr>
            </w:pPr>
            <w:r w:rsidRPr="00EB512D">
              <w:rPr>
                <w:b/>
                <w:szCs w:val="22"/>
              </w:rPr>
              <w:t>Kód systému</w:t>
            </w:r>
          </w:p>
        </w:tc>
        <w:tc>
          <w:tcPr>
            <w:tcW w:w="2693" w:type="dxa"/>
            <w:gridSpan w:val="3"/>
            <w:shd w:val="clear" w:color="auto" w:fill="C0C0C0"/>
            <w:vAlign w:val="center"/>
          </w:tcPr>
          <w:p w14:paraId="5C5184D0" w14:textId="77777777" w:rsidR="007C3F79" w:rsidRPr="00EB512D" w:rsidRDefault="007C3F79" w:rsidP="00B359C5">
            <w:pPr>
              <w:jc w:val="center"/>
              <w:rPr>
                <w:b/>
              </w:rPr>
            </w:pPr>
            <w:r w:rsidRPr="00EB512D">
              <w:rPr>
                <w:b/>
                <w:szCs w:val="22"/>
              </w:rPr>
              <w:t>Názov systému</w:t>
            </w:r>
          </w:p>
        </w:tc>
      </w:tr>
      <w:tr w:rsidR="007C3F79" w:rsidRPr="00EB512D" w14:paraId="2D956D62" w14:textId="77777777" w:rsidTr="00B359C5">
        <w:trPr>
          <w:trHeight w:val="20"/>
        </w:trPr>
        <w:tc>
          <w:tcPr>
            <w:tcW w:w="3956" w:type="dxa"/>
          </w:tcPr>
          <w:p w14:paraId="2B469F54" w14:textId="77777777" w:rsidR="007C3F79" w:rsidRPr="00EB512D" w:rsidRDefault="007C3F79" w:rsidP="00B359C5">
            <w:pPr>
              <w:jc w:val="both"/>
            </w:pPr>
            <w:r w:rsidRPr="00EB512D">
              <w:rPr>
                <w:b/>
              </w:rPr>
              <w:t>6.2.</w:t>
            </w:r>
            <w:r w:rsidRPr="00EB512D">
              <w:t xml:space="preserve"> Predpokladá predložený návrh zmenu existujúceho alebo vytvorenie nového informačného systému verejnej správy?</w:t>
            </w:r>
          </w:p>
          <w:p w14:paraId="4F5B3680" w14:textId="77777777" w:rsidR="007C3F79" w:rsidRPr="00EB512D" w:rsidRDefault="007C3F79" w:rsidP="00B359C5">
            <w:pPr>
              <w:spacing w:line="20" w:lineRule="atLeast"/>
              <w:jc w:val="both"/>
            </w:pPr>
            <w:r w:rsidRPr="00EB512D">
              <w:rPr>
                <w:i/>
                <w:iCs/>
              </w:rPr>
              <w:t>(Ak áno, uveďte zmenu systému alebo vytvorenie nového systému, ďalej jeho kód a názov z centrálneho metainformačného systému verejnej správy.)</w:t>
            </w:r>
          </w:p>
        </w:tc>
        <w:tc>
          <w:tcPr>
            <w:tcW w:w="1162" w:type="dxa"/>
          </w:tcPr>
          <w:p w14:paraId="7946B64C" w14:textId="77777777" w:rsidR="007C3F79" w:rsidRPr="00EB512D" w:rsidRDefault="007C3F79" w:rsidP="00B359C5">
            <w:pPr>
              <w:rPr>
                <w:iCs/>
              </w:rPr>
            </w:pPr>
          </w:p>
          <w:p w14:paraId="28CC6DBC" w14:textId="77777777" w:rsidR="007C3F79" w:rsidRPr="00EB512D" w:rsidRDefault="007C3F79" w:rsidP="00B359C5">
            <w:pPr>
              <w:rPr>
                <w:iCs/>
              </w:rPr>
            </w:pPr>
          </w:p>
          <w:p w14:paraId="459A7CF8" w14:textId="77777777" w:rsidR="007C3F79" w:rsidRPr="00EB512D" w:rsidRDefault="007C3F79" w:rsidP="00B359C5">
            <w:pPr>
              <w:jc w:val="center"/>
              <w:rPr>
                <w:iCs/>
              </w:rPr>
            </w:pPr>
            <w:r w:rsidRPr="00EB512D">
              <w:rPr>
                <w:iCs/>
              </w:rPr>
              <w:t>B</w:t>
            </w:r>
          </w:p>
        </w:tc>
        <w:tc>
          <w:tcPr>
            <w:tcW w:w="1560" w:type="dxa"/>
          </w:tcPr>
          <w:p w14:paraId="52B90E5C" w14:textId="77777777" w:rsidR="007C3F79" w:rsidRPr="00EB512D" w:rsidRDefault="007C3F79" w:rsidP="00B359C5">
            <w:pPr>
              <w:jc w:val="center"/>
              <w:rPr>
                <w:iCs/>
              </w:rPr>
            </w:pPr>
          </w:p>
          <w:p w14:paraId="2068B837" w14:textId="77777777" w:rsidR="007C3F79" w:rsidRPr="00EB512D" w:rsidRDefault="007C3F79" w:rsidP="00B359C5">
            <w:pPr>
              <w:jc w:val="center"/>
              <w:rPr>
                <w:iCs/>
              </w:rPr>
            </w:pPr>
          </w:p>
          <w:p w14:paraId="6C6FD2D2" w14:textId="77777777" w:rsidR="007C3F79" w:rsidRPr="00EB512D" w:rsidRDefault="007C3F79" w:rsidP="00B359C5">
            <w:pPr>
              <w:jc w:val="center"/>
              <w:rPr>
                <w:iCs/>
              </w:rPr>
            </w:pPr>
            <w:r w:rsidRPr="00EB512D">
              <w:rPr>
                <w:iCs/>
              </w:rPr>
              <w:t>isvs_191</w:t>
            </w:r>
          </w:p>
        </w:tc>
        <w:tc>
          <w:tcPr>
            <w:tcW w:w="2693" w:type="dxa"/>
            <w:gridSpan w:val="3"/>
          </w:tcPr>
          <w:p w14:paraId="18F7AF03" w14:textId="77777777" w:rsidR="007C3F79" w:rsidRPr="00EB512D" w:rsidRDefault="007C3F79" w:rsidP="00B359C5">
            <w:pPr>
              <w:jc w:val="center"/>
              <w:rPr>
                <w:iCs/>
              </w:rPr>
            </w:pPr>
          </w:p>
          <w:p w14:paraId="7101CF24" w14:textId="77777777" w:rsidR="007C3F79" w:rsidRPr="00EB512D" w:rsidRDefault="007C3F79" w:rsidP="00B359C5">
            <w:pPr>
              <w:jc w:val="center"/>
              <w:rPr>
                <w:iCs/>
              </w:rPr>
            </w:pPr>
          </w:p>
          <w:p w14:paraId="6D749C19" w14:textId="77777777" w:rsidR="007C3F79" w:rsidRPr="00EB512D" w:rsidRDefault="007C3F79" w:rsidP="00B359C5">
            <w:pPr>
              <w:jc w:val="center"/>
              <w:rPr>
                <w:iCs/>
              </w:rPr>
            </w:pPr>
            <w:r w:rsidRPr="00EB512D">
              <w:rPr>
                <w:iCs/>
              </w:rPr>
              <w:t xml:space="preserve">Register fyzických osôb </w:t>
            </w:r>
          </w:p>
        </w:tc>
      </w:tr>
      <w:tr w:rsidR="007C3F79" w:rsidRPr="00EB512D" w14:paraId="1C748380" w14:textId="77777777" w:rsidTr="00B359C5">
        <w:trPr>
          <w:trHeight w:val="20"/>
        </w:trPr>
        <w:tc>
          <w:tcPr>
            <w:tcW w:w="3956" w:type="dxa"/>
            <w:shd w:val="clear" w:color="auto" w:fill="BFBFBF"/>
            <w:vAlign w:val="center"/>
          </w:tcPr>
          <w:p w14:paraId="58921DA5" w14:textId="77777777" w:rsidR="007C3F79" w:rsidRPr="00EB512D" w:rsidRDefault="007C3F79" w:rsidP="00B359C5">
            <w:pPr>
              <w:spacing w:line="20" w:lineRule="atLeast"/>
              <w:ind w:hanging="55"/>
              <w:jc w:val="center"/>
              <w:rPr>
                <w:b/>
                <w:szCs w:val="22"/>
              </w:rPr>
            </w:pPr>
            <w:r w:rsidRPr="00EB512D">
              <w:rPr>
                <w:b/>
                <w:szCs w:val="22"/>
              </w:rPr>
              <w:t>Financovanie procesu informatizácie</w:t>
            </w:r>
          </w:p>
        </w:tc>
        <w:tc>
          <w:tcPr>
            <w:tcW w:w="1162" w:type="dxa"/>
            <w:shd w:val="clear" w:color="auto" w:fill="BFBFBF"/>
            <w:vAlign w:val="center"/>
          </w:tcPr>
          <w:p w14:paraId="788822FF" w14:textId="77777777" w:rsidR="007C3F79" w:rsidRPr="00EB512D" w:rsidRDefault="007C3F79" w:rsidP="00B359C5">
            <w:pPr>
              <w:jc w:val="center"/>
              <w:rPr>
                <w:b/>
                <w:i/>
                <w:iCs/>
                <w:szCs w:val="22"/>
              </w:rPr>
            </w:pPr>
            <w:r w:rsidRPr="00EB512D">
              <w:rPr>
                <w:b/>
                <w:szCs w:val="22"/>
              </w:rPr>
              <w:t>Rezortná úroveň</w:t>
            </w:r>
          </w:p>
        </w:tc>
        <w:tc>
          <w:tcPr>
            <w:tcW w:w="2268" w:type="dxa"/>
            <w:gridSpan w:val="2"/>
            <w:shd w:val="clear" w:color="auto" w:fill="BFBFBF"/>
            <w:vAlign w:val="center"/>
          </w:tcPr>
          <w:p w14:paraId="19B38B99" w14:textId="77777777" w:rsidR="007C3F79" w:rsidRPr="00EB512D" w:rsidRDefault="007C3F79" w:rsidP="00B359C5">
            <w:pPr>
              <w:jc w:val="center"/>
              <w:rPr>
                <w:b/>
                <w:i/>
                <w:iCs/>
                <w:szCs w:val="22"/>
              </w:rPr>
            </w:pPr>
            <w:r w:rsidRPr="00EB512D">
              <w:rPr>
                <w:b/>
                <w:szCs w:val="22"/>
              </w:rPr>
              <w:t>Nadrezortná úroveň</w:t>
            </w:r>
          </w:p>
          <w:p w14:paraId="17FF22E8" w14:textId="77777777" w:rsidR="007C3F79" w:rsidRPr="00EB512D" w:rsidRDefault="007C3F79" w:rsidP="00B359C5">
            <w:pPr>
              <w:jc w:val="center"/>
              <w:rPr>
                <w:b/>
                <w:szCs w:val="22"/>
              </w:rPr>
            </w:pPr>
          </w:p>
        </w:tc>
        <w:tc>
          <w:tcPr>
            <w:tcW w:w="1985" w:type="dxa"/>
            <w:gridSpan w:val="2"/>
            <w:shd w:val="clear" w:color="auto" w:fill="BFBFBF"/>
            <w:vAlign w:val="center"/>
          </w:tcPr>
          <w:p w14:paraId="31EAEC35" w14:textId="77777777" w:rsidR="007C3F79" w:rsidRPr="00EB512D" w:rsidRDefault="007C3F79" w:rsidP="00B359C5">
            <w:pPr>
              <w:rPr>
                <w:b/>
                <w:szCs w:val="22"/>
              </w:rPr>
            </w:pPr>
            <w:r w:rsidRPr="00EB512D">
              <w:rPr>
                <w:b/>
                <w:szCs w:val="22"/>
              </w:rPr>
              <w:t>A - z prostriedkov EÚ   B - z ďalších zdrojov financovania</w:t>
            </w:r>
          </w:p>
        </w:tc>
      </w:tr>
      <w:tr w:rsidR="007C3F79" w:rsidRPr="00EB512D" w14:paraId="47A75B48" w14:textId="77777777" w:rsidTr="00B359C5">
        <w:trPr>
          <w:trHeight w:val="20"/>
        </w:trPr>
        <w:tc>
          <w:tcPr>
            <w:tcW w:w="3956" w:type="dxa"/>
          </w:tcPr>
          <w:p w14:paraId="3CE57B99" w14:textId="77777777" w:rsidR="007C3F79" w:rsidRPr="00EB512D" w:rsidRDefault="007C3F79" w:rsidP="00B359C5">
            <w:pPr>
              <w:jc w:val="both"/>
              <w:rPr>
                <w:szCs w:val="22"/>
              </w:rPr>
            </w:pPr>
            <w:r w:rsidRPr="00EB512D">
              <w:rPr>
                <w:b/>
                <w:szCs w:val="22"/>
              </w:rPr>
              <w:t>6.3.</w:t>
            </w:r>
            <w:r w:rsidRPr="00EB512D">
              <w:rPr>
                <w:szCs w:val="22"/>
              </w:rPr>
              <w:t xml:space="preserve"> Vyžaduje si proces </w:t>
            </w:r>
            <w:proofErr w:type="gramStart"/>
            <w:r w:rsidRPr="00EB512D">
              <w:rPr>
                <w:szCs w:val="22"/>
              </w:rPr>
              <w:t>informatizácie  finančné</w:t>
            </w:r>
            <w:proofErr w:type="gramEnd"/>
            <w:r w:rsidRPr="00EB512D">
              <w:rPr>
                <w:szCs w:val="22"/>
              </w:rPr>
              <w:t xml:space="preserve"> investície?</w:t>
            </w:r>
          </w:p>
          <w:p w14:paraId="4AC37BF7" w14:textId="77777777" w:rsidR="007C3F79" w:rsidRPr="00EB512D" w:rsidRDefault="007C3F79" w:rsidP="00B359C5">
            <w:pPr>
              <w:spacing w:line="20" w:lineRule="atLeast"/>
              <w:jc w:val="both"/>
            </w:pPr>
            <w:r w:rsidRPr="00EB512D">
              <w:rPr>
                <w:i/>
                <w:iCs/>
                <w:szCs w:val="22"/>
              </w:rPr>
              <w:t xml:space="preserve">(Uveďte príslušnú úroveň financovania a kvantifikáciu finančných výdavkov </w:t>
            </w:r>
            <w:proofErr w:type="gramStart"/>
            <w:r w:rsidRPr="00EB512D">
              <w:rPr>
                <w:i/>
                <w:iCs/>
                <w:szCs w:val="22"/>
              </w:rPr>
              <w:t>uveďte  v</w:t>
            </w:r>
            <w:proofErr w:type="gramEnd"/>
            <w:r w:rsidRPr="00EB512D">
              <w:rPr>
                <w:i/>
                <w:iCs/>
                <w:szCs w:val="22"/>
              </w:rPr>
              <w:t> analýze vplyvov na rozpočet verejnej správy.)</w:t>
            </w:r>
          </w:p>
        </w:tc>
        <w:tc>
          <w:tcPr>
            <w:tcW w:w="1162" w:type="dxa"/>
          </w:tcPr>
          <w:p w14:paraId="48779556" w14:textId="77777777" w:rsidR="007C3F79" w:rsidRPr="00EB512D" w:rsidRDefault="007C3F79" w:rsidP="00B359C5">
            <w:pPr>
              <w:jc w:val="center"/>
              <w:rPr>
                <w:iCs/>
              </w:rPr>
            </w:pPr>
          </w:p>
          <w:p w14:paraId="2EA8DF95" w14:textId="77777777" w:rsidR="007C3F79" w:rsidRPr="00EB512D" w:rsidRDefault="007C3F79" w:rsidP="00B359C5">
            <w:pPr>
              <w:jc w:val="center"/>
              <w:rPr>
                <w:iCs/>
              </w:rPr>
            </w:pPr>
          </w:p>
          <w:p w14:paraId="1F961AB7" w14:textId="77777777" w:rsidR="007C3F79" w:rsidRPr="00EB512D" w:rsidRDefault="007C3F79" w:rsidP="00B359C5">
            <w:pPr>
              <w:jc w:val="center"/>
              <w:rPr>
                <w:iCs/>
              </w:rPr>
            </w:pPr>
            <w:r w:rsidRPr="00EB512D">
              <w:rPr>
                <w:iCs/>
              </w:rPr>
              <w:t>-</w:t>
            </w:r>
          </w:p>
        </w:tc>
        <w:tc>
          <w:tcPr>
            <w:tcW w:w="2268" w:type="dxa"/>
            <w:gridSpan w:val="2"/>
          </w:tcPr>
          <w:p w14:paraId="5C8BB22D" w14:textId="77777777" w:rsidR="007C3F79" w:rsidRPr="00EB512D" w:rsidRDefault="007C3F79" w:rsidP="00B359C5">
            <w:pPr>
              <w:rPr>
                <w:iCs/>
              </w:rPr>
            </w:pPr>
          </w:p>
          <w:p w14:paraId="763F3E10" w14:textId="77777777" w:rsidR="007C3F79" w:rsidRPr="00EB512D" w:rsidRDefault="007C3F79" w:rsidP="00B359C5">
            <w:pPr>
              <w:jc w:val="center"/>
              <w:rPr>
                <w:iCs/>
              </w:rPr>
            </w:pPr>
          </w:p>
          <w:p w14:paraId="733CE438" w14:textId="77777777" w:rsidR="007C3F79" w:rsidRPr="00EB512D" w:rsidRDefault="007C3F79" w:rsidP="00B359C5">
            <w:pPr>
              <w:jc w:val="center"/>
              <w:rPr>
                <w:iCs/>
              </w:rPr>
            </w:pPr>
            <w:r w:rsidRPr="00EB512D">
              <w:rPr>
                <w:iCs/>
              </w:rPr>
              <w:t>-</w:t>
            </w:r>
          </w:p>
          <w:p w14:paraId="020C34A7" w14:textId="77777777" w:rsidR="007C3F79" w:rsidRPr="00EB512D" w:rsidRDefault="007C3F79" w:rsidP="00B359C5">
            <w:pPr>
              <w:rPr>
                <w:iCs/>
              </w:rPr>
            </w:pPr>
          </w:p>
        </w:tc>
        <w:tc>
          <w:tcPr>
            <w:tcW w:w="1985" w:type="dxa"/>
            <w:gridSpan w:val="2"/>
          </w:tcPr>
          <w:p w14:paraId="294CAB55" w14:textId="77777777" w:rsidR="007C3F79" w:rsidRPr="00EB512D" w:rsidRDefault="007C3F79" w:rsidP="00B359C5">
            <w:pPr>
              <w:jc w:val="center"/>
              <w:rPr>
                <w:iCs/>
              </w:rPr>
            </w:pPr>
          </w:p>
          <w:p w14:paraId="7D55AC5A" w14:textId="77777777" w:rsidR="007C3F79" w:rsidRPr="00EB512D" w:rsidRDefault="007C3F79" w:rsidP="00B359C5">
            <w:pPr>
              <w:jc w:val="center"/>
              <w:rPr>
                <w:iCs/>
              </w:rPr>
            </w:pPr>
          </w:p>
          <w:p w14:paraId="5AC1ECAF" w14:textId="77777777" w:rsidR="007C3F79" w:rsidRPr="00EB512D" w:rsidRDefault="007C3F79" w:rsidP="00B359C5">
            <w:pPr>
              <w:jc w:val="center"/>
              <w:rPr>
                <w:iCs/>
              </w:rPr>
            </w:pPr>
            <w:r w:rsidRPr="00EB512D">
              <w:rPr>
                <w:iCs/>
              </w:rPr>
              <w:t>-</w:t>
            </w:r>
          </w:p>
          <w:p w14:paraId="5CA1D64E" w14:textId="77777777" w:rsidR="007C3F79" w:rsidRPr="00EB512D" w:rsidRDefault="007C3F79" w:rsidP="00B359C5">
            <w:pPr>
              <w:jc w:val="center"/>
              <w:rPr>
                <w:iCs/>
              </w:rPr>
            </w:pPr>
          </w:p>
        </w:tc>
      </w:tr>
    </w:tbl>
    <w:p w14:paraId="7A65B70A" w14:textId="77777777" w:rsidR="007C3F79" w:rsidRPr="00EB512D" w:rsidRDefault="007C3F79" w:rsidP="007C3F79">
      <w:pPr>
        <w:rPr>
          <w:b/>
          <w:bCs/>
        </w:rPr>
      </w:pPr>
    </w:p>
    <w:p w14:paraId="2B2BEB54" w14:textId="77777777" w:rsidR="007C3F79" w:rsidRPr="00EB512D" w:rsidRDefault="007C3F79" w:rsidP="007C3F79">
      <w:pPr>
        <w:rPr>
          <w:b/>
          <w:bCs/>
        </w:rPr>
      </w:pPr>
    </w:p>
    <w:p w14:paraId="4EEFB02F" w14:textId="77777777" w:rsidR="007C3F79" w:rsidRPr="00EB512D" w:rsidRDefault="007C3F79" w:rsidP="007C3F79">
      <w:pPr>
        <w:autoSpaceDE w:val="0"/>
        <w:autoSpaceDN w:val="0"/>
        <w:adjustRightInd w:val="0"/>
        <w:jc w:val="center"/>
        <w:rPr>
          <w:rFonts w:eastAsia="Calibri"/>
          <w:b/>
          <w:bCs/>
          <w:color w:val="000000"/>
          <w:sz w:val="28"/>
          <w:szCs w:val="28"/>
        </w:rPr>
      </w:pPr>
    </w:p>
    <w:p w14:paraId="5C46DD87" w14:textId="77777777" w:rsidR="007C3F79" w:rsidRPr="00EB512D" w:rsidRDefault="007C3F79" w:rsidP="007C3F79">
      <w:pPr>
        <w:autoSpaceDE w:val="0"/>
        <w:autoSpaceDN w:val="0"/>
        <w:adjustRightInd w:val="0"/>
        <w:jc w:val="center"/>
        <w:rPr>
          <w:rFonts w:eastAsia="Calibri"/>
          <w:b/>
          <w:bCs/>
          <w:color w:val="000000"/>
          <w:sz w:val="28"/>
          <w:szCs w:val="28"/>
        </w:rPr>
      </w:pPr>
    </w:p>
    <w:p w14:paraId="25AD77CF" w14:textId="77777777" w:rsidR="007C3F79" w:rsidRPr="00EB512D" w:rsidRDefault="007C3F79" w:rsidP="007C3F79">
      <w:pPr>
        <w:autoSpaceDE w:val="0"/>
        <w:autoSpaceDN w:val="0"/>
        <w:adjustRightInd w:val="0"/>
        <w:jc w:val="center"/>
        <w:rPr>
          <w:rFonts w:eastAsia="Calibri"/>
          <w:b/>
          <w:bCs/>
          <w:color w:val="000000"/>
          <w:sz w:val="28"/>
          <w:szCs w:val="28"/>
        </w:rPr>
      </w:pPr>
    </w:p>
    <w:p w14:paraId="0ADA0C08" w14:textId="77777777" w:rsidR="007C3F79" w:rsidRPr="00EB512D" w:rsidRDefault="007C3F79" w:rsidP="007C3F79">
      <w:pPr>
        <w:autoSpaceDE w:val="0"/>
        <w:autoSpaceDN w:val="0"/>
        <w:adjustRightInd w:val="0"/>
        <w:jc w:val="center"/>
        <w:rPr>
          <w:rFonts w:eastAsia="Calibri"/>
          <w:b/>
          <w:bCs/>
          <w:color w:val="000000"/>
          <w:sz w:val="28"/>
          <w:szCs w:val="28"/>
        </w:rPr>
      </w:pPr>
    </w:p>
    <w:tbl>
      <w:tblPr>
        <w:tblStyle w:val="Mriekatabuky"/>
        <w:tblW w:w="0" w:type="auto"/>
        <w:tblLook w:val="04A0" w:firstRow="1" w:lastRow="0" w:firstColumn="1" w:lastColumn="0" w:noHBand="0" w:noVBand="1"/>
      </w:tblPr>
      <w:tblGrid>
        <w:gridCol w:w="9060"/>
      </w:tblGrid>
      <w:tr w:rsidR="007C3F79" w:rsidRPr="00EB512D" w14:paraId="1CB2D064" w14:textId="77777777" w:rsidTr="00986DBB">
        <w:trPr>
          <w:trHeight w:val="567"/>
        </w:trPr>
        <w:tc>
          <w:tcPr>
            <w:tcW w:w="9060" w:type="dxa"/>
            <w:shd w:val="clear" w:color="auto" w:fill="D9D9D9" w:themeFill="background1" w:themeFillShade="D9"/>
          </w:tcPr>
          <w:p w14:paraId="0717423A" w14:textId="77777777" w:rsidR="007C3F79" w:rsidRPr="00EB512D" w:rsidRDefault="007C3F79" w:rsidP="00B359C5">
            <w:pPr>
              <w:jc w:val="center"/>
              <w:rPr>
                <w:b/>
              </w:rPr>
            </w:pPr>
            <w:r w:rsidRPr="00EB512D">
              <w:rPr>
                <w:b/>
                <w:sz w:val="28"/>
              </w:rPr>
              <w:lastRenderedPageBreak/>
              <w:t xml:space="preserve">Analýza vplyvov na podnikateľské prostredie </w:t>
            </w:r>
          </w:p>
          <w:p w14:paraId="22547254" w14:textId="77777777" w:rsidR="007C3F79" w:rsidRPr="00EB512D" w:rsidRDefault="007C3F79" w:rsidP="00B359C5">
            <w:pPr>
              <w:jc w:val="center"/>
              <w:rPr>
                <w:b/>
              </w:rPr>
            </w:pPr>
            <w:r w:rsidRPr="00EB512D">
              <w:rPr>
                <w:b/>
              </w:rPr>
              <w:t>(vrátane testu MSP)</w:t>
            </w:r>
          </w:p>
        </w:tc>
      </w:tr>
      <w:tr w:rsidR="007C3F79" w:rsidRPr="00EB512D" w14:paraId="4FC729DD" w14:textId="77777777" w:rsidTr="00986DBB">
        <w:trPr>
          <w:trHeight w:val="567"/>
        </w:trPr>
        <w:tc>
          <w:tcPr>
            <w:tcW w:w="9060" w:type="dxa"/>
            <w:shd w:val="clear" w:color="auto" w:fill="D9D9D9" w:themeFill="background1" w:themeFillShade="D9"/>
          </w:tcPr>
          <w:p w14:paraId="12F157EF" w14:textId="77777777" w:rsidR="007C3F79" w:rsidRPr="00EB512D" w:rsidRDefault="007C3F79" w:rsidP="00B359C5">
            <w:pPr>
              <w:rPr>
                <w:b/>
              </w:rPr>
            </w:pPr>
            <w:r w:rsidRPr="00EB512D">
              <w:rPr>
                <w:b/>
              </w:rPr>
              <w:t>Materiál bude mať vplyv s ohľadom na veľkostnú kategóriu podnikov:</w:t>
            </w:r>
          </w:p>
        </w:tc>
      </w:tr>
      <w:tr w:rsidR="007C3F79" w:rsidRPr="00EB512D" w14:paraId="74334A36" w14:textId="77777777" w:rsidTr="00986DBB">
        <w:trPr>
          <w:trHeight w:val="567"/>
        </w:trPr>
        <w:tc>
          <w:tcPr>
            <w:tcW w:w="9060"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08"/>
            </w:tblGrid>
            <w:tr w:rsidR="007C3F79" w:rsidRPr="00EB512D" w14:paraId="2F042CB2" w14:textId="77777777" w:rsidTr="00B359C5">
              <w:sdt>
                <w:sdtPr>
                  <w:id w:val="43339831"/>
                </w:sdtPr>
                <w:sdtEndPr/>
                <w:sdtContent>
                  <w:tc>
                    <w:tcPr>
                      <w:tcW w:w="436" w:type="dxa"/>
                    </w:tcPr>
                    <w:p w14:paraId="269DEC69" w14:textId="77777777" w:rsidR="007C3F79" w:rsidRPr="00EB512D" w:rsidRDefault="007C3F79" w:rsidP="00B359C5">
                      <w:pPr>
                        <w:jc w:val="center"/>
                      </w:pPr>
                      <w:r w:rsidRPr="00EB512D">
                        <w:rPr>
                          <w:rFonts w:ascii="Segoe UI Symbol" w:eastAsia="MS Gothic" w:hAnsi="Segoe UI Symbol" w:cs="Segoe UI Symbol"/>
                        </w:rPr>
                        <w:t>☐</w:t>
                      </w:r>
                    </w:p>
                  </w:tc>
                </w:sdtContent>
              </w:sdt>
              <w:tc>
                <w:tcPr>
                  <w:tcW w:w="8545" w:type="dxa"/>
                </w:tcPr>
                <w:p w14:paraId="13834BEB" w14:textId="77777777" w:rsidR="007C3F79" w:rsidRPr="00EB512D" w:rsidRDefault="007C3F79" w:rsidP="00B359C5">
                  <w:pPr>
                    <w:rPr>
                      <w:b/>
                    </w:rPr>
                  </w:pPr>
                  <w:r w:rsidRPr="00EB512D">
                    <w:rPr>
                      <w:b/>
                    </w:rPr>
                    <w:t xml:space="preserve">iba na MSP (0 - 249 zamestnancov) </w:t>
                  </w:r>
                </w:p>
              </w:tc>
            </w:tr>
            <w:tr w:rsidR="007C3F79" w:rsidRPr="00EB512D" w14:paraId="29227C8C" w14:textId="77777777" w:rsidTr="00B359C5">
              <w:sdt>
                <w:sdtPr>
                  <w:id w:val="-79453833"/>
                </w:sdtPr>
                <w:sdtEndPr/>
                <w:sdtContent>
                  <w:tc>
                    <w:tcPr>
                      <w:tcW w:w="436" w:type="dxa"/>
                    </w:tcPr>
                    <w:p w14:paraId="4E337697" w14:textId="77777777" w:rsidR="007C3F79" w:rsidRPr="00EB512D" w:rsidRDefault="007C3F79" w:rsidP="00B359C5">
                      <w:pPr>
                        <w:jc w:val="center"/>
                      </w:pPr>
                      <w:r w:rsidRPr="00EB512D">
                        <w:rPr>
                          <w:rFonts w:ascii="Segoe UI Symbol" w:eastAsia="MS Gothic" w:hAnsi="Segoe UI Symbol" w:cs="Segoe UI Symbol"/>
                        </w:rPr>
                        <w:t>☐</w:t>
                      </w:r>
                    </w:p>
                  </w:tc>
                </w:sdtContent>
              </w:sdt>
              <w:tc>
                <w:tcPr>
                  <w:tcW w:w="8545" w:type="dxa"/>
                </w:tcPr>
                <w:p w14:paraId="2759551A" w14:textId="77777777" w:rsidR="007C3F79" w:rsidRPr="00EB512D" w:rsidRDefault="007C3F79" w:rsidP="00B359C5">
                  <w:pPr>
                    <w:rPr>
                      <w:b/>
                    </w:rPr>
                  </w:pPr>
                  <w:r w:rsidRPr="00EB512D">
                    <w:rPr>
                      <w:b/>
                    </w:rPr>
                    <w:t>iba na veľké podniky (250 a viac zamestnancov)</w:t>
                  </w:r>
                </w:p>
              </w:tc>
            </w:tr>
            <w:tr w:rsidR="007C3F79" w:rsidRPr="00EB512D" w14:paraId="140CF44F" w14:textId="77777777" w:rsidTr="00B359C5">
              <w:sdt>
                <w:sdtPr>
                  <w:id w:val="1290634502"/>
                </w:sdtPr>
                <w:sdtEndPr/>
                <w:sdtContent>
                  <w:tc>
                    <w:tcPr>
                      <w:tcW w:w="436" w:type="dxa"/>
                    </w:tcPr>
                    <w:p w14:paraId="2B10BFE2" w14:textId="77777777" w:rsidR="007C3F79" w:rsidRPr="00EB512D" w:rsidRDefault="007C3F79" w:rsidP="00B359C5">
                      <w:pPr>
                        <w:jc w:val="center"/>
                      </w:pPr>
                      <w:r w:rsidRPr="00EB512D">
                        <w:rPr>
                          <w:rFonts w:ascii="Segoe UI Symbol" w:eastAsia="MS Gothic" w:hAnsi="Segoe UI Symbol" w:cs="Segoe UI Symbol"/>
                        </w:rPr>
                        <w:t>☒</w:t>
                      </w:r>
                    </w:p>
                  </w:tc>
                </w:sdtContent>
              </w:sdt>
              <w:tc>
                <w:tcPr>
                  <w:tcW w:w="8545" w:type="dxa"/>
                </w:tcPr>
                <w:p w14:paraId="3C9DFD58" w14:textId="77777777" w:rsidR="007C3F79" w:rsidRPr="00EB512D" w:rsidRDefault="007C3F79" w:rsidP="00B359C5">
                  <w:r w:rsidRPr="00EB512D">
                    <w:rPr>
                      <w:b/>
                    </w:rPr>
                    <w:t>na všetky kategórie podnikov</w:t>
                  </w:r>
                </w:p>
              </w:tc>
            </w:tr>
          </w:tbl>
          <w:p w14:paraId="50053E49" w14:textId="77777777" w:rsidR="007C3F79" w:rsidRPr="00EB512D" w:rsidRDefault="007C3F79" w:rsidP="00B359C5">
            <w:pPr>
              <w:rPr>
                <w:b/>
              </w:rPr>
            </w:pPr>
          </w:p>
        </w:tc>
      </w:tr>
      <w:tr w:rsidR="007C3F79" w:rsidRPr="00EB512D" w14:paraId="2F57FCD9" w14:textId="77777777" w:rsidTr="00986DBB">
        <w:tc>
          <w:tcPr>
            <w:tcW w:w="9060" w:type="dxa"/>
            <w:shd w:val="clear" w:color="auto" w:fill="D9D9D9" w:themeFill="background1" w:themeFillShade="D9"/>
          </w:tcPr>
          <w:p w14:paraId="6EB2F5B2" w14:textId="77777777" w:rsidR="007C3F79" w:rsidRPr="00EB512D" w:rsidRDefault="007C3F79" w:rsidP="00B359C5">
            <w:pPr>
              <w:rPr>
                <w:b/>
              </w:rPr>
            </w:pPr>
            <w:r w:rsidRPr="00EB512D">
              <w:rPr>
                <w:b/>
              </w:rPr>
              <w:t>3.1 Dotknuté podnikateľské subjekty</w:t>
            </w:r>
          </w:p>
          <w:p w14:paraId="6288A612" w14:textId="77777777" w:rsidR="007C3F79" w:rsidRPr="00EB512D" w:rsidRDefault="007C3F79" w:rsidP="00B359C5">
            <w:pPr>
              <w:ind w:left="284"/>
              <w:rPr>
                <w:b/>
              </w:rPr>
            </w:pPr>
            <w:r w:rsidRPr="00EB512D">
              <w:t xml:space="preserve"> - </w:t>
            </w:r>
            <w:r w:rsidRPr="00EB512D">
              <w:rPr>
                <w:b/>
              </w:rPr>
              <w:t>z toho MSP</w:t>
            </w:r>
          </w:p>
        </w:tc>
      </w:tr>
      <w:tr w:rsidR="007C3F79" w:rsidRPr="00EB512D" w14:paraId="5C9364C4" w14:textId="77777777" w:rsidTr="00986DBB">
        <w:tc>
          <w:tcPr>
            <w:tcW w:w="9060" w:type="dxa"/>
            <w:tcBorders>
              <w:bottom w:val="single" w:sz="4" w:space="0" w:color="auto"/>
            </w:tcBorders>
          </w:tcPr>
          <w:p w14:paraId="5D8BD16B" w14:textId="77777777" w:rsidR="007C3F79" w:rsidRPr="00EB512D" w:rsidRDefault="007C3F79" w:rsidP="00B359C5">
            <w:pPr>
              <w:rPr>
                <w:i/>
              </w:rPr>
            </w:pPr>
            <w:r w:rsidRPr="00EB512D">
              <w:rPr>
                <w:i/>
              </w:rPr>
              <w:t>Uveďte, aké podnikateľské subjekty budú predkladaným návrhom ovplyvnené.</w:t>
            </w:r>
          </w:p>
          <w:p w14:paraId="57EDE5BD" w14:textId="77777777" w:rsidR="007C3F79" w:rsidRPr="00EB512D" w:rsidRDefault="007C3F79" w:rsidP="00B359C5">
            <w:pPr>
              <w:rPr>
                <w:i/>
              </w:rPr>
            </w:pPr>
            <w:r w:rsidRPr="00EB512D">
              <w:rPr>
                <w:i/>
              </w:rPr>
              <w:t>Aký je ich počet?</w:t>
            </w:r>
          </w:p>
        </w:tc>
      </w:tr>
      <w:tr w:rsidR="007C3F79" w:rsidRPr="00EB512D" w14:paraId="168472C5" w14:textId="77777777" w:rsidTr="00986DBB">
        <w:trPr>
          <w:trHeight w:val="1090"/>
        </w:trPr>
        <w:tc>
          <w:tcPr>
            <w:tcW w:w="9060" w:type="dxa"/>
            <w:tcBorders>
              <w:bottom w:val="single" w:sz="4" w:space="0" w:color="auto"/>
            </w:tcBorders>
          </w:tcPr>
          <w:p w14:paraId="1D8D9CA1" w14:textId="77777777" w:rsidR="007C3F79" w:rsidRPr="00EB512D" w:rsidRDefault="007C3F79" w:rsidP="00B359C5">
            <w:pPr>
              <w:jc w:val="both"/>
              <w:rPr>
                <w:color w:val="000000"/>
              </w:rPr>
            </w:pPr>
            <w:r w:rsidRPr="00EB512D">
              <w:t xml:space="preserve">Vo vzťahu k predkladanému návrhu zákona ide o </w:t>
            </w:r>
            <w:r w:rsidRPr="00EB512D">
              <w:rPr>
                <w:bCs/>
                <w:color w:val="000000"/>
              </w:rPr>
              <w:t xml:space="preserve">rozšírenie možností používania eID, údajov z registra fyzických osôb a evidencie občianskych preukazov pre banky, pobočky zahraničných bánk a telekomunikačných operátorov, poštový podnik a Slovenský pozemkový fond. </w:t>
            </w:r>
            <w:r w:rsidRPr="00EB512D">
              <w:rPr>
                <w:color w:val="000000"/>
              </w:rPr>
              <w:t xml:space="preserve"> </w:t>
            </w:r>
          </w:p>
          <w:p w14:paraId="5CBE95C4" w14:textId="77777777" w:rsidR="007C3F79" w:rsidRPr="00EB512D" w:rsidRDefault="007C3F79" w:rsidP="00B359C5">
            <w:pPr>
              <w:rPr>
                <w:i/>
              </w:rPr>
            </w:pPr>
            <w:proofErr w:type="gramStart"/>
            <w:r w:rsidRPr="00EB512D">
              <w:rPr>
                <w:color w:val="000000"/>
              </w:rPr>
              <w:t>Počet  podnikateľských</w:t>
            </w:r>
            <w:proofErr w:type="gramEnd"/>
            <w:r w:rsidRPr="00EB512D">
              <w:rPr>
                <w:color w:val="000000"/>
              </w:rPr>
              <w:t xml:space="preserve"> subjektov vychádza z počtu subjektov združených v Slovenskej bankovej asociácii, t. j.  25 a počtu najväčších mobilných operátorov, t. j. 4, ale vzhľadom na zoznam podnikov uvedených na webovej stránke: </w:t>
            </w:r>
            <w:hyperlink r:id="rId14" w:history="1">
              <w:r w:rsidRPr="00EB512D">
                <w:rPr>
                  <w:rStyle w:val="Hypertextovprepojenie"/>
                </w:rPr>
                <w:t>https://www.teleoff.gov.sk/zoznam-podnikov/</w:t>
              </w:r>
            </w:hyperlink>
            <w:r w:rsidRPr="00EB512D">
              <w:rPr>
                <w:color w:val="000000"/>
              </w:rPr>
              <w:t xml:space="preserve"> ich môže byť aj viac ako 100.   </w:t>
            </w:r>
          </w:p>
        </w:tc>
      </w:tr>
      <w:tr w:rsidR="007C3F79" w:rsidRPr="00EB512D" w14:paraId="288BF8CE" w14:textId="77777777" w:rsidTr="00986DBB">
        <w:trPr>
          <w:trHeight w:val="339"/>
        </w:trPr>
        <w:tc>
          <w:tcPr>
            <w:tcW w:w="9060" w:type="dxa"/>
            <w:tcBorders>
              <w:bottom w:val="single" w:sz="4" w:space="0" w:color="auto"/>
            </w:tcBorders>
            <w:shd w:val="clear" w:color="auto" w:fill="D9D9D9" w:themeFill="background1" w:themeFillShade="D9"/>
          </w:tcPr>
          <w:p w14:paraId="7233BEFD" w14:textId="77777777" w:rsidR="007C3F79" w:rsidRPr="00EB512D" w:rsidRDefault="007C3F79" w:rsidP="00B359C5">
            <w:pPr>
              <w:rPr>
                <w:b/>
              </w:rPr>
            </w:pPr>
            <w:r w:rsidRPr="00EB512D">
              <w:rPr>
                <w:b/>
              </w:rPr>
              <w:t>3.2 Vyhodnotenie konzultácií</w:t>
            </w:r>
          </w:p>
          <w:p w14:paraId="4632DE6E" w14:textId="77777777" w:rsidR="007C3F79" w:rsidRPr="00EB512D" w:rsidRDefault="007C3F79" w:rsidP="00B359C5">
            <w:pPr>
              <w:rPr>
                <w:b/>
              </w:rPr>
            </w:pPr>
            <w:r w:rsidRPr="00EB512D">
              <w:t xml:space="preserve">       - </w:t>
            </w:r>
            <w:r w:rsidRPr="00EB512D">
              <w:rPr>
                <w:b/>
              </w:rPr>
              <w:t>z toho MSP</w:t>
            </w:r>
          </w:p>
        </w:tc>
      </w:tr>
      <w:tr w:rsidR="007C3F79" w:rsidRPr="00EB512D" w14:paraId="1BEAB54E" w14:textId="77777777" w:rsidTr="00986DBB">
        <w:trPr>
          <w:trHeight w:val="557"/>
        </w:trPr>
        <w:tc>
          <w:tcPr>
            <w:tcW w:w="9060" w:type="dxa"/>
            <w:tcBorders>
              <w:bottom w:val="single" w:sz="4" w:space="0" w:color="auto"/>
            </w:tcBorders>
          </w:tcPr>
          <w:p w14:paraId="1CD4BE52" w14:textId="77777777" w:rsidR="007C3F79" w:rsidRPr="00EB512D" w:rsidRDefault="007C3F79" w:rsidP="00B359C5">
            <w:pPr>
              <w:rPr>
                <w:i/>
              </w:rPr>
            </w:pPr>
            <w:r w:rsidRPr="00EB512D">
              <w:rPr>
                <w:i/>
              </w:rPr>
              <w:t xml:space="preserve">Uveďte, akou formou (verejné alebo cielené konzultácie a prečo) </w:t>
            </w:r>
            <w:proofErr w:type="gramStart"/>
            <w:r w:rsidRPr="00EB512D">
              <w:rPr>
                <w:i/>
              </w:rPr>
              <w:t>a</w:t>
            </w:r>
            <w:proofErr w:type="gramEnd"/>
            <w:r w:rsidRPr="00EB512D">
              <w:rPr>
                <w:i/>
              </w:rPr>
              <w:t xml:space="preserve"> s kým bol návrh konzultovaný.</w:t>
            </w:r>
          </w:p>
          <w:p w14:paraId="28960E35" w14:textId="77777777" w:rsidR="007C3F79" w:rsidRPr="00EB512D" w:rsidRDefault="007C3F79" w:rsidP="00B359C5">
            <w:pPr>
              <w:rPr>
                <w:i/>
              </w:rPr>
            </w:pPr>
            <w:r w:rsidRPr="00EB512D">
              <w:rPr>
                <w:i/>
              </w:rPr>
              <w:t>Ako dlho trvali konzultácie?</w:t>
            </w:r>
          </w:p>
          <w:p w14:paraId="1FABC67F" w14:textId="77777777" w:rsidR="007C3F79" w:rsidRPr="00EB512D" w:rsidRDefault="007C3F79" w:rsidP="00B359C5">
            <w:pPr>
              <w:rPr>
                <w:i/>
              </w:rPr>
            </w:pPr>
            <w:r w:rsidRPr="00EB512D">
              <w:rPr>
                <w:i/>
              </w:rPr>
              <w:t xml:space="preserve">Uveďte hlavné body konzultácií a výsledky konzultácií. </w:t>
            </w:r>
          </w:p>
        </w:tc>
      </w:tr>
      <w:tr w:rsidR="007C3F79" w:rsidRPr="00EB512D" w14:paraId="768E1580" w14:textId="77777777" w:rsidTr="00986DBB">
        <w:trPr>
          <w:trHeight w:val="567"/>
        </w:trPr>
        <w:tc>
          <w:tcPr>
            <w:tcW w:w="9060" w:type="dxa"/>
            <w:tcBorders>
              <w:bottom w:val="single" w:sz="4" w:space="0" w:color="auto"/>
            </w:tcBorders>
          </w:tcPr>
          <w:p w14:paraId="163A2989" w14:textId="77777777" w:rsidR="007C3F79" w:rsidRPr="00EB512D" w:rsidRDefault="007C3F79" w:rsidP="00B359C5">
            <w:pPr>
              <w:jc w:val="both"/>
            </w:pPr>
            <w:r w:rsidRPr="00EB512D">
              <w:t xml:space="preserve">Dňa 02.07.2018 Úrad podpredsedu vlády Slovenskej republiky pre investície </w:t>
            </w:r>
            <w:proofErr w:type="gramStart"/>
            <w:r w:rsidRPr="00EB512D">
              <w:t>a</w:t>
            </w:r>
            <w:proofErr w:type="gramEnd"/>
            <w:r w:rsidRPr="00EB512D">
              <w:t> informatizáciu začal konzultácie s podnikateľskými subjektmi k návrhu zákona, ktorým sa mení a dopĺňa zákon č. 305/2013 Z. z. o elektronickej podobe výkonu pôsobnosti orgánov verejnej moci a o zmene a doplnení niektorých zákonov (zákon o e-Governmente) v znení neskorších predpisov.</w:t>
            </w:r>
          </w:p>
          <w:p w14:paraId="50582916" w14:textId="77777777" w:rsidR="007C3F79" w:rsidRPr="00EB512D" w:rsidRDefault="007C3F79" w:rsidP="00B359C5">
            <w:pPr>
              <w:jc w:val="both"/>
            </w:pPr>
            <w:r w:rsidRPr="00EB512D">
              <w:t>Termín na zaslanie stanovísk bol od 02.07.2018 do 31.07.2018 elektronickou formou na adresu </w:t>
            </w:r>
            <w:hyperlink r:id="rId15" w:history="1">
              <w:r w:rsidRPr="00EB512D">
                <w:rPr>
                  <w:rStyle w:val="Hypertextovprepojenie"/>
                </w:rPr>
                <w:t>egovernment@vicepremier.gov.sk</w:t>
              </w:r>
            </w:hyperlink>
            <w:r w:rsidRPr="00EB512D">
              <w:rPr>
                <w:rStyle w:val="allowtextselection"/>
              </w:rPr>
              <w:t>.</w:t>
            </w:r>
          </w:p>
          <w:p w14:paraId="612D134C" w14:textId="77777777" w:rsidR="007C3F79" w:rsidRPr="00EB512D" w:rsidRDefault="007C3F79" w:rsidP="00B359C5">
            <w:pPr>
              <w:jc w:val="both"/>
            </w:pPr>
            <w:r w:rsidRPr="00EB512D">
              <w:t xml:space="preserve">Predbežná informácia k návrhu zákona bola zverejnená na </w:t>
            </w:r>
            <w:r w:rsidRPr="00EB512D">
              <w:rPr>
                <w:color w:val="000000"/>
                <w:shd w:val="clear" w:color="auto" w:fill="FFFFFF"/>
              </w:rPr>
              <w:t xml:space="preserve">stránke </w:t>
            </w:r>
            <w:hyperlink r:id="rId16" w:tgtFrame="_blank" w:history="1">
              <w:r w:rsidRPr="00EB512D">
                <w:rPr>
                  <w:rStyle w:val="Hypertextovprepojenie"/>
                  <w:shd w:val="clear" w:color="auto" w:fill="FFFFFF"/>
                </w:rPr>
                <w:t>https://www.slov-lex.sk/legislativne-procesy/SK/PI/2018/4</w:t>
              </w:r>
            </w:hyperlink>
            <w:r w:rsidRPr="00EB512D">
              <w:rPr>
                <w:color w:val="000000"/>
                <w:shd w:val="clear" w:color="auto" w:fill="FFFFFF"/>
              </w:rPr>
              <w:t>.</w:t>
            </w:r>
          </w:p>
          <w:p w14:paraId="194A3071" w14:textId="77777777" w:rsidR="007C3F79" w:rsidRPr="00EB512D" w:rsidRDefault="007C3F79" w:rsidP="00B359C5">
            <w:pPr>
              <w:ind w:firstLine="708"/>
              <w:jc w:val="both"/>
            </w:pPr>
            <w:r w:rsidRPr="00EB512D">
              <w:t>Obsahom predkladaného návrhu zákona sú zmeny v nasledovných oblastiach:</w:t>
            </w:r>
          </w:p>
          <w:p w14:paraId="4E310CC2" w14:textId="77777777" w:rsidR="007C3F79" w:rsidRPr="00EB512D" w:rsidRDefault="007C3F79" w:rsidP="007C3F79">
            <w:pPr>
              <w:numPr>
                <w:ilvl w:val="0"/>
                <w:numId w:val="16"/>
              </w:numPr>
              <w:adjustRightInd w:val="0"/>
              <w:ind w:left="1080"/>
              <w:jc w:val="both"/>
              <w:rPr>
                <w:color w:val="000000"/>
              </w:rPr>
            </w:pPr>
            <w:r w:rsidRPr="00EB512D">
              <w:rPr>
                <w:bCs/>
                <w:color w:val="000000"/>
              </w:rPr>
              <w:t>autentifikácia</w:t>
            </w:r>
          </w:p>
          <w:p w14:paraId="4AC340AC" w14:textId="77777777" w:rsidR="007C3F79" w:rsidRPr="00EB512D" w:rsidRDefault="007C3F79" w:rsidP="007C3F79">
            <w:pPr>
              <w:numPr>
                <w:ilvl w:val="1"/>
                <w:numId w:val="16"/>
              </w:numPr>
              <w:adjustRightInd w:val="0"/>
              <w:jc w:val="both"/>
              <w:rPr>
                <w:color w:val="000000"/>
              </w:rPr>
            </w:pPr>
            <w:proofErr w:type="gramStart"/>
            <w:r w:rsidRPr="00EB512D">
              <w:rPr>
                <w:color w:val="000000"/>
              </w:rPr>
              <w:t>doplnenie</w:t>
            </w:r>
            <w:proofErr w:type="gramEnd"/>
            <w:r w:rsidRPr="00EB512D">
              <w:rPr>
                <w:color w:val="000000"/>
              </w:rPr>
              <w:t xml:space="preserve"> identifikačných schém publikovaných podľa nariadenia Európskeho parlamentu a Rady (EÚ) č. 910/2014 z 23. </w:t>
            </w:r>
            <w:proofErr w:type="gramStart"/>
            <w:r w:rsidRPr="00EB512D">
              <w:rPr>
                <w:color w:val="000000"/>
              </w:rPr>
              <w:t>júla</w:t>
            </w:r>
            <w:proofErr w:type="gramEnd"/>
            <w:r w:rsidRPr="00EB512D">
              <w:rPr>
                <w:color w:val="000000"/>
              </w:rPr>
              <w:t xml:space="preserve"> 2014 o elektronickej identifikácii a dôveryhodných službách pre elektronické transakcie na vnútornom trhu a o zrušení smernice 1999/93/ES (Ú. v. EÚ L 257, 28. 8. 2014) (ďalej len “nariadenie eIDAS”), ako povinne podporovaných autentifikátorov,</w:t>
            </w:r>
          </w:p>
          <w:p w14:paraId="3F94EA4A" w14:textId="77777777" w:rsidR="007C3F79" w:rsidRPr="00EB512D" w:rsidRDefault="007C3F79" w:rsidP="007C3F79">
            <w:pPr>
              <w:numPr>
                <w:ilvl w:val="1"/>
                <w:numId w:val="16"/>
              </w:numPr>
              <w:adjustRightInd w:val="0"/>
              <w:jc w:val="both"/>
              <w:rPr>
                <w:color w:val="000000"/>
              </w:rPr>
            </w:pPr>
            <w:r w:rsidRPr="00EB512D">
              <w:rPr>
                <w:color w:val="000000"/>
              </w:rPr>
              <w:t>podmienenie vydania alternatívneho autentifikátora zápisom identifikátora osoby do registra fyzických osôb, alebo pridelením rodného čísla,</w:t>
            </w:r>
          </w:p>
          <w:p w14:paraId="4EECF0A0" w14:textId="77777777" w:rsidR="007C3F79" w:rsidRPr="00EB512D" w:rsidRDefault="007C3F79" w:rsidP="007C3F79">
            <w:pPr>
              <w:numPr>
                <w:ilvl w:val="1"/>
                <w:numId w:val="16"/>
              </w:numPr>
              <w:adjustRightInd w:val="0"/>
              <w:jc w:val="both"/>
              <w:rPr>
                <w:color w:val="000000"/>
              </w:rPr>
            </w:pPr>
            <w:r w:rsidRPr="00EB512D">
              <w:rPr>
                <w:color w:val="000000"/>
              </w:rPr>
              <w:t>legislatívno-technické úpravy ustanovení o spôsoboch autentifikácie,</w:t>
            </w:r>
          </w:p>
          <w:p w14:paraId="72D7F87F" w14:textId="77777777" w:rsidR="007C3F79" w:rsidRPr="00EB512D" w:rsidRDefault="007C3F79" w:rsidP="007C3F79">
            <w:pPr>
              <w:numPr>
                <w:ilvl w:val="0"/>
                <w:numId w:val="16"/>
              </w:numPr>
              <w:adjustRightInd w:val="0"/>
              <w:ind w:left="1080"/>
              <w:jc w:val="both"/>
              <w:rPr>
                <w:color w:val="000000"/>
              </w:rPr>
            </w:pPr>
            <w:r w:rsidRPr="00EB512D">
              <w:rPr>
                <w:bCs/>
                <w:color w:val="000000"/>
              </w:rPr>
              <w:t>elektronické schránky</w:t>
            </w:r>
          </w:p>
          <w:p w14:paraId="62652030" w14:textId="77777777" w:rsidR="007C3F79" w:rsidRPr="00EB512D" w:rsidRDefault="007C3F79" w:rsidP="007C3F79">
            <w:pPr>
              <w:numPr>
                <w:ilvl w:val="1"/>
                <w:numId w:val="16"/>
              </w:numPr>
              <w:adjustRightInd w:val="0"/>
              <w:jc w:val="both"/>
              <w:rPr>
                <w:color w:val="000000"/>
              </w:rPr>
            </w:pPr>
            <w:r w:rsidRPr="00EB512D">
              <w:rPr>
                <w:color w:val="000000"/>
              </w:rPr>
              <w:t>umožnenie začať konať o neúčinnosti doručenia aj bez návrhu adresáta, ak správca modulu elektronických schránok oznámi, že nastal objektívny technický problém s doručovaním,</w:t>
            </w:r>
          </w:p>
          <w:p w14:paraId="5C90BB9C" w14:textId="77777777" w:rsidR="007C3F79" w:rsidRPr="00EB512D" w:rsidRDefault="007C3F79" w:rsidP="007C3F79">
            <w:pPr>
              <w:numPr>
                <w:ilvl w:val="0"/>
                <w:numId w:val="16"/>
              </w:numPr>
              <w:adjustRightInd w:val="0"/>
              <w:ind w:left="1080"/>
              <w:jc w:val="both"/>
              <w:rPr>
                <w:bCs/>
                <w:color w:val="000000"/>
              </w:rPr>
            </w:pPr>
            <w:r w:rsidRPr="00EB512D">
              <w:rPr>
                <w:bCs/>
                <w:color w:val="000000"/>
              </w:rPr>
              <w:lastRenderedPageBreak/>
              <w:t>povinné zverejňovanie nástrojov na tvorbu elektronických podaní prostredníctvom OpenAPI,</w:t>
            </w:r>
          </w:p>
          <w:p w14:paraId="377A3846" w14:textId="77777777" w:rsidR="007C3F79" w:rsidRPr="00EB512D" w:rsidRDefault="007C3F79" w:rsidP="007C3F79">
            <w:pPr>
              <w:numPr>
                <w:ilvl w:val="0"/>
                <w:numId w:val="16"/>
              </w:numPr>
              <w:adjustRightInd w:val="0"/>
              <w:ind w:left="1080"/>
              <w:jc w:val="both"/>
              <w:rPr>
                <w:bCs/>
                <w:color w:val="000000"/>
              </w:rPr>
            </w:pPr>
            <w:r w:rsidRPr="00EB512D">
              <w:rPr>
                <w:bCs/>
                <w:color w:val="000000"/>
              </w:rPr>
              <w:t xml:space="preserve">rozšírenie možností používania eID a údajov z registrov pre subjekty súkromného práva </w:t>
            </w:r>
          </w:p>
          <w:p w14:paraId="66CD9EC8" w14:textId="77777777" w:rsidR="007C3F79" w:rsidRPr="00EB512D" w:rsidRDefault="007C3F79" w:rsidP="007C3F79">
            <w:pPr>
              <w:numPr>
                <w:ilvl w:val="1"/>
                <w:numId w:val="16"/>
              </w:numPr>
              <w:adjustRightInd w:val="0"/>
              <w:jc w:val="both"/>
              <w:rPr>
                <w:color w:val="000000"/>
              </w:rPr>
            </w:pPr>
            <w:r w:rsidRPr="00EB512D">
              <w:rPr>
                <w:color w:val="000000"/>
              </w:rPr>
              <w:t>umožňuje so súhlasom klientov získavať údaje z registra fyzických osôb a používať na overenie totožnosti klientov eID (alebo doklad o pobyte) za rovnakých podmienok, ako v eGov službách,</w:t>
            </w:r>
          </w:p>
          <w:p w14:paraId="79515830" w14:textId="77777777" w:rsidR="007C3F79" w:rsidRPr="00EB512D" w:rsidRDefault="007C3F79" w:rsidP="007C3F79">
            <w:pPr>
              <w:numPr>
                <w:ilvl w:val="0"/>
                <w:numId w:val="16"/>
              </w:numPr>
              <w:tabs>
                <w:tab w:val="num" w:pos="1440"/>
              </w:tabs>
              <w:adjustRightInd w:val="0"/>
              <w:ind w:left="1080"/>
              <w:jc w:val="both"/>
              <w:rPr>
                <w:color w:val="000000"/>
              </w:rPr>
            </w:pPr>
            <w:r w:rsidRPr="00EB512D">
              <w:rPr>
                <w:bCs/>
                <w:color w:val="000000"/>
              </w:rPr>
              <w:t>vypustenie ustanovení o akreditovanom platiteľovi,</w:t>
            </w:r>
          </w:p>
          <w:p w14:paraId="40B11B1B" w14:textId="77777777" w:rsidR="007C3F79" w:rsidRPr="00EB512D" w:rsidRDefault="007C3F79" w:rsidP="007C3F79">
            <w:pPr>
              <w:numPr>
                <w:ilvl w:val="0"/>
                <w:numId w:val="16"/>
              </w:numPr>
              <w:adjustRightInd w:val="0"/>
              <w:ind w:left="1080"/>
              <w:jc w:val="both"/>
              <w:rPr>
                <w:color w:val="000000"/>
              </w:rPr>
            </w:pPr>
            <w:r w:rsidRPr="00EB512D">
              <w:rPr>
                <w:bCs/>
                <w:color w:val="000000"/>
              </w:rPr>
              <w:t>úpravy na základe podnetov z praxe, napríklad</w:t>
            </w:r>
          </w:p>
          <w:p w14:paraId="6569A36A" w14:textId="77777777" w:rsidR="007C3F79" w:rsidRPr="00EB512D" w:rsidRDefault="007C3F79" w:rsidP="007C3F79">
            <w:pPr>
              <w:numPr>
                <w:ilvl w:val="1"/>
                <w:numId w:val="16"/>
              </w:numPr>
              <w:adjustRightInd w:val="0"/>
              <w:jc w:val="both"/>
              <w:rPr>
                <w:color w:val="000000"/>
              </w:rPr>
            </w:pPr>
            <w:r w:rsidRPr="00EB512D">
              <w:rPr>
                <w:color w:val="000000"/>
              </w:rPr>
              <w:t>zrušenie povinnosti spoločného podpisovania rozhodnutí a doložiek právoplatnosti,</w:t>
            </w:r>
          </w:p>
          <w:p w14:paraId="20AEF3B9" w14:textId="77777777" w:rsidR="007C3F79" w:rsidRPr="00EB512D" w:rsidRDefault="007C3F79" w:rsidP="007C3F79">
            <w:pPr>
              <w:numPr>
                <w:ilvl w:val="1"/>
                <w:numId w:val="16"/>
              </w:numPr>
              <w:adjustRightInd w:val="0"/>
              <w:jc w:val="both"/>
              <w:rPr>
                <w:color w:val="000000"/>
              </w:rPr>
            </w:pPr>
            <w:r w:rsidRPr="00EB512D">
              <w:rPr>
                <w:color w:val="000000"/>
              </w:rPr>
              <w:t>úprava vzoru osvedčovacej doložky pri zaručenej konverzii bude vo vykonávacom predpise (zjednotenie doložiek),</w:t>
            </w:r>
          </w:p>
          <w:p w14:paraId="72C8CE5B" w14:textId="77777777" w:rsidR="007C3F79" w:rsidRPr="00EB512D" w:rsidRDefault="007C3F79" w:rsidP="007C3F79">
            <w:pPr>
              <w:numPr>
                <w:ilvl w:val="1"/>
                <w:numId w:val="16"/>
              </w:numPr>
              <w:adjustRightInd w:val="0"/>
              <w:jc w:val="both"/>
              <w:rPr>
                <w:color w:val="000000"/>
              </w:rPr>
            </w:pPr>
            <w:proofErr w:type="gramStart"/>
            <w:r w:rsidRPr="00EB512D">
              <w:rPr>
                <w:color w:val="000000"/>
              </w:rPr>
              <w:t>uľahčenie</w:t>
            </w:r>
            <w:proofErr w:type="gramEnd"/>
            <w:r w:rsidRPr="00EB512D">
              <w:rPr>
                <w:color w:val="000000"/>
              </w:rPr>
              <w:t xml:space="preserve"> poskytovania údajov medzi orgánmi verejnej moci pri použití modulu procesnej integrácie a integrácie údajov. </w:t>
            </w:r>
          </w:p>
          <w:p w14:paraId="1CA16435" w14:textId="77777777" w:rsidR="007C3F79" w:rsidRPr="00EB512D" w:rsidRDefault="007C3F79" w:rsidP="00B359C5">
            <w:pPr>
              <w:jc w:val="both"/>
            </w:pPr>
            <w:r w:rsidRPr="00EB512D">
              <w:t xml:space="preserve">Na základe emailovej komunikácie boli uskutočnené konzultácie priamo so zástupcami Slovenskej bankovej asociácie a Slovak Telekom-u. Zároveň bola na zverejnenú emailovú adresu doručená informácia ku konzultáciám od U. S. Steel Košice, s.r.o., v rámci ktorej boli predložené dve pripomienky. Pripomienky však nesúviseli s predmetom predkladaného návrhu a v uvedenom zmysle im bola zaslaná aj odpoveď.  </w:t>
            </w:r>
          </w:p>
        </w:tc>
      </w:tr>
      <w:tr w:rsidR="007C3F79" w:rsidRPr="00EB512D" w14:paraId="49E43CDB" w14:textId="77777777" w:rsidTr="00986DBB">
        <w:tc>
          <w:tcPr>
            <w:tcW w:w="9060" w:type="dxa"/>
            <w:shd w:val="clear" w:color="auto" w:fill="D9D9D9" w:themeFill="background1" w:themeFillShade="D9"/>
          </w:tcPr>
          <w:p w14:paraId="43DBBDF2" w14:textId="77777777" w:rsidR="007C3F79" w:rsidRPr="00EB512D" w:rsidRDefault="007C3F79" w:rsidP="00B359C5">
            <w:pPr>
              <w:rPr>
                <w:b/>
              </w:rPr>
            </w:pPr>
            <w:r w:rsidRPr="00EB512D">
              <w:rPr>
                <w:b/>
              </w:rPr>
              <w:lastRenderedPageBreak/>
              <w:t>3.3 Náklady regulácie</w:t>
            </w:r>
          </w:p>
          <w:p w14:paraId="6012BCDC" w14:textId="77777777" w:rsidR="007C3F79" w:rsidRPr="00EB512D" w:rsidRDefault="007C3F79" w:rsidP="00B359C5">
            <w:pPr>
              <w:rPr>
                <w:b/>
              </w:rPr>
            </w:pPr>
            <w:r w:rsidRPr="00EB512D">
              <w:t xml:space="preserve">      - </w:t>
            </w:r>
            <w:r w:rsidRPr="00EB512D">
              <w:rPr>
                <w:b/>
              </w:rPr>
              <w:t>z toho MSP</w:t>
            </w:r>
          </w:p>
        </w:tc>
      </w:tr>
      <w:tr w:rsidR="007C3F79" w:rsidRPr="00EB512D" w14:paraId="03512C90" w14:textId="77777777" w:rsidTr="00986DBB">
        <w:tc>
          <w:tcPr>
            <w:tcW w:w="9060" w:type="dxa"/>
            <w:tcBorders>
              <w:bottom w:val="single" w:sz="4" w:space="0" w:color="auto"/>
            </w:tcBorders>
          </w:tcPr>
          <w:p w14:paraId="53FF7DD7" w14:textId="77777777" w:rsidR="007C3F79" w:rsidRPr="00EB512D" w:rsidRDefault="007C3F79" w:rsidP="00B359C5">
            <w:pPr>
              <w:rPr>
                <w:b/>
                <w:i/>
              </w:rPr>
            </w:pPr>
            <w:r w:rsidRPr="00EB512D">
              <w:rPr>
                <w:b/>
                <w:i/>
              </w:rPr>
              <w:t>3.3.1 Priame finančné náklady</w:t>
            </w:r>
          </w:p>
          <w:p w14:paraId="0B8B8A9C" w14:textId="77777777" w:rsidR="007C3F79" w:rsidRPr="00EB512D" w:rsidRDefault="007C3F79" w:rsidP="00B359C5">
            <w:pPr>
              <w:rPr>
                <w:i/>
              </w:rPr>
            </w:pPr>
            <w:r w:rsidRPr="00EB512D">
              <w:rPr>
                <w:i/>
              </w:rPr>
              <w:t xml:space="preserve">Dochádza k zvýšeniu/zníženiu priamych finančných nákladov (poplatky, odvody, dane clá...)? Ak áno, popíšte a vyčíslite ich. Uveďte tiež spôsob ich výpočtu. </w:t>
            </w:r>
          </w:p>
        </w:tc>
      </w:tr>
      <w:tr w:rsidR="007C3F79" w:rsidRPr="00EB512D" w14:paraId="66B72CB5" w14:textId="77777777" w:rsidTr="00986DBB">
        <w:tc>
          <w:tcPr>
            <w:tcW w:w="9060" w:type="dxa"/>
            <w:tcBorders>
              <w:bottom w:val="single" w:sz="4" w:space="0" w:color="auto"/>
            </w:tcBorders>
          </w:tcPr>
          <w:p w14:paraId="5C273207" w14:textId="77777777" w:rsidR="007C3F79" w:rsidRPr="00EB512D" w:rsidRDefault="007C3F79" w:rsidP="00B359C5">
            <w:r w:rsidRPr="00EB512D">
              <w:t xml:space="preserve">Vzhľadom na to, že predkladaným návrhom zákona sa neukladá povinnosť podnikateľským subjektom, ale ide o oprávnenie, uvádzame náklady regulácie bez vplyvu. </w:t>
            </w:r>
          </w:p>
        </w:tc>
      </w:tr>
      <w:tr w:rsidR="007C3F79" w:rsidRPr="00EB512D" w14:paraId="12728699" w14:textId="77777777" w:rsidTr="00986DBB">
        <w:tc>
          <w:tcPr>
            <w:tcW w:w="9060" w:type="dxa"/>
            <w:tcBorders>
              <w:bottom w:val="single" w:sz="4" w:space="0" w:color="auto"/>
            </w:tcBorders>
          </w:tcPr>
          <w:p w14:paraId="1C3AF765" w14:textId="77777777" w:rsidR="007C3F79" w:rsidRPr="00EB512D" w:rsidRDefault="007C3F79" w:rsidP="00B359C5">
            <w:pPr>
              <w:rPr>
                <w:b/>
                <w:i/>
              </w:rPr>
            </w:pPr>
            <w:r w:rsidRPr="00EB512D">
              <w:rPr>
                <w:b/>
                <w:i/>
              </w:rPr>
              <w:t>3.3.2 Nepriame finančné náklady</w:t>
            </w:r>
          </w:p>
          <w:p w14:paraId="1D3196CA" w14:textId="77777777" w:rsidR="007C3F79" w:rsidRPr="00EB512D" w:rsidRDefault="007C3F79" w:rsidP="00B359C5">
            <w:pPr>
              <w:rPr>
                <w:i/>
              </w:rPr>
            </w:pPr>
            <w:r w:rsidRPr="00EB512D">
              <w:rPr>
                <w:i/>
              </w:rPr>
              <w:t>Vyžaduje si predkladaný návrh dodatočné náklady na nákup tovarov alebo služieb? Zvyšuje predkladaný návrh náklady súvisiace so zamestnávaním? Ak áno, popíšte a vyčíslite ich. Uveďte tiež spôsob ich výpočtu.</w:t>
            </w:r>
          </w:p>
        </w:tc>
      </w:tr>
      <w:tr w:rsidR="007C3F79" w:rsidRPr="00EB512D" w14:paraId="435B28A6" w14:textId="77777777" w:rsidTr="00986DBB">
        <w:tc>
          <w:tcPr>
            <w:tcW w:w="9060" w:type="dxa"/>
            <w:tcBorders>
              <w:bottom w:val="single" w:sz="4" w:space="0" w:color="auto"/>
            </w:tcBorders>
          </w:tcPr>
          <w:p w14:paraId="4EA24C6F" w14:textId="77777777" w:rsidR="007C3F79" w:rsidRPr="00EB512D" w:rsidRDefault="007C3F79" w:rsidP="00B359C5">
            <w:pPr>
              <w:rPr>
                <w:b/>
                <w:i/>
              </w:rPr>
            </w:pPr>
            <w:r w:rsidRPr="00EB512D">
              <w:t>Vzhľadom na to, že predkladaným návrhom zákona sa neukladá povinnosť podnikateľským subjektom, ale ide o oprávnenie, uvádzame náklady regulácie bez vplyvu.</w:t>
            </w:r>
          </w:p>
        </w:tc>
      </w:tr>
      <w:tr w:rsidR="007C3F79" w:rsidRPr="00EB512D" w14:paraId="0A087108" w14:textId="77777777" w:rsidTr="00986DBB">
        <w:tc>
          <w:tcPr>
            <w:tcW w:w="9060" w:type="dxa"/>
            <w:tcBorders>
              <w:bottom w:val="single" w:sz="4" w:space="0" w:color="auto"/>
            </w:tcBorders>
          </w:tcPr>
          <w:p w14:paraId="1B33387B" w14:textId="77777777" w:rsidR="007C3F79" w:rsidRPr="00EB512D" w:rsidRDefault="007C3F79" w:rsidP="00B359C5">
            <w:pPr>
              <w:rPr>
                <w:b/>
                <w:i/>
              </w:rPr>
            </w:pPr>
            <w:r w:rsidRPr="00EB512D">
              <w:rPr>
                <w:b/>
                <w:i/>
              </w:rPr>
              <w:t>3.3.3 Administratívne náklady</w:t>
            </w:r>
          </w:p>
          <w:p w14:paraId="170A87CD" w14:textId="77777777" w:rsidR="007C3F79" w:rsidRPr="00EB512D" w:rsidRDefault="007C3F79" w:rsidP="00B359C5">
            <w:pPr>
              <w:rPr>
                <w:i/>
              </w:rPr>
            </w:pPr>
            <w:r w:rsidRPr="00EB512D">
              <w:rPr>
                <w:i/>
              </w:rPr>
              <w:t xml:space="preserve">Dochádza k zavedeniu nových informačných povinností alebo odstráneniu, príp. </w:t>
            </w:r>
            <w:proofErr w:type="gramStart"/>
            <w:r w:rsidRPr="00EB512D">
              <w:rPr>
                <w:i/>
              </w:rPr>
              <w:t>úprave</w:t>
            </w:r>
            <w:proofErr w:type="gramEnd"/>
            <w:r w:rsidRPr="00EB512D">
              <w:rPr>
                <w:i/>
              </w:rPr>
              <w:t xml:space="preserve"> existujúcich informačných povinností? (</w:t>
            </w:r>
            <w:proofErr w:type="gramStart"/>
            <w:r w:rsidRPr="00EB512D">
              <w:rPr>
                <w:i/>
              </w:rPr>
              <w:t>napr</w:t>
            </w:r>
            <w:proofErr w:type="gramEnd"/>
            <w:r w:rsidRPr="00EB512D">
              <w:rPr>
                <w:i/>
              </w:rPr>
              <w:t>. zmena požadovaných dát, zmena frekvencie reportovania, zmena formy predkladania a pod.) Ak áno, popíšte a vyčíslite administratívne náklady. Uveďte tiež spôsob ich výpočtu.</w:t>
            </w:r>
          </w:p>
        </w:tc>
      </w:tr>
      <w:tr w:rsidR="007C3F79" w:rsidRPr="00EB512D" w14:paraId="6CDDAB4D" w14:textId="77777777" w:rsidTr="00986DBB">
        <w:tc>
          <w:tcPr>
            <w:tcW w:w="9060" w:type="dxa"/>
            <w:tcBorders>
              <w:bottom w:val="single" w:sz="4" w:space="0" w:color="auto"/>
            </w:tcBorders>
          </w:tcPr>
          <w:p w14:paraId="00E5042C" w14:textId="77777777" w:rsidR="007C3F79" w:rsidRPr="00EB512D" w:rsidRDefault="007C3F79" w:rsidP="00B359C5">
            <w:pPr>
              <w:jc w:val="both"/>
              <w:rPr>
                <w:b/>
                <w:i/>
              </w:rPr>
            </w:pPr>
            <w:r w:rsidRPr="00EB512D">
              <w:t xml:space="preserve">Vzhľadom na to, že predkladaným návrhom zákona sa neukladá povinnosť podnikateľským subjektom, ale ide o oprávnenie, uvádzame náklady regulácie bez vplyvu. Z hľadiska zvýšenia efektivity poskytovania služieb navrhovaná zmena bude mať vplyv na odstránenie časovej </w:t>
            </w:r>
            <w:proofErr w:type="gramStart"/>
            <w:r w:rsidRPr="00EB512D">
              <w:t>a</w:t>
            </w:r>
            <w:proofErr w:type="gramEnd"/>
            <w:r w:rsidRPr="00EB512D">
              <w:t xml:space="preserve"> administratívnej záťaže na pracovníkov vo vzťahu k zabezpečeniu údajov potrebných na výkon služieb. Jej cieľom je odbremeniť pracovníkov od zbytočnej manuálnej práce a zároveň zvýšiť kvalitu a dostupnosť údajov. Nevytvára nové pracovné miesta pre zamestnancov výskumu a vývoja v SR. Odstránenie časovej záťaže súvisí s úpravou obsiahnutou v predkladanom návrhu zákona v čl. II, čl. V až čl. </w:t>
            </w:r>
            <w:proofErr w:type="gramStart"/>
            <w:r w:rsidRPr="00EB512D">
              <w:t xml:space="preserve">X. Ide o nepriamu novelizáciu zákona o pozemkových úpravách, usporiadaní pozemkového vlastníctva, pozemkových úradoch, pozemkovom fonde a o pozemkových spoločenstvách, zákona o hlásení pobytu občanov Slovenskej republiky a registri obyvateľov Slovenskej republiky, zákona o bankách, zákona o cenných papieroch a investičných službách, zákona o </w:t>
            </w:r>
            <w:r w:rsidRPr="00EB512D">
              <w:lastRenderedPageBreak/>
              <w:t xml:space="preserve">občianskych preukazoch, zákona o poštových službách a zákona o elektronických komunikáciách, ktorá umožní </w:t>
            </w:r>
            <w:r w:rsidRPr="00EB512D">
              <w:rPr>
                <w:color w:val="000000"/>
              </w:rPr>
              <w:t>uľahčenie poskytovania údajov z referenčných registrov a rozšírenie možností používania eID pre vyššie uvedené subjekty súkromného práva.</w:t>
            </w:r>
            <w:proofErr w:type="gramEnd"/>
            <w:r w:rsidRPr="00EB512D">
              <w:rPr>
                <w:color w:val="000000"/>
              </w:rPr>
              <w:t xml:space="preserve"> </w:t>
            </w:r>
          </w:p>
        </w:tc>
      </w:tr>
      <w:tr w:rsidR="007C3F79" w:rsidRPr="00EB512D" w14:paraId="47D74AA2" w14:textId="77777777" w:rsidTr="00986DBB">
        <w:trPr>
          <w:trHeight w:val="2318"/>
        </w:trPr>
        <w:tc>
          <w:tcPr>
            <w:tcW w:w="9060" w:type="dxa"/>
            <w:tcBorders>
              <w:bottom w:val="single" w:sz="4" w:space="0" w:color="auto"/>
            </w:tcBorders>
          </w:tcPr>
          <w:p w14:paraId="0F01A655" w14:textId="77777777" w:rsidR="007C3F79" w:rsidRPr="00EB512D" w:rsidRDefault="007C3F79" w:rsidP="00B359C5">
            <w:pPr>
              <w:rPr>
                <w:i/>
              </w:rPr>
            </w:pPr>
            <w:r w:rsidRPr="00EB512D">
              <w:rPr>
                <w:b/>
                <w:i/>
              </w:rPr>
              <w:lastRenderedPageBreak/>
              <w:t>3.3.4 Súhrnná tabuľka nákladov regulácie</w:t>
            </w:r>
          </w:p>
          <w:p w14:paraId="4D56C58C" w14:textId="77777777" w:rsidR="007C3F79" w:rsidRPr="00EB512D" w:rsidRDefault="007C3F79" w:rsidP="00B359C5"/>
          <w:tbl>
            <w:tblPr>
              <w:tblStyle w:val="Mriekatabuky"/>
              <w:tblW w:w="0" w:type="auto"/>
              <w:tblLook w:val="04A0" w:firstRow="1" w:lastRow="0" w:firstColumn="1" w:lastColumn="0" w:noHBand="0" w:noVBand="1"/>
            </w:tblPr>
            <w:tblGrid>
              <w:gridCol w:w="2950"/>
              <w:gridCol w:w="2940"/>
              <w:gridCol w:w="2944"/>
            </w:tblGrid>
            <w:tr w:rsidR="007C3F79" w:rsidRPr="00EB512D" w14:paraId="27ED176B" w14:textId="77777777" w:rsidTr="00B359C5">
              <w:tc>
                <w:tcPr>
                  <w:tcW w:w="2993" w:type="dxa"/>
                  <w:tcBorders>
                    <w:top w:val="single" w:sz="4" w:space="0" w:color="auto"/>
                    <w:left w:val="single" w:sz="4" w:space="0" w:color="auto"/>
                    <w:bottom w:val="single" w:sz="4" w:space="0" w:color="auto"/>
                    <w:right w:val="single" w:sz="4" w:space="0" w:color="auto"/>
                  </w:tcBorders>
                </w:tcPr>
                <w:p w14:paraId="14E56E51" w14:textId="77777777" w:rsidR="007C3F79" w:rsidRPr="00EB512D" w:rsidRDefault="007C3F79" w:rsidP="00B359C5"/>
              </w:tc>
              <w:tc>
                <w:tcPr>
                  <w:tcW w:w="2994" w:type="dxa"/>
                  <w:tcBorders>
                    <w:top w:val="single" w:sz="4" w:space="0" w:color="auto"/>
                    <w:left w:val="single" w:sz="4" w:space="0" w:color="auto"/>
                    <w:bottom w:val="single" w:sz="4" w:space="0" w:color="auto"/>
                    <w:right w:val="single" w:sz="4" w:space="0" w:color="auto"/>
                  </w:tcBorders>
                </w:tcPr>
                <w:p w14:paraId="40C5E6D4" w14:textId="77777777" w:rsidR="007C3F79" w:rsidRPr="00EB512D" w:rsidRDefault="007C3F79" w:rsidP="00B359C5">
                  <w:pPr>
                    <w:jc w:val="center"/>
                  </w:pPr>
                  <w:r w:rsidRPr="00EB512D">
                    <w:t>Náklady na 1 podnikateľa*</w:t>
                  </w:r>
                </w:p>
              </w:tc>
              <w:tc>
                <w:tcPr>
                  <w:tcW w:w="2994" w:type="dxa"/>
                  <w:tcBorders>
                    <w:top w:val="single" w:sz="4" w:space="0" w:color="auto"/>
                    <w:left w:val="single" w:sz="4" w:space="0" w:color="auto"/>
                    <w:bottom w:val="single" w:sz="4" w:space="0" w:color="auto"/>
                    <w:right w:val="single" w:sz="4" w:space="0" w:color="auto"/>
                  </w:tcBorders>
                </w:tcPr>
                <w:p w14:paraId="03351ED9" w14:textId="77777777" w:rsidR="007C3F79" w:rsidRPr="00EB512D" w:rsidRDefault="007C3F79" w:rsidP="00B359C5">
                  <w:pPr>
                    <w:jc w:val="center"/>
                  </w:pPr>
                  <w:r w:rsidRPr="00EB512D">
                    <w:t>Náklady na celé podnikateľské prostredie</w:t>
                  </w:r>
                </w:p>
              </w:tc>
            </w:tr>
            <w:tr w:rsidR="007C3F79" w:rsidRPr="00EB512D" w14:paraId="561F6CAE" w14:textId="77777777" w:rsidTr="00B359C5">
              <w:tc>
                <w:tcPr>
                  <w:tcW w:w="2993" w:type="dxa"/>
                  <w:tcBorders>
                    <w:top w:val="single" w:sz="4" w:space="0" w:color="auto"/>
                    <w:left w:val="single" w:sz="4" w:space="0" w:color="auto"/>
                    <w:bottom w:val="single" w:sz="4" w:space="0" w:color="auto"/>
                    <w:right w:val="single" w:sz="4" w:space="0" w:color="auto"/>
                  </w:tcBorders>
                </w:tcPr>
                <w:p w14:paraId="4DA81A45" w14:textId="77777777" w:rsidR="007C3F79" w:rsidRPr="00EB512D" w:rsidRDefault="007C3F79" w:rsidP="00B359C5">
                  <w:r w:rsidRPr="00EB512D">
                    <w:t>Priame finančné náklady</w:t>
                  </w:r>
                </w:p>
              </w:tc>
              <w:tc>
                <w:tcPr>
                  <w:tcW w:w="2994" w:type="dxa"/>
                  <w:tcBorders>
                    <w:top w:val="single" w:sz="4" w:space="0" w:color="auto"/>
                    <w:left w:val="single" w:sz="4" w:space="0" w:color="auto"/>
                    <w:bottom w:val="single" w:sz="4" w:space="0" w:color="auto"/>
                    <w:right w:val="single" w:sz="4" w:space="0" w:color="auto"/>
                  </w:tcBorders>
                </w:tcPr>
                <w:p w14:paraId="4504B4F7" w14:textId="77777777" w:rsidR="007C3F79" w:rsidRPr="00EB512D" w:rsidRDefault="007C3F79" w:rsidP="00B359C5">
                  <w:pPr>
                    <w:jc w:val="center"/>
                  </w:pPr>
                  <w:r w:rsidRPr="00EB512D">
                    <w:t>0</w:t>
                  </w:r>
                </w:p>
              </w:tc>
              <w:tc>
                <w:tcPr>
                  <w:tcW w:w="2994" w:type="dxa"/>
                  <w:tcBorders>
                    <w:top w:val="single" w:sz="4" w:space="0" w:color="auto"/>
                    <w:left w:val="single" w:sz="4" w:space="0" w:color="auto"/>
                    <w:bottom w:val="single" w:sz="4" w:space="0" w:color="auto"/>
                    <w:right w:val="single" w:sz="4" w:space="0" w:color="auto"/>
                  </w:tcBorders>
                </w:tcPr>
                <w:p w14:paraId="609F30C9" w14:textId="77777777" w:rsidR="007C3F79" w:rsidRPr="00EB512D" w:rsidRDefault="007C3F79" w:rsidP="00B359C5">
                  <w:pPr>
                    <w:jc w:val="center"/>
                  </w:pPr>
                  <w:r w:rsidRPr="00EB512D">
                    <w:t>0</w:t>
                  </w:r>
                </w:p>
              </w:tc>
            </w:tr>
            <w:tr w:rsidR="007C3F79" w:rsidRPr="00EB512D" w14:paraId="0EB45621" w14:textId="77777777" w:rsidTr="00B359C5">
              <w:tc>
                <w:tcPr>
                  <w:tcW w:w="2993" w:type="dxa"/>
                  <w:tcBorders>
                    <w:top w:val="single" w:sz="4" w:space="0" w:color="auto"/>
                    <w:left w:val="single" w:sz="4" w:space="0" w:color="auto"/>
                    <w:bottom w:val="single" w:sz="4" w:space="0" w:color="auto"/>
                    <w:right w:val="single" w:sz="4" w:space="0" w:color="auto"/>
                  </w:tcBorders>
                </w:tcPr>
                <w:p w14:paraId="0E992B00" w14:textId="77777777" w:rsidR="007C3F79" w:rsidRPr="00EB512D" w:rsidRDefault="007C3F79" w:rsidP="00B359C5">
                  <w:r w:rsidRPr="00EB512D">
                    <w:t>Nepriame finančné náklady</w:t>
                  </w:r>
                </w:p>
              </w:tc>
              <w:tc>
                <w:tcPr>
                  <w:tcW w:w="2994" w:type="dxa"/>
                  <w:tcBorders>
                    <w:top w:val="single" w:sz="4" w:space="0" w:color="auto"/>
                    <w:left w:val="single" w:sz="4" w:space="0" w:color="auto"/>
                    <w:bottom w:val="single" w:sz="4" w:space="0" w:color="auto"/>
                    <w:right w:val="single" w:sz="4" w:space="0" w:color="auto"/>
                  </w:tcBorders>
                </w:tcPr>
                <w:p w14:paraId="25136609" w14:textId="77777777" w:rsidR="007C3F79" w:rsidRPr="00EB512D" w:rsidRDefault="007C3F79" w:rsidP="00B359C5">
                  <w:pPr>
                    <w:jc w:val="center"/>
                  </w:pPr>
                  <w:r w:rsidRPr="00EB512D">
                    <w:t>0</w:t>
                  </w:r>
                </w:p>
              </w:tc>
              <w:tc>
                <w:tcPr>
                  <w:tcW w:w="2994" w:type="dxa"/>
                  <w:tcBorders>
                    <w:top w:val="single" w:sz="4" w:space="0" w:color="auto"/>
                    <w:left w:val="single" w:sz="4" w:space="0" w:color="auto"/>
                    <w:bottom w:val="single" w:sz="4" w:space="0" w:color="auto"/>
                    <w:right w:val="single" w:sz="4" w:space="0" w:color="auto"/>
                  </w:tcBorders>
                </w:tcPr>
                <w:p w14:paraId="743E223C" w14:textId="77777777" w:rsidR="007C3F79" w:rsidRPr="00EB512D" w:rsidRDefault="007C3F79" w:rsidP="00B359C5">
                  <w:pPr>
                    <w:jc w:val="center"/>
                  </w:pPr>
                  <w:r w:rsidRPr="00EB512D">
                    <w:t>0</w:t>
                  </w:r>
                </w:p>
              </w:tc>
            </w:tr>
            <w:tr w:rsidR="007C3F79" w:rsidRPr="00EB512D" w14:paraId="11DBBEE2" w14:textId="77777777" w:rsidTr="00B359C5">
              <w:tc>
                <w:tcPr>
                  <w:tcW w:w="2993" w:type="dxa"/>
                  <w:tcBorders>
                    <w:top w:val="single" w:sz="4" w:space="0" w:color="auto"/>
                    <w:left w:val="single" w:sz="4" w:space="0" w:color="auto"/>
                    <w:bottom w:val="single" w:sz="4" w:space="0" w:color="auto"/>
                    <w:right w:val="single" w:sz="4" w:space="0" w:color="auto"/>
                  </w:tcBorders>
                </w:tcPr>
                <w:p w14:paraId="3758ED0E" w14:textId="77777777" w:rsidR="007C3F79" w:rsidRPr="00EB512D" w:rsidRDefault="007C3F79" w:rsidP="00B359C5">
                  <w:r w:rsidRPr="00EB512D">
                    <w:t>Administratívne náklady</w:t>
                  </w:r>
                </w:p>
              </w:tc>
              <w:tc>
                <w:tcPr>
                  <w:tcW w:w="2994" w:type="dxa"/>
                  <w:tcBorders>
                    <w:top w:val="single" w:sz="4" w:space="0" w:color="auto"/>
                    <w:left w:val="single" w:sz="4" w:space="0" w:color="auto"/>
                    <w:bottom w:val="single" w:sz="4" w:space="0" w:color="auto"/>
                    <w:right w:val="single" w:sz="4" w:space="0" w:color="auto"/>
                  </w:tcBorders>
                </w:tcPr>
                <w:p w14:paraId="698B0D59" w14:textId="77777777" w:rsidR="007C3F79" w:rsidRPr="00EB512D" w:rsidRDefault="007C3F79" w:rsidP="00B359C5">
                  <w:pPr>
                    <w:jc w:val="center"/>
                  </w:pPr>
                  <w:r w:rsidRPr="00EB512D">
                    <w:t>NA</w:t>
                  </w:r>
                </w:p>
              </w:tc>
              <w:tc>
                <w:tcPr>
                  <w:tcW w:w="2994" w:type="dxa"/>
                  <w:tcBorders>
                    <w:top w:val="single" w:sz="4" w:space="0" w:color="auto"/>
                    <w:left w:val="single" w:sz="4" w:space="0" w:color="auto"/>
                    <w:bottom w:val="single" w:sz="4" w:space="0" w:color="auto"/>
                    <w:right w:val="single" w:sz="4" w:space="0" w:color="auto"/>
                  </w:tcBorders>
                </w:tcPr>
                <w:p w14:paraId="168BF251" w14:textId="77777777" w:rsidR="007C3F79" w:rsidRPr="00EB512D" w:rsidRDefault="007C3F79" w:rsidP="00B359C5">
                  <w:pPr>
                    <w:jc w:val="center"/>
                  </w:pPr>
                  <w:r w:rsidRPr="00EB512D">
                    <w:t>0</w:t>
                  </w:r>
                </w:p>
              </w:tc>
            </w:tr>
            <w:tr w:rsidR="007C3F79" w:rsidRPr="00EB512D" w14:paraId="24C30554" w14:textId="77777777" w:rsidTr="00B359C5">
              <w:tc>
                <w:tcPr>
                  <w:tcW w:w="2993" w:type="dxa"/>
                  <w:tcBorders>
                    <w:top w:val="single" w:sz="4" w:space="0" w:color="auto"/>
                    <w:left w:val="single" w:sz="4" w:space="0" w:color="auto"/>
                    <w:bottom w:val="single" w:sz="4" w:space="0" w:color="auto"/>
                    <w:right w:val="single" w:sz="4" w:space="0" w:color="auto"/>
                  </w:tcBorders>
                </w:tcPr>
                <w:p w14:paraId="36369315" w14:textId="77777777" w:rsidR="007C3F79" w:rsidRPr="00EB512D" w:rsidRDefault="007C3F79" w:rsidP="00B359C5">
                  <w:pPr>
                    <w:rPr>
                      <w:b/>
                    </w:rPr>
                  </w:pPr>
                  <w:r w:rsidRPr="00EB512D">
                    <w:rPr>
                      <w:b/>
                    </w:rPr>
                    <w:t>Celkové náklady regulácie</w:t>
                  </w:r>
                </w:p>
              </w:tc>
              <w:tc>
                <w:tcPr>
                  <w:tcW w:w="2994" w:type="dxa"/>
                  <w:tcBorders>
                    <w:top w:val="single" w:sz="4" w:space="0" w:color="auto"/>
                    <w:left w:val="single" w:sz="4" w:space="0" w:color="auto"/>
                    <w:bottom w:val="single" w:sz="4" w:space="0" w:color="auto"/>
                    <w:right w:val="single" w:sz="4" w:space="0" w:color="auto"/>
                  </w:tcBorders>
                </w:tcPr>
                <w:p w14:paraId="66B56232" w14:textId="77777777" w:rsidR="007C3F79" w:rsidRPr="00EB512D" w:rsidRDefault="007C3F79" w:rsidP="00B359C5">
                  <w:pPr>
                    <w:jc w:val="center"/>
                    <w:rPr>
                      <w:b/>
                    </w:rPr>
                  </w:pPr>
                  <w:r w:rsidRPr="00EB512D">
                    <w:rPr>
                      <w:b/>
                    </w:rPr>
                    <w:t>NA</w:t>
                  </w:r>
                </w:p>
              </w:tc>
              <w:tc>
                <w:tcPr>
                  <w:tcW w:w="2994" w:type="dxa"/>
                  <w:tcBorders>
                    <w:top w:val="single" w:sz="4" w:space="0" w:color="auto"/>
                    <w:left w:val="single" w:sz="4" w:space="0" w:color="auto"/>
                    <w:bottom w:val="single" w:sz="4" w:space="0" w:color="auto"/>
                    <w:right w:val="single" w:sz="4" w:space="0" w:color="auto"/>
                  </w:tcBorders>
                </w:tcPr>
                <w:p w14:paraId="578502A3" w14:textId="77777777" w:rsidR="007C3F79" w:rsidRPr="00EB512D" w:rsidRDefault="007C3F79" w:rsidP="00B359C5">
                  <w:pPr>
                    <w:jc w:val="center"/>
                    <w:rPr>
                      <w:b/>
                    </w:rPr>
                  </w:pPr>
                  <w:r w:rsidRPr="00EB512D">
                    <w:rPr>
                      <w:b/>
                    </w:rPr>
                    <w:t>0</w:t>
                  </w:r>
                </w:p>
              </w:tc>
            </w:tr>
          </w:tbl>
          <w:p w14:paraId="68B02062" w14:textId="77777777" w:rsidR="007C3F79" w:rsidRPr="00EB512D" w:rsidRDefault="007C3F79" w:rsidP="00B359C5">
            <w:pPr>
              <w:rPr>
                <w:i/>
              </w:rPr>
            </w:pPr>
            <w:r w:rsidRPr="00EB512D">
              <w:rPr>
                <w:i/>
              </w:rPr>
              <w:t>* nárast nákladov na jedného podnikateľa nie je možné presne vyčísliť, keďže nie sú k dispozícii údaje o počte podnikateľských subjektov, ktoré využívajú uvedené spoplatnené služby; vplyv na jedného podnikateľa je prepočítaný na všetky podnikateľské subjekty v SR</w:t>
            </w:r>
            <w:r w:rsidRPr="00EB512D">
              <w:t>.</w:t>
            </w:r>
          </w:p>
        </w:tc>
      </w:tr>
      <w:tr w:rsidR="007C3F79" w:rsidRPr="00EB512D" w14:paraId="7EF31CA1" w14:textId="77777777" w:rsidTr="00986DBB">
        <w:tc>
          <w:tcPr>
            <w:tcW w:w="9060" w:type="dxa"/>
            <w:shd w:val="clear" w:color="auto" w:fill="D9D9D9" w:themeFill="background1" w:themeFillShade="D9"/>
          </w:tcPr>
          <w:p w14:paraId="29570C6F" w14:textId="77777777" w:rsidR="007C3F79" w:rsidRPr="00EB512D" w:rsidRDefault="007C3F79" w:rsidP="00B359C5">
            <w:pPr>
              <w:rPr>
                <w:b/>
              </w:rPr>
            </w:pPr>
            <w:r w:rsidRPr="00EB512D">
              <w:rPr>
                <w:b/>
              </w:rPr>
              <w:t>3.4 Konkurencieschopnosť a správanie sa podnikov na trhu</w:t>
            </w:r>
          </w:p>
          <w:p w14:paraId="0B84C12A" w14:textId="77777777" w:rsidR="007C3F79" w:rsidRPr="00EB512D" w:rsidRDefault="007C3F79" w:rsidP="00B359C5">
            <w:r w:rsidRPr="00EB512D">
              <w:rPr>
                <w:b/>
              </w:rPr>
              <w:t xml:space="preserve">       </w:t>
            </w:r>
            <w:r w:rsidRPr="00EB512D">
              <w:t xml:space="preserve">- </w:t>
            </w:r>
            <w:r w:rsidRPr="00EB512D">
              <w:rPr>
                <w:b/>
              </w:rPr>
              <w:t>z toho MSP</w:t>
            </w:r>
          </w:p>
        </w:tc>
      </w:tr>
      <w:tr w:rsidR="007C3F79" w:rsidRPr="00EB512D" w14:paraId="6DF67555" w14:textId="77777777" w:rsidTr="00986DBB">
        <w:tc>
          <w:tcPr>
            <w:tcW w:w="9060" w:type="dxa"/>
            <w:tcBorders>
              <w:bottom w:val="single" w:sz="4" w:space="0" w:color="auto"/>
            </w:tcBorders>
          </w:tcPr>
          <w:p w14:paraId="4F9E4B6B" w14:textId="77777777" w:rsidR="007C3F79" w:rsidRPr="00EB512D" w:rsidRDefault="007C3F79" w:rsidP="00B359C5">
            <w:pPr>
              <w:rPr>
                <w:i/>
              </w:rPr>
            </w:pPr>
            <w:r w:rsidRPr="00EB512D">
              <w:rPr>
                <w:i/>
              </w:rPr>
              <w:t xml:space="preserve">Dochádza k vytvoreniu bariér pre vstup na trh pre nových dodávateľov alebo poskytovateľov služieb? Bude mať navrhovaná zmena za následok prísnejšiu reguláciu správania sa niektorých </w:t>
            </w:r>
            <w:proofErr w:type="gramStart"/>
            <w:r w:rsidRPr="00EB512D">
              <w:rPr>
                <w:i/>
              </w:rPr>
              <w:t>podnikov?</w:t>
            </w:r>
            <w:proofErr w:type="gramEnd"/>
            <w:r w:rsidRPr="00EB512D">
              <w:rPr>
                <w:i/>
              </w:rPr>
              <w:t xml:space="preserve"> Bude sa s niektorými podnikmi alebo produktmi zaobchádzať v porovnateľnej situácii rôzne (špeciálne režimy pre mikro, malé a stredné podniky tzv. MSP)? Ak áno, popíšte.</w:t>
            </w:r>
          </w:p>
          <w:p w14:paraId="06C01653" w14:textId="77777777" w:rsidR="007C3F79" w:rsidRPr="00EB512D" w:rsidRDefault="007C3F79" w:rsidP="00B359C5">
            <w:pPr>
              <w:rPr>
                <w:i/>
              </w:rPr>
            </w:pPr>
            <w:r w:rsidRPr="00EB512D">
              <w:rPr>
                <w:i/>
              </w:rPr>
              <w:t xml:space="preserve">Aký vplyv bude mať navrhovaná zmena na obchodné </w:t>
            </w:r>
            <w:proofErr w:type="gramStart"/>
            <w:r w:rsidRPr="00EB512D">
              <w:rPr>
                <w:i/>
              </w:rPr>
              <w:t>bariéry?</w:t>
            </w:r>
            <w:proofErr w:type="gramEnd"/>
            <w:r w:rsidRPr="00EB512D">
              <w:rPr>
                <w:i/>
              </w:rPr>
              <w:t xml:space="preserve"> Bude mať vplyv na vyvolanie cezhraničných investícií (príliv /odliv zahraničných investícií resp. uplatnenie slovenských podnikov na zahraničných trhoch)</w:t>
            </w:r>
            <w:proofErr w:type="gramStart"/>
            <w:r w:rsidRPr="00EB512D">
              <w:rPr>
                <w:i/>
              </w:rPr>
              <w:t>?</w:t>
            </w:r>
            <w:proofErr w:type="gramEnd"/>
            <w:r w:rsidRPr="00EB512D">
              <w:rPr>
                <w:i/>
              </w:rPr>
              <w:t xml:space="preserve"> Ak áno, popíšte.</w:t>
            </w:r>
          </w:p>
          <w:p w14:paraId="12252873" w14:textId="77777777" w:rsidR="007C3F79" w:rsidRPr="00EB512D" w:rsidRDefault="007C3F79" w:rsidP="00B359C5">
            <w:pPr>
              <w:rPr>
                <w:i/>
              </w:rPr>
            </w:pPr>
            <w:r w:rsidRPr="00EB512D">
              <w:rPr>
                <w:i/>
              </w:rPr>
              <w:t>Ako ovplyvní cenu alebo dostupnosť základných zdrojov (suroviny, mechanizmy, pracovná sila, energie atď.)?</w:t>
            </w:r>
          </w:p>
          <w:p w14:paraId="368D8364" w14:textId="77777777" w:rsidR="007C3F79" w:rsidRPr="00EB512D" w:rsidRDefault="007C3F79" w:rsidP="00B359C5">
            <w:pPr>
              <w:rPr>
                <w:i/>
              </w:rPr>
            </w:pPr>
            <w:r w:rsidRPr="00EB512D">
              <w:rPr>
                <w:i/>
              </w:rPr>
              <w:t>Ovplyvňuje prístup k financiám? Ak áno, ako?</w:t>
            </w:r>
          </w:p>
        </w:tc>
      </w:tr>
      <w:tr w:rsidR="007C3F79" w:rsidRPr="00EB512D" w14:paraId="58F918CB" w14:textId="77777777" w:rsidTr="00986DBB">
        <w:trPr>
          <w:trHeight w:val="327"/>
        </w:trPr>
        <w:tc>
          <w:tcPr>
            <w:tcW w:w="9060" w:type="dxa"/>
            <w:tcBorders>
              <w:bottom w:val="single" w:sz="4" w:space="0" w:color="auto"/>
            </w:tcBorders>
          </w:tcPr>
          <w:p w14:paraId="23002E33" w14:textId="77777777" w:rsidR="007C3F79" w:rsidRPr="00EB512D" w:rsidRDefault="007C3F79" w:rsidP="00B359C5">
            <w:pPr>
              <w:rPr>
                <w:i/>
              </w:rPr>
            </w:pPr>
            <w:r w:rsidRPr="00EB512D">
              <w:t xml:space="preserve">Nie. </w:t>
            </w:r>
          </w:p>
        </w:tc>
      </w:tr>
      <w:tr w:rsidR="007C3F79" w:rsidRPr="00EB512D" w14:paraId="17BB66D2" w14:textId="77777777" w:rsidTr="00986DBB">
        <w:tc>
          <w:tcPr>
            <w:tcW w:w="9060" w:type="dxa"/>
            <w:shd w:val="clear" w:color="auto" w:fill="D9D9D9" w:themeFill="background1" w:themeFillShade="D9"/>
          </w:tcPr>
          <w:p w14:paraId="6738FB69" w14:textId="77777777" w:rsidR="007C3F79" w:rsidRPr="00EB512D" w:rsidRDefault="007C3F79" w:rsidP="00B359C5">
            <w:pPr>
              <w:rPr>
                <w:b/>
              </w:rPr>
            </w:pPr>
            <w:r w:rsidRPr="00EB512D">
              <w:rPr>
                <w:b/>
              </w:rPr>
              <w:t xml:space="preserve">3.5 Inovácie </w:t>
            </w:r>
          </w:p>
          <w:p w14:paraId="1011D8EB" w14:textId="77777777" w:rsidR="007C3F79" w:rsidRPr="00EB512D" w:rsidRDefault="007C3F79" w:rsidP="00B359C5">
            <w:pPr>
              <w:rPr>
                <w:b/>
              </w:rPr>
            </w:pPr>
            <w:r w:rsidRPr="00EB512D">
              <w:t xml:space="preserve">       - </w:t>
            </w:r>
            <w:r w:rsidRPr="00EB512D">
              <w:rPr>
                <w:b/>
              </w:rPr>
              <w:t>z toho MSP</w:t>
            </w:r>
          </w:p>
        </w:tc>
      </w:tr>
      <w:tr w:rsidR="007C3F79" w:rsidRPr="00EB512D" w14:paraId="7F78C79F" w14:textId="77777777" w:rsidTr="00986DBB">
        <w:tc>
          <w:tcPr>
            <w:tcW w:w="9060" w:type="dxa"/>
          </w:tcPr>
          <w:p w14:paraId="0B6449A7" w14:textId="77777777" w:rsidR="007C3F79" w:rsidRPr="00EB512D" w:rsidRDefault="007C3F79" w:rsidP="00B359C5">
            <w:pPr>
              <w:rPr>
                <w:i/>
              </w:rPr>
            </w:pPr>
            <w:r w:rsidRPr="00EB512D">
              <w:rPr>
                <w:i/>
              </w:rPr>
              <w:t>Uveďte, ako podporuje navrhovaná zmena inovácie.</w:t>
            </w:r>
          </w:p>
          <w:p w14:paraId="216A4A76" w14:textId="77777777" w:rsidR="007C3F79" w:rsidRPr="00EB512D" w:rsidRDefault="007C3F79" w:rsidP="00B359C5">
            <w:pPr>
              <w:rPr>
                <w:i/>
              </w:rPr>
            </w:pPr>
            <w:r w:rsidRPr="00EB512D">
              <w:rPr>
                <w:i/>
              </w:rPr>
              <w:t>Zjednodušuje uvedenie alebo rozšírenie nových výrobných metód, technológií a výrobkov na trh?</w:t>
            </w:r>
          </w:p>
          <w:p w14:paraId="05B74C97" w14:textId="77777777" w:rsidR="007C3F79" w:rsidRPr="00EB512D" w:rsidRDefault="007C3F79" w:rsidP="00B359C5">
            <w:pPr>
              <w:rPr>
                <w:i/>
              </w:rPr>
            </w:pPr>
            <w:r w:rsidRPr="00EB512D">
              <w:rPr>
                <w:i/>
              </w:rPr>
              <w:t xml:space="preserve">Uveďte, ako vplýva navrhovaná zmena na jednotlivé práva duševného vlastníctva (napr. patenty, ochranné známky, autorské práva, vlastníctvo </w:t>
            </w:r>
            <w:proofErr w:type="gramStart"/>
            <w:r w:rsidRPr="00EB512D">
              <w:rPr>
                <w:i/>
              </w:rPr>
              <w:t>know-how</w:t>
            </w:r>
            <w:proofErr w:type="gramEnd"/>
            <w:r w:rsidRPr="00EB512D">
              <w:rPr>
                <w:i/>
              </w:rPr>
              <w:t>).</w:t>
            </w:r>
          </w:p>
          <w:p w14:paraId="6401E76A" w14:textId="77777777" w:rsidR="007C3F79" w:rsidRPr="00EB512D" w:rsidRDefault="007C3F79" w:rsidP="00B359C5">
            <w:pPr>
              <w:rPr>
                <w:i/>
              </w:rPr>
            </w:pPr>
            <w:r w:rsidRPr="00EB512D">
              <w:rPr>
                <w:i/>
              </w:rPr>
              <w:t>Podporuje vyššiu efektivitu výroby/využívania zdrojov? Ak áno, ako?</w:t>
            </w:r>
          </w:p>
          <w:p w14:paraId="3817ADF1" w14:textId="77777777" w:rsidR="007C3F79" w:rsidRPr="00EB512D" w:rsidRDefault="007C3F79" w:rsidP="00B359C5">
            <w:r w:rsidRPr="00EB512D">
              <w:rPr>
                <w:i/>
              </w:rPr>
              <w:t>Vytvorí zmena nové pracovné miesta pre zamestnancov výskumu a vývoja v SR?</w:t>
            </w:r>
          </w:p>
        </w:tc>
      </w:tr>
      <w:tr w:rsidR="007C3F79" w:rsidRPr="00EB512D" w14:paraId="26E5A5B4" w14:textId="77777777" w:rsidTr="00986DBB">
        <w:trPr>
          <w:trHeight w:val="1747"/>
        </w:trPr>
        <w:tc>
          <w:tcPr>
            <w:tcW w:w="9060" w:type="dxa"/>
          </w:tcPr>
          <w:p w14:paraId="578F0D21" w14:textId="77777777" w:rsidR="007C3F79" w:rsidRPr="00EB512D" w:rsidRDefault="007C3F79" w:rsidP="00B359C5">
            <w:pPr>
              <w:jc w:val="both"/>
              <w:rPr>
                <w:color w:val="000000"/>
              </w:rPr>
            </w:pPr>
            <w:r w:rsidRPr="00EB512D">
              <w:t>Zjednodušuje procesy a poskytovanie služieb pre podnikateľské subjekty v nadväznosti na využívanie</w:t>
            </w:r>
            <w:r w:rsidRPr="00EB512D">
              <w:rPr>
                <w:color w:val="000000"/>
              </w:rPr>
              <w:t xml:space="preserve"> výsledkov projektov v oblasti eGov služieb a zabezpečuje sprostredkovanie kontaktu užívateľov, občanov a podnikateľov.  </w:t>
            </w:r>
          </w:p>
          <w:p w14:paraId="25F79A42" w14:textId="77777777" w:rsidR="007C3F79" w:rsidRPr="00EB512D" w:rsidRDefault="007C3F79" w:rsidP="00B359C5">
            <w:pPr>
              <w:jc w:val="both"/>
              <w:rPr>
                <w:i/>
              </w:rPr>
            </w:pPr>
            <w:r w:rsidRPr="00EB512D">
              <w:t xml:space="preserve">Z hľadiska zvýšenia efektivity poskytovania služieb navrhovaná zmena bude mať vplyv na odstránenie časovej </w:t>
            </w:r>
            <w:proofErr w:type="gramStart"/>
            <w:r w:rsidRPr="00EB512D">
              <w:t>a</w:t>
            </w:r>
            <w:proofErr w:type="gramEnd"/>
            <w:r w:rsidRPr="00EB512D">
              <w:t xml:space="preserve"> administratívnej záťaže na pracovníkov vo vzťahu k zabezpečeniu údajov potrebných na výkon služieb. Jej cieľom je odbremeniť pracovníkov od zbytočnej manuálnej práce a zároveň zvýšiť kvalitu a dostupnosť údajov. Nevytvára nové pracovné miesta pre zamestnancov výskumu a vývoja v SR. </w:t>
            </w:r>
          </w:p>
        </w:tc>
      </w:tr>
    </w:tbl>
    <w:p w14:paraId="5312A80E" w14:textId="77777777" w:rsidR="007C3F79" w:rsidRPr="00EB512D" w:rsidRDefault="007C3F79" w:rsidP="007C3F79">
      <w:pPr>
        <w:rPr>
          <w:b/>
        </w:rPr>
      </w:pPr>
    </w:p>
    <w:p w14:paraId="09D8EE46" w14:textId="77777777" w:rsidR="00986DBB" w:rsidRPr="00EB512D" w:rsidRDefault="00986DBB" w:rsidP="007C3F79">
      <w:pPr>
        <w:spacing w:before="240"/>
        <w:jc w:val="center"/>
        <w:rPr>
          <w:b/>
          <w:sz w:val="28"/>
        </w:rPr>
      </w:pPr>
    </w:p>
    <w:p w14:paraId="74D81C21" w14:textId="05AC1B7D" w:rsidR="007C3F79" w:rsidRPr="00EB512D" w:rsidRDefault="007C3F79" w:rsidP="007C3F79"/>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7C3F79" w:rsidRPr="00EB512D" w14:paraId="66CF9F09" w14:textId="77777777" w:rsidTr="00B359C5">
        <w:trPr>
          <w:trHeight w:val="822"/>
        </w:trPr>
        <w:tc>
          <w:tcPr>
            <w:tcW w:w="9371" w:type="dxa"/>
            <w:shd w:val="clear" w:color="auto" w:fill="BFBFBF"/>
            <w:vAlign w:val="center"/>
          </w:tcPr>
          <w:p w14:paraId="5BE6EE7E" w14:textId="77777777" w:rsidR="007C3F79" w:rsidRPr="00EB512D" w:rsidRDefault="007C3F79" w:rsidP="00B359C5">
            <w:pPr>
              <w:jc w:val="center"/>
              <w:rPr>
                <w:b/>
                <w:bCs/>
                <w:sz w:val="32"/>
                <w:szCs w:val="32"/>
              </w:rPr>
            </w:pPr>
            <w:r w:rsidRPr="00EB512D">
              <w:rPr>
                <w:b/>
                <w:bCs/>
                <w:sz w:val="32"/>
                <w:szCs w:val="32"/>
              </w:rPr>
              <w:lastRenderedPageBreak/>
              <w:t>Analýza vplyvov na služby verejnej správy pre občana</w:t>
            </w:r>
          </w:p>
          <w:p w14:paraId="45584804" w14:textId="77777777" w:rsidR="007C3F79" w:rsidRPr="00EB512D" w:rsidRDefault="007C3F79" w:rsidP="00B359C5">
            <w:pPr>
              <w:rPr>
                <w:b/>
                <w:i/>
                <w:iCs/>
                <w:sz w:val="2"/>
                <w:szCs w:val="22"/>
              </w:rPr>
            </w:pPr>
          </w:p>
        </w:tc>
      </w:tr>
      <w:tr w:rsidR="007C3F79" w:rsidRPr="00EB512D" w14:paraId="3231884B" w14:textId="77777777" w:rsidTr="00B359C5">
        <w:trPr>
          <w:trHeight w:val="367"/>
        </w:trPr>
        <w:tc>
          <w:tcPr>
            <w:tcW w:w="9371" w:type="dxa"/>
            <w:shd w:val="clear" w:color="auto" w:fill="C0C0C0"/>
            <w:vAlign w:val="center"/>
          </w:tcPr>
          <w:p w14:paraId="46151774" w14:textId="77777777" w:rsidR="007C3F79" w:rsidRPr="00EB512D" w:rsidRDefault="007C3F79" w:rsidP="00B359C5">
            <w:pPr>
              <w:jc w:val="center"/>
              <w:rPr>
                <w:b/>
                <w:sz w:val="28"/>
                <w:szCs w:val="28"/>
              </w:rPr>
            </w:pPr>
            <w:r w:rsidRPr="00EB512D">
              <w:rPr>
                <w:b/>
                <w:sz w:val="28"/>
                <w:szCs w:val="28"/>
              </w:rPr>
              <w:t xml:space="preserve">7.1 Identifikácia služby verejnej správy, ktorá je dotknutá návrhom </w:t>
            </w:r>
          </w:p>
        </w:tc>
      </w:tr>
      <w:tr w:rsidR="007C3F79" w:rsidRPr="00EB512D" w14:paraId="79975460" w14:textId="77777777" w:rsidTr="00B359C5">
        <w:trPr>
          <w:trHeight w:val="316"/>
        </w:trPr>
        <w:tc>
          <w:tcPr>
            <w:tcW w:w="9371" w:type="dxa"/>
          </w:tcPr>
          <w:p w14:paraId="31468634" w14:textId="77777777" w:rsidR="007C3F79" w:rsidRPr="00EB512D" w:rsidRDefault="007C3F79" w:rsidP="00B359C5">
            <w:pPr>
              <w:rPr>
                <w:b/>
                <w:i/>
                <w:sz w:val="22"/>
                <w:szCs w:val="22"/>
              </w:rPr>
            </w:pPr>
            <w:r w:rsidRPr="00EB512D">
              <w:rPr>
                <w:b/>
              </w:rPr>
              <w:t>7.1.1 Predpokladá predložený návrh zmenu existujúcej služby verejnej správy alebo vytvorenie novej služby?</w:t>
            </w:r>
            <w:r w:rsidRPr="00EB512D">
              <w:rPr>
                <w:i/>
                <w:sz w:val="22"/>
                <w:szCs w:val="22"/>
              </w:rPr>
              <w:t xml:space="preserve"> </w:t>
            </w:r>
          </w:p>
        </w:tc>
      </w:tr>
      <w:tr w:rsidR="007C3F79" w:rsidRPr="00EB512D" w14:paraId="604AAA4A" w14:textId="77777777" w:rsidTr="00B359C5">
        <w:trPr>
          <w:trHeight w:val="296"/>
        </w:trPr>
        <w:tc>
          <w:tcPr>
            <w:tcW w:w="9371" w:type="dxa"/>
          </w:tcPr>
          <w:p w14:paraId="3D8CDEC3" w14:textId="77777777" w:rsidR="007C3F79" w:rsidRPr="00EB512D" w:rsidRDefault="007C3F79" w:rsidP="00B359C5">
            <w:pPr>
              <w:rPr>
                <w:b/>
                <w:i/>
                <w:sz w:val="22"/>
                <w:szCs w:val="22"/>
              </w:rPr>
            </w:pPr>
            <w:r w:rsidRPr="00EB512D">
              <w:rPr>
                <w:i/>
                <w:sz w:val="22"/>
                <w:szCs w:val="22"/>
              </w:rPr>
              <w:t xml:space="preserve">Zmena existujúcej služby (konkretizujte a popíšte) </w:t>
            </w:r>
          </w:p>
        </w:tc>
      </w:tr>
      <w:tr w:rsidR="007C3F79" w:rsidRPr="00EB512D" w14:paraId="7E18A010" w14:textId="77777777" w:rsidTr="00B359C5">
        <w:trPr>
          <w:trHeight w:val="655"/>
        </w:trPr>
        <w:tc>
          <w:tcPr>
            <w:tcW w:w="9371" w:type="dxa"/>
          </w:tcPr>
          <w:p w14:paraId="2B73D5B7" w14:textId="77777777" w:rsidR="007C3F79" w:rsidRPr="00EB512D" w:rsidRDefault="007C3F79" w:rsidP="00B359C5">
            <w:pPr>
              <w:rPr>
                <w:sz w:val="22"/>
                <w:szCs w:val="22"/>
              </w:rPr>
            </w:pPr>
            <w:r w:rsidRPr="00EB512D">
              <w:rPr>
                <w:sz w:val="22"/>
                <w:szCs w:val="22"/>
              </w:rPr>
              <w:t xml:space="preserve">Obsahom zmien je rozšírenie možností používania eID a údajov z registra fyzických osôb a evidencie občianskych preukazov pre banky, pobočky zahraničných bánk a telekomunikačných operátorov, poštový podnik a Slovenský pozemkový fond. Navrhuje sa umožniť získavať údaje z registra fyzických osôb a používať na overenie totožnosti klientov eID (alebo doklad o pobyte) za rovnakých podmienok, ako v eGov službách, teda ako pri procese autentifikácie napr. </w:t>
            </w:r>
            <w:proofErr w:type="gramStart"/>
            <w:r w:rsidRPr="00EB512D">
              <w:rPr>
                <w:sz w:val="22"/>
                <w:szCs w:val="22"/>
              </w:rPr>
              <w:t>na</w:t>
            </w:r>
            <w:proofErr w:type="gramEnd"/>
            <w:r w:rsidRPr="00EB512D">
              <w:rPr>
                <w:sz w:val="22"/>
                <w:szCs w:val="22"/>
              </w:rPr>
              <w:t xml:space="preserve"> portáli slovensko.sk.</w:t>
            </w:r>
          </w:p>
          <w:p w14:paraId="15DA987D" w14:textId="77777777" w:rsidR="007C3F79" w:rsidRPr="00EB512D" w:rsidRDefault="007C3F79" w:rsidP="00B359C5">
            <w:pPr>
              <w:rPr>
                <w:sz w:val="22"/>
                <w:szCs w:val="22"/>
              </w:rPr>
            </w:pPr>
            <w:r w:rsidRPr="00EB512D">
              <w:rPr>
                <w:sz w:val="22"/>
                <w:szCs w:val="22"/>
              </w:rPr>
              <w:t xml:space="preserve">Cieľom týchto úprav je pokračovať vo využívaní výsledkov projektov v oblasti eGov služieb aj na účely kontaktu ich užívateľov, občanov a podnikateľov, so subjektmi v súkromnej sfére.   </w:t>
            </w:r>
          </w:p>
        </w:tc>
      </w:tr>
      <w:tr w:rsidR="007C3F79" w:rsidRPr="00EB512D" w14:paraId="49BA8821" w14:textId="77777777" w:rsidTr="00B359C5">
        <w:trPr>
          <w:trHeight w:val="212"/>
        </w:trPr>
        <w:tc>
          <w:tcPr>
            <w:tcW w:w="9371" w:type="dxa"/>
          </w:tcPr>
          <w:p w14:paraId="11C18FE9" w14:textId="77777777" w:rsidR="007C3F79" w:rsidRPr="00EB512D" w:rsidRDefault="007C3F79" w:rsidP="00B359C5">
            <w:pPr>
              <w:rPr>
                <w:i/>
                <w:sz w:val="22"/>
                <w:szCs w:val="22"/>
              </w:rPr>
            </w:pPr>
            <w:r w:rsidRPr="00EB512D">
              <w:rPr>
                <w:i/>
                <w:sz w:val="22"/>
                <w:szCs w:val="22"/>
              </w:rPr>
              <w:t>Nová služba (konkretizujte a popíšte)</w:t>
            </w:r>
          </w:p>
        </w:tc>
      </w:tr>
      <w:tr w:rsidR="007C3F79" w:rsidRPr="00EB512D" w14:paraId="2693BE56" w14:textId="77777777" w:rsidTr="00B359C5">
        <w:trPr>
          <w:trHeight w:val="338"/>
        </w:trPr>
        <w:tc>
          <w:tcPr>
            <w:tcW w:w="9371" w:type="dxa"/>
          </w:tcPr>
          <w:p w14:paraId="14053375" w14:textId="77777777" w:rsidR="007C3F79" w:rsidRPr="00EB512D" w:rsidRDefault="007C3F79" w:rsidP="00B359C5">
            <w:pPr>
              <w:rPr>
                <w:sz w:val="22"/>
                <w:szCs w:val="22"/>
              </w:rPr>
            </w:pPr>
            <w:r w:rsidRPr="00EB512D">
              <w:rPr>
                <w:sz w:val="22"/>
                <w:szCs w:val="22"/>
              </w:rPr>
              <w:t>Nie</w:t>
            </w:r>
          </w:p>
        </w:tc>
      </w:tr>
      <w:tr w:rsidR="007C3F79" w:rsidRPr="00EB512D" w14:paraId="62034DBA" w14:textId="77777777" w:rsidTr="00B359C5">
        <w:trPr>
          <w:trHeight w:val="248"/>
        </w:trPr>
        <w:tc>
          <w:tcPr>
            <w:tcW w:w="9371" w:type="dxa"/>
          </w:tcPr>
          <w:p w14:paraId="0CF9B0E1" w14:textId="77777777" w:rsidR="007C3F79" w:rsidRPr="00EB512D" w:rsidRDefault="007C3F79" w:rsidP="00B359C5">
            <w:pPr>
              <w:rPr>
                <w:b/>
              </w:rPr>
            </w:pPr>
            <w:r w:rsidRPr="00EB512D">
              <w:rPr>
                <w:b/>
              </w:rPr>
              <w:t>7.1.2 Špecifikácia služby verejnej správy, ktorá je dotknutá návrhom</w:t>
            </w:r>
          </w:p>
        </w:tc>
      </w:tr>
      <w:tr w:rsidR="007C3F79" w:rsidRPr="00EB512D" w14:paraId="5C5551BD" w14:textId="77777777" w:rsidTr="00B359C5">
        <w:trPr>
          <w:trHeight w:val="248"/>
        </w:trPr>
        <w:tc>
          <w:tcPr>
            <w:tcW w:w="9371" w:type="dxa"/>
          </w:tcPr>
          <w:p w14:paraId="33C9B5EF" w14:textId="77777777" w:rsidR="007C3F79" w:rsidRPr="00EB512D" w:rsidRDefault="007C3F79" w:rsidP="00B359C5">
            <w:pPr>
              <w:rPr>
                <w:i/>
                <w:sz w:val="22"/>
                <w:szCs w:val="22"/>
              </w:rPr>
            </w:pPr>
            <w:r w:rsidRPr="00EB512D">
              <w:rPr>
                <w:i/>
                <w:sz w:val="22"/>
                <w:szCs w:val="22"/>
              </w:rPr>
              <w:t xml:space="preserve">Názov služby </w:t>
            </w:r>
          </w:p>
        </w:tc>
      </w:tr>
      <w:tr w:rsidR="007C3F79" w:rsidRPr="00EB512D" w14:paraId="000D792F" w14:textId="77777777" w:rsidTr="00B359C5">
        <w:trPr>
          <w:trHeight w:val="545"/>
        </w:trPr>
        <w:tc>
          <w:tcPr>
            <w:tcW w:w="9371" w:type="dxa"/>
          </w:tcPr>
          <w:p w14:paraId="502D972D" w14:textId="77777777" w:rsidR="007C3F79" w:rsidRPr="00EB512D" w:rsidRDefault="007C3F79" w:rsidP="00B359C5">
            <w:pPr>
              <w:rPr>
                <w:sz w:val="22"/>
                <w:szCs w:val="22"/>
              </w:rPr>
            </w:pPr>
            <w:r w:rsidRPr="00EB512D">
              <w:rPr>
                <w:sz w:val="22"/>
                <w:szCs w:val="22"/>
              </w:rPr>
              <w:t xml:space="preserve">Navrhuje sa umožniť získavať údaje z registra fyzických osôb a používať na overenie totožnosti klientov eID (alebo doklad o pobyte) za rovnakých podmienok, ako v eGov službách, teda ako pri procese autentifikácie (napr. na portáli slovensko.sk) aj na účely kontaktu ich užívateľov, občanov a podnikateľov, so subjektmi v súkromnej sfére. Subjekt, ktorý je na základe platnej právnej úpravy oprávnený službu poskytovať je </w:t>
            </w:r>
            <w:proofErr w:type="gramStart"/>
            <w:r w:rsidRPr="00EB512D">
              <w:rPr>
                <w:sz w:val="22"/>
                <w:szCs w:val="22"/>
              </w:rPr>
              <w:t>ten orgán</w:t>
            </w:r>
            <w:proofErr w:type="gramEnd"/>
            <w:r w:rsidRPr="00EB512D">
              <w:rPr>
                <w:sz w:val="22"/>
                <w:szCs w:val="22"/>
              </w:rPr>
              <w:t xml:space="preserve"> verejnej moci, ktorý bude poskytovať súčinnosť pri poskytovaní údajov uvedených v bode 7.1.1. </w:t>
            </w:r>
            <w:proofErr w:type="gramStart"/>
            <w:r w:rsidRPr="00EB512D">
              <w:rPr>
                <w:sz w:val="22"/>
                <w:szCs w:val="22"/>
              </w:rPr>
              <w:t>pre</w:t>
            </w:r>
            <w:proofErr w:type="gramEnd"/>
            <w:r w:rsidRPr="00EB512D">
              <w:rPr>
                <w:sz w:val="22"/>
                <w:szCs w:val="22"/>
              </w:rPr>
              <w:t xml:space="preserve"> banky, pobočky zahraničných bánk a telekomunikačných operátorov, poštový podnik a Slovenský pozemkový fond. </w:t>
            </w:r>
          </w:p>
        </w:tc>
      </w:tr>
      <w:tr w:rsidR="007C3F79" w:rsidRPr="00EB512D" w14:paraId="253F84D1" w14:textId="77777777" w:rsidTr="00B359C5">
        <w:trPr>
          <w:trHeight w:val="248"/>
        </w:trPr>
        <w:tc>
          <w:tcPr>
            <w:tcW w:w="9371" w:type="dxa"/>
          </w:tcPr>
          <w:p w14:paraId="1FEEBFC4" w14:textId="77777777" w:rsidR="007C3F79" w:rsidRPr="00EB512D" w:rsidRDefault="007C3F79" w:rsidP="00B359C5">
            <w:pPr>
              <w:rPr>
                <w:b/>
                <w:i/>
                <w:sz w:val="22"/>
                <w:szCs w:val="22"/>
              </w:rPr>
            </w:pPr>
            <w:r w:rsidRPr="00EB512D">
              <w:rPr>
                <w:i/>
                <w:sz w:val="22"/>
                <w:szCs w:val="22"/>
              </w:rPr>
              <w:t>Platná právna úprava, na základe ktorej je služba poskytovaná (ak ide o zmenu existujúcej služby)</w:t>
            </w:r>
          </w:p>
        </w:tc>
      </w:tr>
      <w:tr w:rsidR="007C3F79" w:rsidRPr="00EB512D" w14:paraId="26F61EDF" w14:textId="77777777" w:rsidTr="00B359C5">
        <w:trPr>
          <w:trHeight w:val="630"/>
        </w:trPr>
        <w:tc>
          <w:tcPr>
            <w:tcW w:w="9371" w:type="dxa"/>
          </w:tcPr>
          <w:p w14:paraId="10D71966" w14:textId="77777777" w:rsidR="007C3F79" w:rsidRPr="00EB512D" w:rsidRDefault="007C3F79" w:rsidP="00B359C5">
            <w:pPr>
              <w:rPr>
                <w:sz w:val="22"/>
                <w:szCs w:val="22"/>
              </w:rPr>
            </w:pPr>
            <w:proofErr w:type="gramStart"/>
            <w:r w:rsidRPr="00EB512D">
              <w:rPr>
                <w:sz w:val="22"/>
                <w:szCs w:val="22"/>
              </w:rPr>
              <w:t>Zákon č. 330/1991 Zb. o pozemkových úpravách, usporiadaní pozemkového vlastníctva, pozemkových úradoch, pozemkovom fonde a o pozemkových spoločenstvách v znení neskorších predpisov (§ 34e), Zákon č. 253/1998 Z. z. o hlásení pobytu občanov Slovenskej republiky a registri obyvateľov Slovenskej republiky v znení neskorších predpisov (§ 23a ods. 2), Zákon č. 483/2001 Z. z. o bankách a o zmene a doplnení niektorých zákonov v znení neskorších predpisov (§ 89), Zákon č. 566/2001 Z. z. o cenných papieroch a investičných službách a o zmene a doplnení niektorých zákonov (§ 99), Zákon č. 224/2006 Z. z. o občianskych preukazoch v znení neskorších predpisov (§ 15), Zákon č. 324/2011 Z .z. o poštových službách a o zmene a doplnení niektorých zákonov (§ 11), Zákon č. 351/2011 Z. z. o elektronických komunikáciách v znení neskorších predpisov (§ 43 a § 56).</w:t>
            </w:r>
            <w:proofErr w:type="gramEnd"/>
            <w:r w:rsidRPr="00EB512D">
              <w:rPr>
                <w:sz w:val="22"/>
                <w:szCs w:val="22"/>
              </w:rPr>
              <w:t xml:space="preserve">  </w:t>
            </w:r>
          </w:p>
        </w:tc>
      </w:tr>
      <w:tr w:rsidR="007C3F79" w:rsidRPr="00EB512D" w14:paraId="01675932" w14:textId="77777777" w:rsidTr="00B359C5">
        <w:trPr>
          <w:trHeight w:val="220"/>
        </w:trPr>
        <w:tc>
          <w:tcPr>
            <w:tcW w:w="9371" w:type="dxa"/>
          </w:tcPr>
          <w:p w14:paraId="4B0B090F" w14:textId="77777777" w:rsidR="007C3F79" w:rsidRPr="00EB512D" w:rsidRDefault="007C3F79" w:rsidP="00B359C5">
            <w:pPr>
              <w:rPr>
                <w:b/>
                <w:i/>
                <w:sz w:val="22"/>
                <w:szCs w:val="22"/>
              </w:rPr>
            </w:pPr>
            <w:r w:rsidRPr="00EB512D">
              <w:rPr>
                <w:i/>
                <w:sz w:val="22"/>
                <w:szCs w:val="22"/>
              </w:rPr>
              <w:t xml:space="preserve">Subjekt, ktorý je na základe platnej právnej úpravy oprávnený službu poskytovať </w:t>
            </w:r>
          </w:p>
        </w:tc>
      </w:tr>
      <w:tr w:rsidR="007C3F79" w:rsidRPr="00EB512D" w14:paraId="411C1669" w14:textId="77777777" w:rsidTr="00B359C5">
        <w:trPr>
          <w:trHeight w:val="421"/>
        </w:trPr>
        <w:tc>
          <w:tcPr>
            <w:tcW w:w="9371" w:type="dxa"/>
          </w:tcPr>
          <w:p w14:paraId="74D59759" w14:textId="77777777" w:rsidR="007C3F79" w:rsidRPr="00EB512D" w:rsidRDefault="007C3F79" w:rsidP="00B359C5">
            <w:pPr>
              <w:rPr>
                <w:sz w:val="22"/>
                <w:szCs w:val="22"/>
              </w:rPr>
            </w:pPr>
            <w:r w:rsidRPr="00EB512D">
              <w:rPr>
                <w:sz w:val="22"/>
                <w:szCs w:val="22"/>
              </w:rPr>
              <w:t xml:space="preserve">Banky, pobočky zahraničných bánk a telekomunikační operátori, poštový podnik a Slovenský pozemkový fond.  </w:t>
            </w:r>
          </w:p>
        </w:tc>
      </w:tr>
      <w:tr w:rsidR="007C3F79" w:rsidRPr="00EB512D" w14:paraId="79EC65F9" w14:textId="77777777" w:rsidTr="00B359C5">
        <w:trPr>
          <w:trHeight w:val="423"/>
        </w:trPr>
        <w:tc>
          <w:tcPr>
            <w:tcW w:w="9371" w:type="dxa"/>
          </w:tcPr>
          <w:p w14:paraId="6D94A0DE" w14:textId="77777777" w:rsidR="007C3F79" w:rsidRPr="00EB512D" w:rsidRDefault="007C3F79" w:rsidP="00B359C5">
            <w:pPr>
              <w:rPr>
                <w:b/>
                <w:i/>
                <w:sz w:val="22"/>
                <w:szCs w:val="22"/>
              </w:rPr>
            </w:pPr>
            <w:r w:rsidRPr="00EB512D">
              <w:rPr>
                <w:b/>
              </w:rPr>
              <w:t xml:space="preserve">7.1.3 O aký vplyv na službu verejnej správy ide? </w:t>
            </w:r>
          </w:p>
        </w:tc>
      </w:tr>
      <w:tr w:rsidR="007C3F79" w:rsidRPr="00EB512D" w14:paraId="0DB0A238" w14:textId="77777777" w:rsidTr="00B359C5">
        <w:trPr>
          <w:trHeight w:val="256"/>
        </w:trPr>
        <w:tc>
          <w:tcPr>
            <w:tcW w:w="9371" w:type="dxa"/>
          </w:tcPr>
          <w:p w14:paraId="7D10EF13" w14:textId="77777777" w:rsidR="007C3F79" w:rsidRPr="00EB512D" w:rsidRDefault="007C3F79" w:rsidP="00B359C5">
            <w:pPr>
              <w:rPr>
                <w:b/>
                <w:i/>
                <w:sz w:val="22"/>
                <w:szCs w:val="22"/>
              </w:rPr>
            </w:pPr>
            <w:r w:rsidRPr="00EB512D">
              <w:rPr>
                <w:i/>
                <w:sz w:val="22"/>
                <w:szCs w:val="22"/>
              </w:rPr>
              <w:t xml:space="preserve">Priamy vplyv (popíšte) </w:t>
            </w:r>
          </w:p>
        </w:tc>
      </w:tr>
      <w:tr w:rsidR="007C3F79" w:rsidRPr="00EB512D" w14:paraId="1774E361" w14:textId="77777777" w:rsidTr="00B359C5">
        <w:trPr>
          <w:trHeight w:val="543"/>
        </w:trPr>
        <w:tc>
          <w:tcPr>
            <w:tcW w:w="9371" w:type="dxa"/>
          </w:tcPr>
          <w:p w14:paraId="4C4BEAA0" w14:textId="77777777" w:rsidR="007C3F79" w:rsidRPr="00EB512D" w:rsidRDefault="007C3F79" w:rsidP="00B359C5">
            <w:pPr>
              <w:rPr>
                <w:sz w:val="22"/>
                <w:szCs w:val="22"/>
              </w:rPr>
            </w:pPr>
            <w:r w:rsidRPr="00EB512D">
              <w:rPr>
                <w:sz w:val="22"/>
                <w:szCs w:val="22"/>
              </w:rPr>
              <w:t xml:space="preserve">Možnosť získavať údaje z registra fyzických osôb a používať na overenie totožnosti klientov eID (alebo doklad o pobyte) za rovnakých podmienok ako v eGov službách pre banky, pobočky zahraničných bánk a telekomunikačných operátorov, poštový podnik a Slovenský pozemkový fond.   </w:t>
            </w:r>
          </w:p>
        </w:tc>
      </w:tr>
      <w:tr w:rsidR="007C3F79" w:rsidRPr="00EB512D" w14:paraId="140CF13D" w14:textId="77777777" w:rsidTr="00B359C5">
        <w:trPr>
          <w:trHeight w:val="20"/>
        </w:trPr>
        <w:tc>
          <w:tcPr>
            <w:tcW w:w="9371" w:type="dxa"/>
          </w:tcPr>
          <w:p w14:paraId="7A43BF40" w14:textId="77777777" w:rsidR="007C3F79" w:rsidRPr="00EB512D" w:rsidRDefault="007C3F79" w:rsidP="00B359C5">
            <w:pPr>
              <w:rPr>
                <w:b/>
                <w:i/>
                <w:sz w:val="22"/>
                <w:szCs w:val="22"/>
              </w:rPr>
            </w:pPr>
            <w:r w:rsidRPr="00EB512D">
              <w:rPr>
                <w:i/>
                <w:sz w:val="22"/>
                <w:szCs w:val="22"/>
              </w:rPr>
              <w:t xml:space="preserve">Nepriamy vplyv (popíšte) </w:t>
            </w:r>
          </w:p>
        </w:tc>
      </w:tr>
      <w:tr w:rsidR="007C3F79" w:rsidRPr="00EB512D" w14:paraId="4DA3F566" w14:textId="77777777" w:rsidTr="00B359C5">
        <w:trPr>
          <w:trHeight w:val="431"/>
        </w:trPr>
        <w:tc>
          <w:tcPr>
            <w:tcW w:w="9371" w:type="dxa"/>
          </w:tcPr>
          <w:p w14:paraId="4F8F75B8" w14:textId="77777777" w:rsidR="007C3F79" w:rsidRPr="00EB512D" w:rsidRDefault="007C3F79" w:rsidP="00B359C5">
            <w:pPr>
              <w:rPr>
                <w:sz w:val="22"/>
                <w:szCs w:val="22"/>
              </w:rPr>
            </w:pPr>
            <w:r w:rsidRPr="00EB512D">
              <w:rPr>
                <w:sz w:val="22"/>
                <w:szCs w:val="22"/>
              </w:rPr>
              <w:t xml:space="preserve">Žiadny. </w:t>
            </w:r>
          </w:p>
        </w:tc>
      </w:tr>
      <w:tr w:rsidR="007C3F79" w:rsidRPr="00EB512D" w14:paraId="70E9F903" w14:textId="77777777" w:rsidTr="00B359C5">
        <w:trPr>
          <w:trHeight w:val="20"/>
        </w:trPr>
        <w:tc>
          <w:tcPr>
            <w:tcW w:w="9371" w:type="dxa"/>
            <w:shd w:val="clear" w:color="auto" w:fill="C0C0C0"/>
            <w:vAlign w:val="center"/>
          </w:tcPr>
          <w:p w14:paraId="260A36ED" w14:textId="77777777" w:rsidR="007C3F79" w:rsidRPr="00EB512D" w:rsidRDefault="007C3F79" w:rsidP="00B359C5">
            <w:pPr>
              <w:jc w:val="center"/>
              <w:rPr>
                <w:b/>
                <w:sz w:val="28"/>
                <w:szCs w:val="28"/>
              </w:rPr>
            </w:pPr>
            <w:r w:rsidRPr="00EB512D">
              <w:rPr>
                <w:b/>
                <w:sz w:val="28"/>
                <w:szCs w:val="28"/>
              </w:rPr>
              <w:t>7.2 Vplyv služieb verejnej správy na občana</w:t>
            </w:r>
          </w:p>
        </w:tc>
      </w:tr>
      <w:tr w:rsidR="007C3F79" w:rsidRPr="00EB512D" w14:paraId="17E16AA7" w14:textId="77777777" w:rsidTr="00B359C5">
        <w:trPr>
          <w:trHeight w:val="388"/>
        </w:trPr>
        <w:tc>
          <w:tcPr>
            <w:tcW w:w="9371" w:type="dxa"/>
          </w:tcPr>
          <w:p w14:paraId="5B02DCE7" w14:textId="77777777" w:rsidR="007C3F79" w:rsidRPr="00EB512D" w:rsidRDefault="007C3F79" w:rsidP="00B359C5">
            <w:pPr>
              <w:rPr>
                <w:b/>
              </w:rPr>
            </w:pPr>
          </w:p>
        </w:tc>
      </w:tr>
      <w:tr w:rsidR="007C3F79" w:rsidRPr="00EB512D" w14:paraId="557E2822" w14:textId="77777777" w:rsidTr="00B359C5">
        <w:trPr>
          <w:trHeight w:val="226"/>
        </w:trPr>
        <w:tc>
          <w:tcPr>
            <w:tcW w:w="9371" w:type="dxa"/>
          </w:tcPr>
          <w:p w14:paraId="3DC54F40" w14:textId="77777777" w:rsidR="007C3F79" w:rsidRPr="00EB512D" w:rsidRDefault="007C3F79" w:rsidP="00B359C5">
            <w:pPr>
              <w:rPr>
                <w:b/>
              </w:rPr>
            </w:pPr>
            <w:r w:rsidRPr="00EB512D">
              <w:rPr>
                <w:i/>
              </w:rPr>
              <w:t xml:space="preserve">Zníženie priamych finančných nákladov </w:t>
            </w:r>
          </w:p>
        </w:tc>
      </w:tr>
      <w:tr w:rsidR="007C3F79" w:rsidRPr="00EB512D" w14:paraId="39873407" w14:textId="77777777" w:rsidTr="00B359C5">
        <w:trPr>
          <w:trHeight w:val="384"/>
        </w:trPr>
        <w:tc>
          <w:tcPr>
            <w:tcW w:w="9371" w:type="dxa"/>
          </w:tcPr>
          <w:p w14:paraId="63D6910B" w14:textId="77777777" w:rsidR="007C3F79" w:rsidRPr="00EB512D" w:rsidRDefault="007C3F79" w:rsidP="00B359C5">
            <w:r w:rsidRPr="00EB512D">
              <w:t>Nemá vplyv</w:t>
            </w:r>
          </w:p>
        </w:tc>
      </w:tr>
      <w:tr w:rsidR="007C3F79" w:rsidRPr="00EB512D" w14:paraId="49227467" w14:textId="77777777" w:rsidTr="00B359C5">
        <w:trPr>
          <w:trHeight w:val="294"/>
        </w:trPr>
        <w:tc>
          <w:tcPr>
            <w:tcW w:w="9371" w:type="dxa"/>
          </w:tcPr>
          <w:p w14:paraId="12E3D300" w14:textId="77777777" w:rsidR="007C3F79" w:rsidRPr="00EB512D" w:rsidRDefault="007C3F79" w:rsidP="00B359C5">
            <w:pPr>
              <w:rPr>
                <w:i/>
              </w:rPr>
            </w:pPr>
            <w:r w:rsidRPr="00EB512D">
              <w:rPr>
                <w:i/>
              </w:rPr>
              <w:t>Zvýšenie priamych finančných nákladov</w:t>
            </w:r>
          </w:p>
        </w:tc>
      </w:tr>
      <w:tr w:rsidR="007C3F79" w:rsidRPr="00EB512D" w14:paraId="0CCAC6D6" w14:textId="77777777" w:rsidTr="00B359C5">
        <w:trPr>
          <w:trHeight w:val="498"/>
        </w:trPr>
        <w:tc>
          <w:tcPr>
            <w:tcW w:w="9371" w:type="dxa"/>
          </w:tcPr>
          <w:p w14:paraId="49D85F3F" w14:textId="77777777" w:rsidR="007C3F79" w:rsidRPr="00EB512D" w:rsidRDefault="007C3F79" w:rsidP="00B359C5">
            <w:r w:rsidRPr="00EB512D">
              <w:t>Nemá vplyv</w:t>
            </w:r>
          </w:p>
        </w:tc>
      </w:tr>
      <w:tr w:rsidR="007C3F79" w:rsidRPr="00EB512D" w14:paraId="196A57F9" w14:textId="77777777" w:rsidTr="00B359C5">
        <w:trPr>
          <w:trHeight w:val="214"/>
        </w:trPr>
        <w:tc>
          <w:tcPr>
            <w:tcW w:w="9371" w:type="dxa"/>
          </w:tcPr>
          <w:p w14:paraId="5A3AB624" w14:textId="77777777" w:rsidR="007C3F79" w:rsidRPr="00EB512D" w:rsidRDefault="007C3F79" w:rsidP="00B359C5">
            <w:pPr>
              <w:rPr>
                <w:i/>
              </w:rPr>
            </w:pPr>
            <w:r w:rsidRPr="00EB512D">
              <w:rPr>
                <w:i/>
              </w:rPr>
              <w:t>Zníženie nepriamych finančných nákladov</w:t>
            </w:r>
          </w:p>
        </w:tc>
      </w:tr>
      <w:tr w:rsidR="007C3F79" w:rsidRPr="00EB512D" w14:paraId="4D1EB39A" w14:textId="77777777" w:rsidTr="00B359C5">
        <w:trPr>
          <w:trHeight w:val="511"/>
        </w:trPr>
        <w:tc>
          <w:tcPr>
            <w:tcW w:w="9371" w:type="dxa"/>
          </w:tcPr>
          <w:p w14:paraId="1FBDBD95" w14:textId="77777777" w:rsidR="007C3F79" w:rsidRPr="00EB512D" w:rsidRDefault="007C3F79" w:rsidP="00B359C5">
            <w:r w:rsidRPr="00EB512D">
              <w:t>Nemá vplyv</w:t>
            </w:r>
          </w:p>
        </w:tc>
      </w:tr>
      <w:tr w:rsidR="007C3F79" w:rsidRPr="00EB512D" w14:paraId="10F53134" w14:textId="77777777" w:rsidTr="00B359C5">
        <w:trPr>
          <w:trHeight w:val="388"/>
        </w:trPr>
        <w:tc>
          <w:tcPr>
            <w:tcW w:w="9371" w:type="dxa"/>
          </w:tcPr>
          <w:p w14:paraId="2DDCF6CF" w14:textId="77777777" w:rsidR="007C3F79" w:rsidRPr="00EB512D" w:rsidRDefault="007C3F79" w:rsidP="00B359C5">
            <w:pPr>
              <w:rPr>
                <w:i/>
              </w:rPr>
            </w:pPr>
            <w:r w:rsidRPr="00EB512D">
              <w:rPr>
                <w:i/>
              </w:rPr>
              <w:t>Zvýšenie nepriamych finančných nákladov</w:t>
            </w:r>
          </w:p>
        </w:tc>
      </w:tr>
      <w:tr w:rsidR="007C3F79" w:rsidRPr="00EB512D" w14:paraId="61728100" w14:textId="77777777" w:rsidTr="00B359C5">
        <w:trPr>
          <w:trHeight w:val="415"/>
        </w:trPr>
        <w:tc>
          <w:tcPr>
            <w:tcW w:w="9371" w:type="dxa"/>
          </w:tcPr>
          <w:p w14:paraId="296D4EBD" w14:textId="77777777" w:rsidR="007C3F79" w:rsidRPr="00EB512D" w:rsidRDefault="007C3F79" w:rsidP="00B359C5">
            <w:pPr>
              <w:tabs>
                <w:tab w:val="left" w:pos="1635"/>
              </w:tabs>
            </w:pPr>
            <w:r w:rsidRPr="00EB512D">
              <w:t>Nemá vplyv</w:t>
            </w:r>
          </w:p>
        </w:tc>
      </w:tr>
      <w:tr w:rsidR="007C3F79" w:rsidRPr="00EB512D" w14:paraId="23153D90" w14:textId="77777777" w:rsidTr="00B359C5">
        <w:trPr>
          <w:trHeight w:val="388"/>
        </w:trPr>
        <w:tc>
          <w:tcPr>
            <w:tcW w:w="9371" w:type="dxa"/>
          </w:tcPr>
          <w:p w14:paraId="00CBBCC3" w14:textId="77777777" w:rsidR="007C3F79" w:rsidRPr="00EB512D" w:rsidRDefault="007C3F79" w:rsidP="00B359C5">
            <w:pPr>
              <w:rPr>
                <w:i/>
                <w:iCs/>
              </w:rPr>
            </w:pPr>
            <w:r w:rsidRPr="00EB512D">
              <w:rPr>
                <w:b/>
              </w:rPr>
              <w:t xml:space="preserve">7.2.2 Časový vplyv </w:t>
            </w:r>
          </w:p>
        </w:tc>
      </w:tr>
      <w:tr w:rsidR="007C3F79" w:rsidRPr="00EB512D" w14:paraId="4CC19152" w14:textId="77777777" w:rsidTr="00B359C5">
        <w:trPr>
          <w:trHeight w:val="20"/>
        </w:trPr>
        <w:tc>
          <w:tcPr>
            <w:tcW w:w="9371" w:type="dxa"/>
          </w:tcPr>
          <w:p w14:paraId="00E7840D" w14:textId="77777777" w:rsidR="007C3F79" w:rsidRPr="00EB512D" w:rsidRDefault="007C3F79" w:rsidP="00B359C5">
            <w:pPr>
              <w:rPr>
                <w:b/>
              </w:rPr>
            </w:pPr>
            <w:r w:rsidRPr="00EB512D">
              <w:rPr>
                <w:i/>
              </w:rPr>
              <w:t>Zvýšenie času vybavenia požiadavky (popíšte)</w:t>
            </w:r>
          </w:p>
        </w:tc>
      </w:tr>
      <w:tr w:rsidR="007C3F79" w:rsidRPr="00EB512D" w14:paraId="08234D61" w14:textId="77777777" w:rsidTr="00B359C5">
        <w:trPr>
          <w:trHeight w:val="470"/>
        </w:trPr>
        <w:tc>
          <w:tcPr>
            <w:tcW w:w="9371" w:type="dxa"/>
          </w:tcPr>
          <w:p w14:paraId="38F0C787" w14:textId="77777777" w:rsidR="007C3F79" w:rsidRPr="00EB512D" w:rsidRDefault="007C3F79" w:rsidP="00B359C5">
            <w:pPr>
              <w:rPr>
                <w:b/>
              </w:rPr>
            </w:pPr>
            <w:r w:rsidRPr="00EB512D">
              <w:t>Nemá vplyv</w:t>
            </w:r>
          </w:p>
        </w:tc>
      </w:tr>
      <w:tr w:rsidR="007C3F79" w:rsidRPr="00EB512D" w14:paraId="65128453" w14:textId="77777777" w:rsidTr="00B359C5">
        <w:trPr>
          <w:trHeight w:val="20"/>
        </w:trPr>
        <w:tc>
          <w:tcPr>
            <w:tcW w:w="9371" w:type="dxa"/>
          </w:tcPr>
          <w:p w14:paraId="4D5C32B7" w14:textId="77777777" w:rsidR="007C3F79" w:rsidRPr="00EB512D" w:rsidRDefault="007C3F79" w:rsidP="00B359C5">
            <w:pPr>
              <w:rPr>
                <w:b/>
              </w:rPr>
            </w:pPr>
            <w:r w:rsidRPr="00EB512D">
              <w:rPr>
                <w:i/>
              </w:rPr>
              <w:t>Zníženie času  vybavenia požiadavky (popíšte)</w:t>
            </w:r>
          </w:p>
        </w:tc>
      </w:tr>
      <w:tr w:rsidR="007C3F79" w:rsidRPr="00EB512D" w14:paraId="38D9B811" w14:textId="77777777" w:rsidTr="00B359C5">
        <w:trPr>
          <w:trHeight w:val="729"/>
        </w:trPr>
        <w:tc>
          <w:tcPr>
            <w:tcW w:w="9371" w:type="dxa"/>
          </w:tcPr>
          <w:p w14:paraId="126B48EF" w14:textId="77777777" w:rsidR="007C3F79" w:rsidRPr="00EB512D" w:rsidRDefault="007C3F79" w:rsidP="00B359C5">
            <w:pPr>
              <w:rPr>
                <w:sz w:val="22"/>
                <w:szCs w:val="22"/>
              </w:rPr>
            </w:pPr>
            <w:r w:rsidRPr="00EB512D">
              <w:rPr>
                <w:sz w:val="22"/>
                <w:szCs w:val="22"/>
              </w:rPr>
              <w:t xml:space="preserve">Úspora času vo vzťahu k rýchlejšiemu a jednoduchšiemu získavaniu údajov z eID a registra fyzických osôb pre subjekty, ktoré budú poskytovať služby a zároveň úspora času vo vzťahu k občanom z tých istých dôvodov.  </w:t>
            </w:r>
          </w:p>
        </w:tc>
      </w:tr>
      <w:tr w:rsidR="007C3F79" w:rsidRPr="00EB512D" w14:paraId="264DF0F1" w14:textId="77777777" w:rsidTr="00B359C5">
        <w:trPr>
          <w:trHeight w:val="424"/>
        </w:trPr>
        <w:tc>
          <w:tcPr>
            <w:tcW w:w="9371" w:type="dxa"/>
          </w:tcPr>
          <w:p w14:paraId="13772358" w14:textId="77777777" w:rsidR="007C3F79" w:rsidRPr="00EB512D" w:rsidRDefault="007C3F79" w:rsidP="00B359C5">
            <w:pPr>
              <w:rPr>
                <w:b/>
              </w:rPr>
            </w:pPr>
            <w:r w:rsidRPr="00EB512D">
              <w:rPr>
                <w:b/>
              </w:rPr>
              <w:t xml:space="preserve">7.2.3 Ktorá skupina občanov bude predloženým návrhom ovplyvnená? </w:t>
            </w:r>
          </w:p>
          <w:p w14:paraId="5C939F2A" w14:textId="77777777" w:rsidR="007C3F79" w:rsidRPr="00EB512D" w:rsidRDefault="007C3F79" w:rsidP="00B359C5">
            <w:pPr>
              <w:rPr>
                <w:i/>
                <w:iCs/>
              </w:rPr>
            </w:pPr>
            <w:r w:rsidRPr="00EB512D">
              <w:rPr>
                <w:i/>
                <w:iCs/>
              </w:rPr>
              <w:t xml:space="preserve">Špecifikujte skupinu občanov, ktorá bude návrhom ovplyvnená (napr. držitelia vodičských oprávnení). Aká </w:t>
            </w:r>
            <w:proofErr w:type="gramStart"/>
            <w:r w:rsidRPr="00EB512D">
              <w:rPr>
                <w:i/>
                <w:iCs/>
              </w:rPr>
              <w:t>je  veľkosť</w:t>
            </w:r>
            <w:proofErr w:type="gramEnd"/>
            <w:r w:rsidRPr="00EB512D">
              <w:rPr>
                <w:i/>
                <w:iCs/>
              </w:rPr>
              <w:t xml:space="preserve"> tejto skupiny?</w:t>
            </w:r>
          </w:p>
        </w:tc>
      </w:tr>
      <w:tr w:rsidR="007C3F79" w:rsidRPr="00EB512D" w14:paraId="69760C99" w14:textId="77777777" w:rsidTr="00B359C5">
        <w:trPr>
          <w:trHeight w:val="734"/>
        </w:trPr>
        <w:tc>
          <w:tcPr>
            <w:tcW w:w="9371" w:type="dxa"/>
          </w:tcPr>
          <w:p w14:paraId="1721097F" w14:textId="77777777" w:rsidR="007C3F79" w:rsidRPr="00EB512D" w:rsidRDefault="007C3F79" w:rsidP="00B359C5">
            <w:pPr>
              <w:rPr>
                <w:iCs/>
              </w:rPr>
            </w:pPr>
            <w:r w:rsidRPr="00EB512D">
              <w:rPr>
                <w:iCs/>
                <w:sz w:val="22"/>
                <w:szCs w:val="22"/>
              </w:rPr>
              <w:t xml:space="preserve">Občania podávajúci žiadosť o poskytnutie služby od subjektov, ktorými sú </w:t>
            </w:r>
            <w:r w:rsidRPr="00EB512D">
              <w:rPr>
                <w:sz w:val="22"/>
                <w:szCs w:val="22"/>
              </w:rPr>
              <w:t>banky, pobočky zahraničných bánk a telekomunikační operátori</w:t>
            </w:r>
            <w:r w:rsidRPr="00EB512D">
              <w:rPr>
                <w:iCs/>
              </w:rPr>
              <w:t xml:space="preserve">, </w:t>
            </w:r>
            <w:r w:rsidRPr="00EB512D">
              <w:rPr>
                <w:sz w:val="22"/>
                <w:szCs w:val="22"/>
              </w:rPr>
              <w:t xml:space="preserve">poštový podnik a Slovenský pozemkový fond.   </w:t>
            </w:r>
          </w:p>
        </w:tc>
      </w:tr>
      <w:tr w:rsidR="007C3F79" w:rsidRPr="00EB512D" w14:paraId="34141FA7" w14:textId="77777777" w:rsidTr="00B359C5">
        <w:trPr>
          <w:trHeight w:val="20"/>
        </w:trPr>
        <w:tc>
          <w:tcPr>
            <w:tcW w:w="9371" w:type="dxa"/>
          </w:tcPr>
          <w:p w14:paraId="70CE4403" w14:textId="77777777" w:rsidR="007C3F79" w:rsidRPr="00EB512D" w:rsidRDefault="007C3F79" w:rsidP="00B359C5">
            <w:pPr>
              <w:rPr>
                <w:i/>
                <w:iCs/>
              </w:rPr>
            </w:pPr>
            <w:r w:rsidRPr="00EB512D">
              <w:rPr>
                <w:b/>
              </w:rPr>
              <w:t xml:space="preserve">7.2.4 Vyplývajú z návrhu pre občana pri vybavení svojej požiadavky nové povinnosti alebo zanikajú už existujúce povinnosti?  </w:t>
            </w:r>
          </w:p>
        </w:tc>
      </w:tr>
      <w:tr w:rsidR="007C3F79" w:rsidRPr="00EB512D" w14:paraId="729374C8" w14:textId="77777777" w:rsidTr="00B359C5">
        <w:trPr>
          <w:trHeight w:val="20"/>
        </w:trPr>
        <w:tc>
          <w:tcPr>
            <w:tcW w:w="9371" w:type="dxa"/>
          </w:tcPr>
          <w:p w14:paraId="030F0730" w14:textId="77777777" w:rsidR="007C3F79" w:rsidRPr="00EB512D" w:rsidRDefault="007C3F79" w:rsidP="00B359C5">
            <w:pPr>
              <w:rPr>
                <w:i/>
                <w:iCs/>
              </w:rPr>
            </w:pPr>
            <w:r w:rsidRPr="00EB512D">
              <w:rPr>
                <w:i/>
                <w:iCs/>
              </w:rPr>
              <w:t xml:space="preserve">Nové povinnosti (identifikujte) </w:t>
            </w:r>
          </w:p>
        </w:tc>
      </w:tr>
      <w:tr w:rsidR="007C3F79" w:rsidRPr="00EB512D" w14:paraId="36AE277F" w14:textId="77777777" w:rsidTr="00B359C5">
        <w:trPr>
          <w:trHeight w:val="375"/>
        </w:trPr>
        <w:tc>
          <w:tcPr>
            <w:tcW w:w="9371" w:type="dxa"/>
          </w:tcPr>
          <w:p w14:paraId="1DF40D47" w14:textId="77777777" w:rsidR="007C3F79" w:rsidRPr="00EB512D" w:rsidRDefault="007C3F79" w:rsidP="00B359C5">
            <w:pPr>
              <w:rPr>
                <w:iCs/>
              </w:rPr>
            </w:pPr>
            <w:r w:rsidRPr="00EB512D">
              <w:rPr>
                <w:iCs/>
                <w:sz w:val="22"/>
                <w:szCs w:val="22"/>
              </w:rPr>
              <w:t>Nové povinnosti návrhom nevznikajú</w:t>
            </w:r>
            <w:r w:rsidRPr="00EB512D">
              <w:rPr>
                <w:iCs/>
              </w:rPr>
              <w:t>.</w:t>
            </w:r>
          </w:p>
        </w:tc>
      </w:tr>
      <w:tr w:rsidR="007C3F79" w:rsidRPr="00EB512D" w14:paraId="4C417E28" w14:textId="77777777" w:rsidTr="00B359C5">
        <w:trPr>
          <w:trHeight w:val="20"/>
        </w:trPr>
        <w:tc>
          <w:tcPr>
            <w:tcW w:w="9371" w:type="dxa"/>
          </w:tcPr>
          <w:p w14:paraId="522E10A5" w14:textId="77777777" w:rsidR="007C3F79" w:rsidRPr="00EB512D" w:rsidRDefault="007C3F79" w:rsidP="00B359C5">
            <w:pPr>
              <w:rPr>
                <w:i/>
                <w:iCs/>
              </w:rPr>
            </w:pPr>
            <w:r w:rsidRPr="00EB512D">
              <w:rPr>
                <w:i/>
                <w:iCs/>
              </w:rPr>
              <w:t>Zanikajúce povinnosti (identifikujte)</w:t>
            </w:r>
          </w:p>
        </w:tc>
      </w:tr>
      <w:tr w:rsidR="007C3F79" w:rsidRPr="00EB512D" w14:paraId="102EB5E2" w14:textId="77777777" w:rsidTr="00B359C5">
        <w:trPr>
          <w:trHeight w:val="585"/>
        </w:trPr>
        <w:tc>
          <w:tcPr>
            <w:tcW w:w="9371" w:type="dxa"/>
          </w:tcPr>
          <w:p w14:paraId="079193CF" w14:textId="77777777" w:rsidR="007C3F79" w:rsidRPr="00EB512D" w:rsidRDefault="007C3F79" w:rsidP="00B359C5">
            <w:pPr>
              <w:rPr>
                <w:iCs/>
                <w:sz w:val="22"/>
                <w:szCs w:val="22"/>
              </w:rPr>
            </w:pPr>
            <w:r w:rsidRPr="00EB512D">
              <w:rPr>
                <w:iCs/>
                <w:sz w:val="22"/>
                <w:szCs w:val="22"/>
              </w:rPr>
              <w:t xml:space="preserve">Návrhom nezaniká žiadna povinnosť. </w:t>
            </w:r>
          </w:p>
          <w:p w14:paraId="76E0266A" w14:textId="77777777" w:rsidR="007C3F79" w:rsidRPr="00EB512D" w:rsidRDefault="007C3F79" w:rsidP="00B359C5">
            <w:pPr>
              <w:rPr>
                <w:i/>
                <w:iCs/>
              </w:rPr>
            </w:pPr>
          </w:p>
        </w:tc>
      </w:tr>
      <w:tr w:rsidR="007C3F79" w:rsidRPr="00EB512D" w14:paraId="21B8343B" w14:textId="77777777" w:rsidTr="00B359C5">
        <w:trPr>
          <w:trHeight w:val="20"/>
        </w:trPr>
        <w:tc>
          <w:tcPr>
            <w:tcW w:w="9371" w:type="dxa"/>
            <w:shd w:val="clear" w:color="auto" w:fill="BFBFBF"/>
            <w:vAlign w:val="center"/>
          </w:tcPr>
          <w:p w14:paraId="6B045EDD" w14:textId="77777777" w:rsidR="007C3F79" w:rsidRPr="00EB512D" w:rsidRDefault="007C3F79" w:rsidP="00B359C5">
            <w:pPr>
              <w:jc w:val="center"/>
              <w:rPr>
                <w:b/>
                <w:sz w:val="28"/>
                <w:szCs w:val="28"/>
              </w:rPr>
            </w:pPr>
            <w:r w:rsidRPr="00EB512D">
              <w:rPr>
                <w:b/>
                <w:sz w:val="28"/>
                <w:szCs w:val="28"/>
              </w:rPr>
              <w:t>7.3 Vplyv na procesy služieb vo verejnej správe</w:t>
            </w:r>
          </w:p>
        </w:tc>
      </w:tr>
      <w:tr w:rsidR="007C3F79" w:rsidRPr="00EB512D" w14:paraId="542C11D2" w14:textId="77777777" w:rsidTr="00B359C5">
        <w:trPr>
          <w:trHeight w:val="390"/>
        </w:trPr>
        <w:tc>
          <w:tcPr>
            <w:tcW w:w="9371" w:type="dxa"/>
          </w:tcPr>
          <w:p w14:paraId="32B87D4C" w14:textId="77777777" w:rsidR="007C3F79" w:rsidRPr="00EB512D" w:rsidRDefault="007C3F79" w:rsidP="00B359C5">
            <w:pPr>
              <w:rPr>
                <w:b/>
              </w:rPr>
            </w:pPr>
            <w:r w:rsidRPr="00EB512D">
              <w:rPr>
                <w:b/>
              </w:rPr>
              <w:t xml:space="preserve">7.3.1 Ktoré sú dotknuté subjekty verejnej správy? </w:t>
            </w:r>
          </w:p>
          <w:p w14:paraId="6AAB997C" w14:textId="77777777" w:rsidR="007C3F79" w:rsidRPr="00EB512D" w:rsidRDefault="007C3F79" w:rsidP="00B359C5">
            <w:pPr>
              <w:rPr>
                <w:i/>
                <w:iCs/>
              </w:rPr>
            </w:pPr>
            <w:r w:rsidRPr="00EB512D">
              <w:rPr>
                <w:i/>
              </w:rPr>
              <w:t xml:space="preserve">Ktoré subjekty verejnej správy sú účastné procesu poskytnutia služby? </w:t>
            </w:r>
          </w:p>
        </w:tc>
      </w:tr>
      <w:tr w:rsidR="007C3F79" w:rsidRPr="00EB512D" w14:paraId="5FC820C4" w14:textId="77777777" w:rsidTr="00B359C5">
        <w:trPr>
          <w:trHeight w:val="481"/>
        </w:trPr>
        <w:tc>
          <w:tcPr>
            <w:tcW w:w="9371" w:type="dxa"/>
          </w:tcPr>
          <w:p w14:paraId="39B49515" w14:textId="77777777" w:rsidR="007C3F79" w:rsidRPr="00EB512D" w:rsidRDefault="007C3F79" w:rsidP="00B359C5">
            <w:pPr>
              <w:rPr>
                <w:sz w:val="22"/>
                <w:szCs w:val="22"/>
              </w:rPr>
            </w:pPr>
            <w:r w:rsidRPr="00EB512D">
              <w:rPr>
                <w:sz w:val="22"/>
                <w:szCs w:val="22"/>
              </w:rPr>
              <w:t xml:space="preserve">Vo vzťahu k povinnostiam, ktoré vyplývajú z navrhovanej právnej úpravy ide o Ministerstvo vnútra SR, správcu Ústredného portálu verejnej správy a tie orgány verejnej moci, ktoré majú zriadené špecializované portály v zmysle zákona č. 305/2013 Z. z. o elektronickej podobe výkonu pôsobnosti orgánov verejnej moci a o zmene a doplnení niektorých zákonov (zákon o e-Governmente).    </w:t>
            </w:r>
          </w:p>
        </w:tc>
      </w:tr>
      <w:tr w:rsidR="007C3F79" w:rsidRPr="00EB512D" w14:paraId="14904AA9" w14:textId="77777777" w:rsidTr="00B359C5">
        <w:trPr>
          <w:trHeight w:val="20"/>
        </w:trPr>
        <w:tc>
          <w:tcPr>
            <w:tcW w:w="9371" w:type="dxa"/>
          </w:tcPr>
          <w:p w14:paraId="1B9DECC0" w14:textId="77777777" w:rsidR="007C3F79" w:rsidRPr="00EB512D" w:rsidRDefault="007C3F79" w:rsidP="00B359C5">
            <w:pPr>
              <w:rPr>
                <w:i/>
                <w:iCs/>
              </w:rPr>
            </w:pPr>
            <w:r w:rsidRPr="00EB512D">
              <w:rPr>
                <w:b/>
              </w:rPr>
              <w:t xml:space="preserve">7.3.2 Vyplývajú z návrhu pre orgán verejnej správy pri vybavení požiadavky nové povinnosti alebo zanikajú už existujúce povinnosti?  </w:t>
            </w:r>
            <w:r w:rsidRPr="00EB512D">
              <w:rPr>
                <w:iCs/>
              </w:rPr>
              <w:t xml:space="preserve"> </w:t>
            </w:r>
          </w:p>
        </w:tc>
      </w:tr>
      <w:tr w:rsidR="007C3F79" w:rsidRPr="00EB512D" w14:paraId="7D4A7624" w14:textId="77777777" w:rsidTr="00B359C5">
        <w:trPr>
          <w:trHeight w:val="20"/>
        </w:trPr>
        <w:tc>
          <w:tcPr>
            <w:tcW w:w="9371" w:type="dxa"/>
          </w:tcPr>
          <w:p w14:paraId="7E8CDEC0" w14:textId="77777777" w:rsidR="007C3F79" w:rsidRPr="00EB512D" w:rsidRDefault="007C3F79" w:rsidP="00B359C5">
            <w:pPr>
              <w:rPr>
                <w:i/>
                <w:iCs/>
              </w:rPr>
            </w:pPr>
            <w:r w:rsidRPr="00EB512D">
              <w:rPr>
                <w:i/>
                <w:iCs/>
              </w:rPr>
              <w:t>Nové povinnosti (identifikujte)</w:t>
            </w:r>
          </w:p>
        </w:tc>
      </w:tr>
      <w:tr w:rsidR="007C3F79" w:rsidRPr="00EB512D" w14:paraId="0B6D9488" w14:textId="77777777" w:rsidTr="00B359C5">
        <w:trPr>
          <w:trHeight w:val="403"/>
        </w:trPr>
        <w:tc>
          <w:tcPr>
            <w:tcW w:w="9371" w:type="dxa"/>
          </w:tcPr>
          <w:p w14:paraId="2CA32FCD" w14:textId="77777777" w:rsidR="007C3F79" w:rsidRPr="00EB512D" w:rsidRDefault="007C3F79" w:rsidP="00B359C5">
            <w:pPr>
              <w:rPr>
                <w:iCs/>
                <w:sz w:val="22"/>
                <w:szCs w:val="22"/>
              </w:rPr>
            </w:pPr>
            <w:r w:rsidRPr="00EB512D">
              <w:rPr>
                <w:sz w:val="22"/>
                <w:szCs w:val="22"/>
              </w:rPr>
              <w:lastRenderedPageBreak/>
              <w:t xml:space="preserve">Nová povinnosť uvedená v § 25 ods. </w:t>
            </w:r>
            <w:proofErr w:type="gramStart"/>
            <w:r w:rsidRPr="00EB512D">
              <w:rPr>
                <w:sz w:val="22"/>
                <w:szCs w:val="22"/>
              </w:rPr>
              <w:t>7 zákona č. 305/2013 Z. z. o elektronickej podobe výkonu pôsobnosti orgánov verejnej moci a o zmene a doplnení niektorých zákonov (zákon o e-Governmente) sa týka správcu Ústredného portálu verejnej správy a správcov špecializovaných portálov v zmysle zákona č. 305/2013 Z. z. o elektronickej podobe výkonu pôsobnosti orgánov verejnej moci a o zmene a doplnení niektorých zákonov (zákon o e-Governmente).</w:t>
            </w:r>
            <w:proofErr w:type="gramEnd"/>
            <w:r w:rsidRPr="00EB512D">
              <w:rPr>
                <w:sz w:val="22"/>
                <w:szCs w:val="22"/>
              </w:rPr>
              <w:t xml:space="preserve">    </w:t>
            </w:r>
          </w:p>
        </w:tc>
      </w:tr>
      <w:tr w:rsidR="007C3F79" w:rsidRPr="00EB512D" w14:paraId="2B0AC12E" w14:textId="77777777" w:rsidTr="00B359C5">
        <w:trPr>
          <w:trHeight w:val="20"/>
        </w:trPr>
        <w:tc>
          <w:tcPr>
            <w:tcW w:w="9371" w:type="dxa"/>
          </w:tcPr>
          <w:p w14:paraId="05E7DCB5" w14:textId="77777777" w:rsidR="007C3F79" w:rsidRPr="00EB512D" w:rsidRDefault="007C3F79" w:rsidP="00B359C5">
            <w:pPr>
              <w:rPr>
                <w:i/>
                <w:iCs/>
              </w:rPr>
            </w:pPr>
            <w:r w:rsidRPr="00EB512D">
              <w:rPr>
                <w:i/>
                <w:iCs/>
              </w:rPr>
              <w:t>Zanikajúce povinnosti (identifikujte)</w:t>
            </w:r>
          </w:p>
        </w:tc>
      </w:tr>
      <w:tr w:rsidR="007C3F79" w:rsidRPr="00EB512D" w14:paraId="179F025C" w14:textId="77777777" w:rsidTr="00B359C5">
        <w:trPr>
          <w:trHeight w:val="859"/>
        </w:trPr>
        <w:tc>
          <w:tcPr>
            <w:tcW w:w="9371" w:type="dxa"/>
          </w:tcPr>
          <w:p w14:paraId="56A1C8BE" w14:textId="77777777" w:rsidR="007C3F79" w:rsidRPr="00EB512D" w:rsidRDefault="007C3F79" w:rsidP="00B359C5">
            <w:pPr>
              <w:rPr>
                <w:iCs/>
                <w:sz w:val="22"/>
                <w:szCs w:val="22"/>
              </w:rPr>
            </w:pPr>
            <w:r w:rsidRPr="00EB512D">
              <w:rPr>
                <w:iCs/>
                <w:sz w:val="22"/>
                <w:szCs w:val="22"/>
              </w:rPr>
              <w:t xml:space="preserve">Nezanikajú žiadne existujúce povinnosti. </w:t>
            </w:r>
          </w:p>
        </w:tc>
      </w:tr>
    </w:tbl>
    <w:p w14:paraId="71248D8D" w14:textId="36A73F03" w:rsidR="007C3F79" w:rsidRPr="00EB512D" w:rsidRDefault="007C3F79" w:rsidP="007C3F79">
      <w:pPr>
        <w:jc w:val="both"/>
        <w:rPr>
          <w:lang w:val="sk-SK"/>
        </w:rPr>
      </w:pPr>
    </w:p>
    <w:p w14:paraId="49291D32" w14:textId="4951EF77" w:rsidR="00986DBB" w:rsidRPr="00EB512D" w:rsidRDefault="00986DBB" w:rsidP="007C3F79">
      <w:pPr>
        <w:jc w:val="both"/>
        <w:rPr>
          <w:lang w:val="sk-SK"/>
        </w:rPr>
      </w:pPr>
    </w:p>
    <w:p w14:paraId="675C7C13" w14:textId="6210C88E" w:rsidR="00986DBB" w:rsidRPr="00EB512D" w:rsidRDefault="00986DBB" w:rsidP="007C3F79">
      <w:pPr>
        <w:jc w:val="both"/>
        <w:rPr>
          <w:lang w:val="sk-SK"/>
        </w:rPr>
      </w:pPr>
    </w:p>
    <w:p w14:paraId="38EADFC1" w14:textId="2596C5BB" w:rsidR="00986DBB" w:rsidRPr="00EB512D" w:rsidRDefault="00986DBB" w:rsidP="007C3F79">
      <w:pPr>
        <w:jc w:val="both"/>
        <w:rPr>
          <w:lang w:val="sk-SK"/>
        </w:rPr>
      </w:pPr>
    </w:p>
    <w:p w14:paraId="242C6FE0" w14:textId="57CCAF27" w:rsidR="00986DBB" w:rsidRPr="00EB512D" w:rsidRDefault="00986DBB" w:rsidP="007C3F79">
      <w:pPr>
        <w:jc w:val="both"/>
        <w:rPr>
          <w:lang w:val="sk-SK"/>
        </w:rPr>
      </w:pPr>
    </w:p>
    <w:p w14:paraId="62684FA5" w14:textId="56C45D08" w:rsidR="00986DBB" w:rsidRPr="00EB512D" w:rsidRDefault="00986DBB" w:rsidP="007C3F79">
      <w:pPr>
        <w:jc w:val="both"/>
        <w:rPr>
          <w:lang w:val="sk-SK"/>
        </w:rPr>
      </w:pPr>
    </w:p>
    <w:p w14:paraId="4631F1EB" w14:textId="051AA170" w:rsidR="00986DBB" w:rsidRPr="00EB512D" w:rsidRDefault="00986DBB" w:rsidP="007C3F79">
      <w:pPr>
        <w:jc w:val="both"/>
        <w:rPr>
          <w:lang w:val="sk-SK"/>
        </w:rPr>
      </w:pPr>
    </w:p>
    <w:p w14:paraId="69AFE9BA" w14:textId="1CA66C93" w:rsidR="00986DBB" w:rsidRPr="00EB512D" w:rsidRDefault="00986DBB" w:rsidP="007C3F79">
      <w:pPr>
        <w:jc w:val="both"/>
        <w:rPr>
          <w:lang w:val="sk-SK"/>
        </w:rPr>
      </w:pPr>
    </w:p>
    <w:p w14:paraId="379FFB60" w14:textId="0F7B5FA7" w:rsidR="00986DBB" w:rsidRPr="00EB512D" w:rsidRDefault="00986DBB" w:rsidP="007C3F79">
      <w:pPr>
        <w:jc w:val="both"/>
        <w:rPr>
          <w:lang w:val="sk-SK"/>
        </w:rPr>
      </w:pPr>
    </w:p>
    <w:p w14:paraId="0B1151FA" w14:textId="3282A229" w:rsidR="00986DBB" w:rsidRPr="00EB512D" w:rsidRDefault="00986DBB" w:rsidP="007C3F79">
      <w:pPr>
        <w:jc w:val="both"/>
        <w:rPr>
          <w:lang w:val="sk-SK"/>
        </w:rPr>
      </w:pPr>
    </w:p>
    <w:p w14:paraId="5893DD87" w14:textId="3BA66DB1" w:rsidR="00986DBB" w:rsidRPr="00EB512D" w:rsidRDefault="00986DBB" w:rsidP="007C3F79">
      <w:pPr>
        <w:jc w:val="both"/>
        <w:rPr>
          <w:lang w:val="sk-SK"/>
        </w:rPr>
      </w:pPr>
    </w:p>
    <w:p w14:paraId="7ACAFD7B" w14:textId="586B643F" w:rsidR="00986DBB" w:rsidRPr="00EB512D" w:rsidRDefault="00986DBB" w:rsidP="007C3F79">
      <w:pPr>
        <w:jc w:val="both"/>
        <w:rPr>
          <w:lang w:val="sk-SK"/>
        </w:rPr>
      </w:pPr>
    </w:p>
    <w:p w14:paraId="2AF1BBCD" w14:textId="16BE6511" w:rsidR="00986DBB" w:rsidRPr="00EB512D" w:rsidRDefault="00986DBB" w:rsidP="007C3F79">
      <w:pPr>
        <w:jc w:val="both"/>
        <w:rPr>
          <w:lang w:val="sk-SK"/>
        </w:rPr>
      </w:pPr>
    </w:p>
    <w:p w14:paraId="2137FC7E" w14:textId="7BDE33E7" w:rsidR="00986DBB" w:rsidRPr="00EB512D" w:rsidRDefault="00986DBB" w:rsidP="007C3F79">
      <w:pPr>
        <w:jc w:val="both"/>
        <w:rPr>
          <w:lang w:val="sk-SK"/>
        </w:rPr>
      </w:pPr>
    </w:p>
    <w:p w14:paraId="167A25B9" w14:textId="6705E6F9" w:rsidR="00986DBB" w:rsidRPr="00EB512D" w:rsidRDefault="00986DBB" w:rsidP="007C3F79">
      <w:pPr>
        <w:jc w:val="both"/>
        <w:rPr>
          <w:lang w:val="sk-SK"/>
        </w:rPr>
      </w:pPr>
    </w:p>
    <w:p w14:paraId="687AC435" w14:textId="48C618B8" w:rsidR="00986DBB" w:rsidRPr="00EB512D" w:rsidRDefault="00986DBB" w:rsidP="007C3F79">
      <w:pPr>
        <w:jc w:val="both"/>
        <w:rPr>
          <w:lang w:val="sk-SK"/>
        </w:rPr>
      </w:pPr>
    </w:p>
    <w:p w14:paraId="72AF2129" w14:textId="43980553" w:rsidR="00986DBB" w:rsidRPr="00EB512D" w:rsidRDefault="00986DBB" w:rsidP="007C3F79">
      <w:pPr>
        <w:jc w:val="both"/>
        <w:rPr>
          <w:lang w:val="sk-SK"/>
        </w:rPr>
      </w:pPr>
    </w:p>
    <w:p w14:paraId="3A111C7E" w14:textId="3D7ED15C" w:rsidR="00986DBB" w:rsidRPr="00EB512D" w:rsidRDefault="00986DBB" w:rsidP="007C3F79">
      <w:pPr>
        <w:jc w:val="both"/>
        <w:rPr>
          <w:lang w:val="sk-SK"/>
        </w:rPr>
      </w:pPr>
    </w:p>
    <w:p w14:paraId="45328A1E" w14:textId="3EE9769E" w:rsidR="00986DBB" w:rsidRPr="00EB512D" w:rsidRDefault="00986DBB" w:rsidP="007C3F79">
      <w:pPr>
        <w:jc w:val="both"/>
        <w:rPr>
          <w:lang w:val="sk-SK"/>
        </w:rPr>
      </w:pPr>
    </w:p>
    <w:p w14:paraId="1D785D73" w14:textId="2DA5B449" w:rsidR="00986DBB" w:rsidRPr="00EB512D" w:rsidRDefault="00986DBB" w:rsidP="007C3F79">
      <w:pPr>
        <w:jc w:val="both"/>
        <w:rPr>
          <w:lang w:val="sk-SK"/>
        </w:rPr>
      </w:pPr>
    </w:p>
    <w:p w14:paraId="49020E24" w14:textId="6EE548B4" w:rsidR="00986DBB" w:rsidRPr="00EB512D" w:rsidRDefault="00986DBB" w:rsidP="007C3F79">
      <w:pPr>
        <w:jc w:val="both"/>
        <w:rPr>
          <w:lang w:val="sk-SK"/>
        </w:rPr>
      </w:pPr>
    </w:p>
    <w:p w14:paraId="6D23021F" w14:textId="73154C48" w:rsidR="00986DBB" w:rsidRPr="00EB512D" w:rsidRDefault="00986DBB" w:rsidP="007C3F79">
      <w:pPr>
        <w:jc w:val="both"/>
        <w:rPr>
          <w:lang w:val="sk-SK"/>
        </w:rPr>
      </w:pPr>
    </w:p>
    <w:p w14:paraId="131C4B16" w14:textId="3F79583E" w:rsidR="00986DBB" w:rsidRPr="00EB512D" w:rsidRDefault="00986DBB" w:rsidP="007C3F79">
      <w:pPr>
        <w:jc w:val="both"/>
        <w:rPr>
          <w:lang w:val="sk-SK"/>
        </w:rPr>
      </w:pPr>
    </w:p>
    <w:p w14:paraId="2D3B26C7" w14:textId="514B7B7B" w:rsidR="00986DBB" w:rsidRPr="00EB512D" w:rsidRDefault="00986DBB" w:rsidP="007C3F79">
      <w:pPr>
        <w:jc w:val="both"/>
        <w:rPr>
          <w:lang w:val="sk-SK"/>
        </w:rPr>
      </w:pPr>
    </w:p>
    <w:p w14:paraId="57CCF9B2" w14:textId="6D93FD99" w:rsidR="00986DBB" w:rsidRPr="00EB512D" w:rsidRDefault="00986DBB" w:rsidP="007C3F79">
      <w:pPr>
        <w:jc w:val="both"/>
        <w:rPr>
          <w:lang w:val="sk-SK"/>
        </w:rPr>
      </w:pPr>
    </w:p>
    <w:p w14:paraId="6174D1EA" w14:textId="59A5D73F" w:rsidR="00986DBB" w:rsidRPr="00EB512D" w:rsidRDefault="00986DBB" w:rsidP="007C3F79">
      <w:pPr>
        <w:jc w:val="both"/>
        <w:rPr>
          <w:lang w:val="sk-SK"/>
        </w:rPr>
      </w:pPr>
    </w:p>
    <w:p w14:paraId="4A3F728A" w14:textId="7F19EC20" w:rsidR="00986DBB" w:rsidRPr="00EB512D" w:rsidRDefault="00986DBB" w:rsidP="007C3F79">
      <w:pPr>
        <w:jc w:val="both"/>
        <w:rPr>
          <w:lang w:val="sk-SK"/>
        </w:rPr>
      </w:pPr>
    </w:p>
    <w:p w14:paraId="20847938" w14:textId="152B1AE9" w:rsidR="00986DBB" w:rsidRPr="00EB512D" w:rsidRDefault="00986DBB" w:rsidP="007C3F79">
      <w:pPr>
        <w:jc w:val="both"/>
        <w:rPr>
          <w:lang w:val="sk-SK"/>
        </w:rPr>
      </w:pPr>
    </w:p>
    <w:p w14:paraId="31B40DA6" w14:textId="637C6B33" w:rsidR="00986DBB" w:rsidRPr="00EB512D" w:rsidRDefault="00986DBB" w:rsidP="007C3F79">
      <w:pPr>
        <w:jc w:val="both"/>
        <w:rPr>
          <w:lang w:val="sk-SK"/>
        </w:rPr>
      </w:pPr>
    </w:p>
    <w:p w14:paraId="372971D3" w14:textId="4C006D84" w:rsidR="00986DBB" w:rsidRPr="00EB512D" w:rsidRDefault="00986DBB" w:rsidP="007C3F79">
      <w:pPr>
        <w:jc w:val="both"/>
        <w:rPr>
          <w:lang w:val="sk-SK"/>
        </w:rPr>
      </w:pPr>
    </w:p>
    <w:p w14:paraId="47762DD4" w14:textId="1BC905CB" w:rsidR="00986DBB" w:rsidRPr="00EB512D" w:rsidRDefault="00986DBB" w:rsidP="007C3F79">
      <w:pPr>
        <w:jc w:val="both"/>
        <w:rPr>
          <w:lang w:val="sk-SK"/>
        </w:rPr>
      </w:pPr>
    </w:p>
    <w:p w14:paraId="09F0062E" w14:textId="5829C67C" w:rsidR="00986DBB" w:rsidRPr="00EB512D" w:rsidRDefault="00986DBB" w:rsidP="007C3F79">
      <w:pPr>
        <w:jc w:val="both"/>
        <w:rPr>
          <w:lang w:val="sk-SK"/>
        </w:rPr>
      </w:pPr>
    </w:p>
    <w:p w14:paraId="55B07097" w14:textId="6CDC401F" w:rsidR="00986DBB" w:rsidRPr="00EB512D" w:rsidRDefault="00986DBB" w:rsidP="007C3F79">
      <w:pPr>
        <w:jc w:val="both"/>
        <w:rPr>
          <w:lang w:val="sk-SK"/>
        </w:rPr>
      </w:pPr>
    </w:p>
    <w:p w14:paraId="5894DB59" w14:textId="61AFC95C" w:rsidR="00986DBB" w:rsidRPr="00EB512D" w:rsidRDefault="00986DBB" w:rsidP="007C3F79">
      <w:pPr>
        <w:jc w:val="both"/>
        <w:rPr>
          <w:lang w:val="sk-SK"/>
        </w:rPr>
      </w:pPr>
    </w:p>
    <w:p w14:paraId="2FCCBB12" w14:textId="5C31638D" w:rsidR="00986DBB" w:rsidRPr="00EB512D" w:rsidRDefault="00986DBB" w:rsidP="007C3F79">
      <w:pPr>
        <w:jc w:val="both"/>
        <w:rPr>
          <w:lang w:val="sk-SK"/>
        </w:rPr>
      </w:pPr>
    </w:p>
    <w:p w14:paraId="6DC4F309" w14:textId="37AC7FCE" w:rsidR="00986DBB" w:rsidRPr="00EB512D" w:rsidRDefault="00986DBB" w:rsidP="007C3F79">
      <w:pPr>
        <w:jc w:val="both"/>
        <w:rPr>
          <w:lang w:val="sk-SK"/>
        </w:rPr>
      </w:pPr>
    </w:p>
    <w:p w14:paraId="6FAFCC16" w14:textId="4635686B" w:rsidR="00986DBB" w:rsidRPr="00EB512D" w:rsidRDefault="00986DBB" w:rsidP="007C3F79">
      <w:pPr>
        <w:jc w:val="both"/>
        <w:rPr>
          <w:lang w:val="sk-SK"/>
        </w:rPr>
      </w:pPr>
    </w:p>
    <w:p w14:paraId="09F3B79A" w14:textId="65D7438B" w:rsidR="00986DBB" w:rsidRPr="00EB512D" w:rsidRDefault="00986DBB" w:rsidP="007C3F79">
      <w:pPr>
        <w:jc w:val="both"/>
        <w:rPr>
          <w:lang w:val="sk-SK"/>
        </w:rPr>
      </w:pPr>
    </w:p>
    <w:p w14:paraId="0E4718F8" w14:textId="5895A408" w:rsidR="00986DBB" w:rsidRPr="00EB512D" w:rsidRDefault="00986DBB" w:rsidP="007C3F79">
      <w:pPr>
        <w:jc w:val="both"/>
        <w:rPr>
          <w:lang w:val="sk-SK"/>
        </w:rPr>
      </w:pPr>
    </w:p>
    <w:p w14:paraId="7FC29ABF" w14:textId="77777777" w:rsidR="00986DBB" w:rsidRPr="00EB512D" w:rsidRDefault="00986DBB" w:rsidP="007C3F79">
      <w:pPr>
        <w:jc w:val="both"/>
        <w:rPr>
          <w:lang w:val="sk-SK"/>
        </w:rPr>
      </w:pPr>
    </w:p>
    <w:p w14:paraId="28EDE385" w14:textId="0FAF9B37" w:rsidR="007C3F79" w:rsidRPr="00EB512D" w:rsidRDefault="007C3F79" w:rsidP="007C3F79">
      <w:pPr>
        <w:jc w:val="both"/>
        <w:rPr>
          <w:lang w:val="sk-SK"/>
        </w:rPr>
      </w:pPr>
    </w:p>
    <w:p w14:paraId="52A047EA" w14:textId="77777777" w:rsidR="007C3F79" w:rsidRPr="00EB512D" w:rsidRDefault="007C3F79" w:rsidP="007C3F79">
      <w:pPr>
        <w:pStyle w:val="Default"/>
        <w:ind w:left="360"/>
        <w:jc w:val="center"/>
        <w:rPr>
          <w:rFonts w:ascii="Times New Roman" w:hAnsi="Times New Roman" w:cs="Times New Roman"/>
        </w:rPr>
      </w:pPr>
      <w:r w:rsidRPr="00EB512D">
        <w:rPr>
          <w:rFonts w:ascii="Times New Roman" w:hAnsi="Times New Roman" w:cs="Times New Roman"/>
          <w:b/>
          <w:bCs/>
        </w:rPr>
        <w:lastRenderedPageBreak/>
        <w:t>DOLOŽKA ZLUČITEĽNOSTI</w:t>
      </w:r>
    </w:p>
    <w:p w14:paraId="69F3C56E" w14:textId="77777777" w:rsidR="007C3F79" w:rsidRPr="00EB512D" w:rsidRDefault="007C3F79" w:rsidP="007C3F79">
      <w:pPr>
        <w:pStyle w:val="Default"/>
        <w:ind w:left="426"/>
        <w:jc w:val="center"/>
        <w:rPr>
          <w:rFonts w:ascii="Times New Roman" w:hAnsi="Times New Roman" w:cs="Times New Roman"/>
          <w:b/>
          <w:bCs/>
        </w:rPr>
      </w:pPr>
      <w:proofErr w:type="gramStart"/>
      <w:r w:rsidRPr="00EB512D">
        <w:rPr>
          <w:rFonts w:ascii="Times New Roman" w:hAnsi="Times New Roman" w:cs="Times New Roman"/>
          <w:b/>
          <w:bCs/>
        </w:rPr>
        <w:t>návrhu</w:t>
      </w:r>
      <w:proofErr w:type="gramEnd"/>
      <w:r w:rsidRPr="00EB512D">
        <w:rPr>
          <w:rFonts w:ascii="Times New Roman" w:hAnsi="Times New Roman" w:cs="Times New Roman"/>
          <w:b/>
          <w:bCs/>
        </w:rPr>
        <w:t xml:space="preserve"> zákona s právom Európskej únie</w:t>
      </w:r>
    </w:p>
    <w:p w14:paraId="47E9FC9B" w14:textId="77777777" w:rsidR="007C3F79" w:rsidRPr="00EB512D" w:rsidRDefault="007C3F79" w:rsidP="007C3F79">
      <w:pPr>
        <w:pStyle w:val="Default"/>
        <w:ind w:firstLine="426"/>
        <w:rPr>
          <w:rFonts w:ascii="Times New Roman" w:hAnsi="Times New Roman" w:cs="Times New Roman"/>
        </w:rPr>
      </w:pPr>
    </w:p>
    <w:p w14:paraId="768C9282" w14:textId="77777777" w:rsidR="007C3F79" w:rsidRPr="00EB512D" w:rsidRDefault="007C3F79" w:rsidP="007C3F79">
      <w:pPr>
        <w:pStyle w:val="Default"/>
        <w:ind w:firstLine="426"/>
        <w:rPr>
          <w:rFonts w:ascii="Times New Roman" w:hAnsi="Times New Roman" w:cs="Times New Roman"/>
        </w:rPr>
      </w:pPr>
      <w:r w:rsidRPr="00EB512D">
        <w:rPr>
          <w:rFonts w:ascii="Times New Roman" w:hAnsi="Times New Roman" w:cs="Times New Roman"/>
        </w:rPr>
        <w:t xml:space="preserve">1. </w:t>
      </w:r>
      <w:r w:rsidRPr="00EB512D">
        <w:rPr>
          <w:rFonts w:ascii="Times New Roman" w:hAnsi="Times New Roman" w:cs="Times New Roman"/>
          <w:b/>
        </w:rPr>
        <w:t>Navrhovateľ zákona</w:t>
      </w:r>
      <w:r w:rsidRPr="00EB512D">
        <w:rPr>
          <w:rFonts w:ascii="Times New Roman" w:hAnsi="Times New Roman" w:cs="Times New Roman"/>
        </w:rPr>
        <w:t xml:space="preserve">: </w:t>
      </w:r>
      <w:r w:rsidRPr="00EB512D">
        <w:rPr>
          <w:rFonts w:ascii="Times New Roman" w:hAnsi="Times New Roman" w:cs="Times New Roman"/>
          <w:i/>
        </w:rPr>
        <w:t>vláda Slovenskej republiky</w:t>
      </w:r>
    </w:p>
    <w:p w14:paraId="09DD7B04" w14:textId="77777777" w:rsidR="007C3F79" w:rsidRPr="00EB512D" w:rsidRDefault="007C3F79" w:rsidP="007C3F79">
      <w:pPr>
        <w:pStyle w:val="Default"/>
        <w:ind w:firstLine="426"/>
        <w:rPr>
          <w:rFonts w:ascii="Times New Roman" w:hAnsi="Times New Roman" w:cs="Times New Roman"/>
        </w:rPr>
      </w:pPr>
    </w:p>
    <w:p w14:paraId="10C5109D" w14:textId="77777777" w:rsidR="007C3F79" w:rsidRPr="00EB512D" w:rsidRDefault="007C3F79" w:rsidP="007C3F79">
      <w:pPr>
        <w:pStyle w:val="Default"/>
        <w:ind w:left="1276" w:hanging="850"/>
        <w:jc w:val="both"/>
        <w:rPr>
          <w:rFonts w:ascii="Times New Roman" w:hAnsi="Times New Roman" w:cs="Times New Roman"/>
          <w:i/>
          <w:color w:val="FF0000"/>
        </w:rPr>
      </w:pPr>
      <w:r w:rsidRPr="00EB512D">
        <w:rPr>
          <w:rFonts w:ascii="Times New Roman" w:hAnsi="Times New Roman" w:cs="Times New Roman"/>
        </w:rPr>
        <w:t xml:space="preserve">2. </w:t>
      </w:r>
      <w:r w:rsidRPr="00EB512D">
        <w:rPr>
          <w:rFonts w:ascii="Times New Roman" w:hAnsi="Times New Roman" w:cs="Times New Roman"/>
          <w:b/>
        </w:rPr>
        <w:t>Názov návrhu zákona</w:t>
      </w:r>
      <w:r w:rsidRPr="00EB512D">
        <w:rPr>
          <w:rFonts w:ascii="Times New Roman" w:hAnsi="Times New Roman" w:cs="Times New Roman"/>
        </w:rPr>
        <w:t xml:space="preserve">: </w:t>
      </w:r>
      <w:r w:rsidRPr="00EB512D">
        <w:rPr>
          <w:rFonts w:ascii="Times New Roman" w:hAnsi="Times New Roman" w:cs="Times New Roman"/>
          <w:i/>
        </w:rPr>
        <w:t xml:space="preserve">Návrh zákona, ktorým sa mení a dopĺňa zákon č. 305/2013 Z. z. o elektronickej podobe výkonu pôsobnosti orgánov verejnej moci a o zmene a doplnení niektorých zákonov (zákon o e-Governmente) v znení neskorších predpisov </w:t>
      </w:r>
      <w:proofErr w:type="gramStart"/>
      <w:r w:rsidRPr="00EB512D">
        <w:rPr>
          <w:rFonts w:ascii="Times New Roman" w:hAnsi="Times New Roman" w:cs="Times New Roman"/>
          <w:i/>
        </w:rPr>
        <w:t>a  ktorým</w:t>
      </w:r>
      <w:proofErr w:type="gramEnd"/>
      <w:r w:rsidRPr="00EB512D">
        <w:rPr>
          <w:rFonts w:ascii="Times New Roman" w:hAnsi="Times New Roman" w:cs="Times New Roman"/>
          <w:i/>
        </w:rPr>
        <w:t xml:space="preserve"> sa menia a dopĺňajú niektoré zákony </w:t>
      </w:r>
    </w:p>
    <w:p w14:paraId="731B0770" w14:textId="77777777" w:rsidR="007C3F79" w:rsidRPr="00EB512D" w:rsidRDefault="007C3F79" w:rsidP="007C3F79">
      <w:pPr>
        <w:pStyle w:val="Default"/>
        <w:ind w:firstLine="426"/>
        <w:rPr>
          <w:rFonts w:ascii="Times New Roman" w:hAnsi="Times New Roman" w:cs="Times New Roman"/>
          <w:i/>
        </w:rPr>
      </w:pPr>
    </w:p>
    <w:p w14:paraId="6EF93A90" w14:textId="77777777" w:rsidR="007C3F79" w:rsidRPr="00EB512D" w:rsidRDefault="007C3F79" w:rsidP="007C3F79">
      <w:pPr>
        <w:pStyle w:val="Default"/>
        <w:ind w:firstLine="426"/>
        <w:rPr>
          <w:rFonts w:ascii="Times New Roman" w:hAnsi="Times New Roman" w:cs="Times New Roman"/>
        </w:rPr>
      </w:pPr>
      <w:r w:rsidRPr="00EB512D">
        <w:rPr>
          <w:rFonts w:ascii="Times New Roman" w:hAnsi="Times New Roman" w:cs="Times New Roman"/>
        </w:rPr>
        <w:t xml:space="preserve">3. </w:t>
      </w:r>
      <w:r w:rsidRPr="00EB512D">
        <w:rPr>
          <w:rFonts w:ascii="Times New Roman" w:hAnsi="Times New Roman" w:cs="Times New Roman"/>
          <w:b/>
          <w:bCs/>
        </w:rPr>
        <w:t>Predmet návrhu zákona je upravený v práve Európskej únie</w:t>
      </w:r>
      <w:r w:rsidRPr="00EB512D">
        <w:rPr>
          <w:rFonts w:ascii="Times New Roman" w:hAnsi="Times New Roman" w:cs="Times New Roman"/>
        </w:rPr>
        <w:t xml:space="preserve">: </w:t>
      </w:r>
    </w:p>
    <w:p w14:paraId="6A488F49" w14:textId="77777777" w:rsidR="007C3F79" w:rsidRPr="00EB512D" w:rsidRDefault="007C3F79" w:rsidP="007C3F79">
      <w:pPr>
        <w:pStyle w:val="Default"/>
        <w:ind w:left="567" w:firstLine="426"/>
        <w:jc w:val="both"/>
        <w:rPr>
          <w:rFonts w:ascii="Times New Roman" w:hAnsi="Times New Roman" w:cs="Times New Roman"/>
        </w:rPr>
      </w:pPr>
      <w:r w:rsidRPr="00EB512D">
        <w:rPr>
          <w:rFonts w:ascii="Times New Roman" w:hAnsi="Times New Roman" w:cs="Times New Roman"/>
        </w:rPr>
        <w:t xml:space="preserve">a) </w:t>
      </w:r>
      <w:proofErr w:type="gramStart"/>
      <w:r w:rsidRPr="00EB512D">
        <w:rPr>
          <w:rFonts w:ascii="Times New Roman" w:hAnsi="Times New Roman" w:cs="Times New Roman"/>
        </w:rPr>
        <w:t>v</w:t>
      </w:r>
      <w:proofErr w:type="gramEnd"/>
      <w:r w:rsidRPr="00EB512D">
        <w:rPr>
          <w:rFonts w:ascii="Times New Roman" w:hAnsi="Times New Roman" w:cs="Times New Roman"/>
        </w:rPr>
        <w:t xml:space="preserve"> primárnom práve (uviesť názov zmluvy a číslo článku)</w:t>
      </w:r>
    </w:p>
    <w:p w14:paraId="7CADCFCA" w14:textId="77777777" w:rsidR="007C3F79" w:rsidRPr="00EB512D" w:rsidRDefault="007C3F79" w:rsidP="007C3F79">
      <w:pPr>
        <w:pStyle w:val="Default"/>
        <w:ind w:left="1134"/>
        <w:jc w:val="both"/>
        <w:rPr>
          <w:rFonts w:ascii="Times New Roman" w:hAnsi="Times New Roman" w:cs="Times New Roman"/>
          <w:i/>
        </w:rPr>
      </w:pPr>
    </w:p>
    <w:p w14:paraId="33096448" w14:textId="77777777" w:rsidR="007C3F79" w:rsidRPr="00EB512D" w:rsidRDefault="007C3F79" w:rsidP="007C3F79">
      <w:pPr>
        <w:pStyle w:val="Default"/>
        <w:ind w:left="1134"/>
        <w:jc w:val="both"/>
        <w:rPr>
          <w:rFonts w:ascii="Times New Roman" w:hAnsi="Times New Roman" w:cs="Times New Roman"/>
          <w:i/>
        </w:rPr>
      </w:pPr>
      <w:r w:rsidRPr="00EB512D">
        <w:rPr>
          <w:rFonts w:ascii="Times New Roman" w:hAnsi="Times New Roman" w:cs="Times New Roman"/>
          <w:i/>
        </w:rPr>
        <w:t>Čl. 114 Zmluvy o fungovaní Európskej únie.</w:t>
      </w:r>
    </w:p>
    <w:p w14:paraId="0A58E737" w14:textId="77777777" w:rsidR="007C3F79" w:rsidRPr="00EB512D" w:rsidRDefault="007C3F79" w:rsidP="007C3F79">
      <w:pPr>
        <w:pStyle w:val="Default"/>
        <w:ind w:left="1134"/>
        <w:jc w:val="both"/>
        <w:rPr>
          <w:rFonts w:ascii="Times New Roman" w:hAnsi="Times New Roman" w:cs="Times New Roman"/>
          <w:i/>
        </w:rPr>
      </w:pPr>
    </w:p>
    <w:p w14:paraId="0FAAE048" w14:textId="77777777" w:rsidR="007C3F79" w:rsidRPr="00EB512D" w:rsidRDefault="007C3F79" w:rsidP="007C3F79">
      <w:pPr>
        <w:pStyle w:val="Default"/>
        <w:ind w:left="1276" w:hanging="283"/>
        <w:jc w:val="both"/>
        <w:rPr>
          <w:rFonts w:ascii="Times New Roman" w:hAnsi="Times New Roman" w:cs="Times New Roman"/>
        </w:rPr>
      </w:pPr>
      <w:r w:rsidRPr="00EB512D">
        <w:rPr>
          <w:rFonts w:ascii="Times New Roman" w:hAnsi="Times New Roman" w:cs="Times New Roman"/>
        </w:rPr>
        <w:t xml:space="preserve">b) </w:t>
      </w:r>
      <w:proofErr w:type="gramStart"/>
      <w:r w:rsidRPr="00EB512D">
        <w:rPr>
          <w:rFonts w:ascii="Times New Roman" w:hAnsi="Times New Roman" w:cs="Times New Roman"/>
        </w:rPr>
        <w:t>v</w:t>
      </w:r>
      <w:proofErr w:type="gramEnd"/>
      <w:r w:rsidRPr="00EB512D">
        <w:rPr>
          <w:rFonts w:ascii="Times New Roman" w:hAnsi="Times New Roman" w:cs="Times New Roman"/>
        </w:rPr>
        <w:t xml:space="preserve"> sekundárnom práve (uviesť druh, inštitúciu, číslo, názov a dátum vydania právneho aktu vzťahujúceho sa na upravovanú problematiku, vrátane jeho gestora)</w:t>
      </w:r>
    </w:p>
    <w:p w14:paraId="296ADF95" w14:textId="77777777" w:rsidR="007C3F79" w:rsidRPr="00EB512D" w:rsidRDefault="007C3F79" w:rsidP="007C3F79">
      <w:pPr>
        <w:pStyle w:val="Default"/>
        <w:ind w:left="1276"/>
        <w:jc w:val="both"/>
        <w:rPr>
          <w:rFonts w:ascii="Times New Roman" w:hAnsi="Times New Roman" w:cs="Times New Roman"/>
          <w:i/>
        </w:rPr>
      </w:pPr>
    </w:p>
    <w:p w14:paraId="04101E2A" w14:textId="77777777" w:rsidR="007C3F79" w:rsidRPr="00EB512D" w:rsidRDefault="007C3F79" w:rsidP="007C3F79">
      <w:pPr>
        <w:pStyle w:val="Default"/>
        <w:ind w:left="1276"/>
        <w:jc w:val="both"/>
        <w:rPr>
          <w:rFonts w:ascii="Times New Roman" w:hAnsi="Times New Roman" w:cs="Times New Roman"/>
          <w:i/>
        </w:rPr>
      </w:pPr>
      <w:r w:rsidRPr="00EB512D">
        <w:rPr>
          <w:rFonts w:ascii="Times New Roman" w:hAnsi="Times New Roman" w:cs="Times New Roman"/>
          <w:i/>
        </w:rPr>
        <w:t xml:space="preserve">Nariadenie Európskeho parlamentu a Rady (EÚ) č. 910/2014 z 23. </w:t>
      </w:r>
      <w:proofErr w:type="gramStart"/>
      <w:r w:rsidRPr="00EB512D">
        <w:rPr>
          <w:rFonts w:ascii="Times New Roman" w:hAnsi="Times New Roman" w:cs="Times New Roman"/>
          <w:i/>
        </w:rPr>
        <w:t>júla</w:t>
      </w:r>
      <w:proofErr w:type="gramEnd"/>
      <w:r w:rsidRPr="00EB512D">
        <w:rPr>
          <w:rFonts w:ascii="Times New Roman" w:hAnsi="Times New Roman" w:cs="Times New Roman"/>
          <w:i/>
        </w:rPr>
        <w:t xml:space="preserve"> 2014 o   elektronickej identifikácii a dôveryhodných službách pre elektronické transakcie na vnútornom trhu a o zrušení smernice 1999/93/ES (Ú. v. EÚ L 257, 28.8.2014), gestor Národný bezpečnostný úrad</w:t>
      </w:r>
    </w:p>
    <w:p w14:paraId="7961EC39" w14:textId="77777777" w:rsidR="007C3F79" w:rsidRPr="00EB512D" w:rsidRDefault="007C3F79" w:rsidP="007C3F79">
      <w:pPr>
        <w:pStyle w:val="Default"/>
        <w:ind w:left="1276"/>
        <w:jc w:val="both"/>
        <w:rPr>
          <w:rFonts w:ascii="Times New Roman" w:hAnsi="Times New Roman" w:cs="Times New Roman"/>
          <w:i/>
        </w:rPr>
      </w:pPr>
    </w:p>
    <w:p w14:paraId="3CB04509" w14:textId="77777777" w:rsidR="007C3F79" w:rsidRPr="00EB512D" w:rsidRDefault="007C3F79" w:rsidP="007C3F79">
      <w:pPr>
        <w:pStyle w:val="Default"/>
        <w:ind w:left="1276"/>
        <w:jc w:val="both"/>
        <w:rPr>
          <w:rFonts w:ascii="Times New Roman" w:hAnsi="Times New Roman" w:cs="Times New Roman"/>
          <w:i/>
        </w:rPr>
      </w:pPr>
      <w:r w:rsidRPr="00EB512D">
        <w:rPr>
          <w:rFonts w:ascii="Times New Roman" w:hAnsi="Times New Roman" w:cs="Times New Roman"/>
          <w:i/>
        </w:rPr>
        <w:t xml:space="preserve">Vykonávacie nariadenie Komisie (EÚ) 2015/1501 z 8. </w:t>
      </w:r>
      <w:proofErr w:type="gramStart"/>
      <w:r w:rsidRPr="00EB512D">
        <w:rPr>
          <w:rFonts w:ascii="Times New Roman" w:hAnsi="Times New Roman" w:cs="Times New Roman"/>
          <w:i/>
        </w:rPr>
        <w:t>septembra</w:t>
      </w:r>
      <w:proofErr w:type="gramEnd"/>
      <w:r w:rsidRPr="00EB512D">
        <w:rPr>
          <w:rFonts w:ascii="Times New Roman" w:hAnsi="Times New Roman" w:cs="Times New Roman"/>
          <w:i/>
        </w:rPr>
        <w:t xml:space="preserve"> 2015 o rámci interoperability podľa článku 12 ods. </w:t>
      </w:r>
      <w:proofErr w:type="gramStart"/>
      <w:r w:rsidRPr="00EB512D">
        <w:rPr>
          <w:rFonts w:ascii="Times New Roman" w:hAnsi="Times New Roman" w:cs="Times New Roman"/>
          <w:i/>
        </w:rPr>
        <w:t>8</w:t>
      </w:r>
      <w:proofErr w:type="gramEnd"/>
      <w:r w:rsidRPr="00EB512D">
        <w:rPr>
          <w:rFonts w:ascii="Times New Roman" w:hAnsi="Times New Roman" w:cs="Times New Roman"/>
          <w:i/>
        </w:rPr>
        <w:t xml:space="preserve"> nariadenia Európskeho parlamentu a Rady (EÚ) č. 910/2014 o elektronickej identifikácii a dôveryhodných službách pre elektronické transakcie na vnútornom trhu (Ú. v. EÚ L 235, 9.9.2015), gestor Národný bezpečnostný úrad</w:t>
      </w:r>
    </w:p>
    <w:p w14:paraId="51554DB3" w14:textId="77777777" w:rsidR="007C3F79" w:rsidRPr="00EB512D" w:rsidRDefault="007C3F79" w:rsidP="007C3F79">
      <w:pPr>
        <w:pStyle w:val="Default"/>
        <w:ind w:left="1276"/>
        <w:jc w:val="both"/>
        <w:rPr>
          <w:rFonts w:ascii="Times New Roman" w:hAnsi="Times New Roman" w:cs="Times New Roman"/>
          <w:i/>
        </w:rPr>
      </w:pPr>
    </w:p>
    <w:p w14:paraId="5092A74A" w14:textId="77777777" w:rsidR="007C3F79" w:rsidRPr="00EB512D" w:rsidRDefault="007C3F79" w:rsidP="007C3F79">
      <w:pPr>
        <w:pStyle w:val="Default"/>
        <w:ind w:left="1276" w:hanging="283"/>
        <w:jc w:val="both"/>
        <w:rPr>
          <w:rFonts w:ascii="Times New Roman" w:hAnsi="Times New Roman" w:cs="Times New Roman"/>
        </w:rPr>
      </w:pPr>
      <w:r w:rsidRPr="00EB512D">
        <w:rPr>
          <w:rFonts w:ascii="Times New Roman" w:hAnsi="Times New Roman" w:cs="Times New Roman"/>
        </w:rPr>
        <w:t xml:space="preserve">c) </w:t>
      </w:r>
      <w:proofErr w:type="gramStart"/>
      <w:r w:rsidRPr="00EB512D">
        <w:rPr>
          <w:rFonts w:ascii="Times New Roman" w:hAnsi="Times New Roman" w:cs="Times New Roman"/>
        </w:rPr>
        <w:t>v</w:t>
      </w:r>
      <w:proofErr w:type="gramEnd"/>
      <w:r w:rsidRPr="00EB512D">
        <w:rPr>
          <w:rFonts w:ascii="Times New Roman" w:hAnsi="Times New Roman" w:cs="Times New Roman"/>
        </w:rPr>
        <w:t xml:space="preserve"> judikatúre Súdneho dvora Európskej únie (uviesť číslo a označenie relevantného rozhodnutia a stručne jeho výrok alebo relevantné právne vety)</w:t>
      </w:r>
    </w:p>
    <w:p w14:paraId="2528A4DD" w14:textId="77777777" w:rsidR="007C3F79" w:rsidRPr="00EB512D" w:rsidRDefault="007C3F79" w:rsidP="007C3F79">
      <w:pPr>
        <w:pStyle w:val="Default"/>
        <w:ind w:left="1276"/>
        <w:jc w:val="both"/>
        <w:rPr>
          <w:rFonts w:ascii="Times New Roman" w:hAnsi="Times New Roman" w:cs="Times New Roman"/>
          <w:i/>
        </w:rPr>
      </w:pPr>
    </w:p>
    <w:p w14:paraId="23498A1A" w14:textId="77777777" w:rsidR="007C3F79" w:rsidRPr="00EB512D" w:rsidRDefault="007C3F79" w:rsidP="007C3F79">
      <w:pPr>
        <w:pStyle w:val="Default"/>
        <w:ind w:left="1276"/>
        <w:jc w:val="both"/>
        <w:rPr>
          <w:rFonts w:ascii="Times New Roman" w:hAnsi="Times New Roman" w:cs="Times New Roman"/>
          <w:i/>
        </w:rPr>
      </w:pPr>
      <w:r w:rsidRPr="00EB512D">
        <w:rPr>
          <w:rFonts w:ascii="Times New Roman" w:hAnsi="Times New Roman" w:cs="Times New Roman"/>
          <w:i/>
        </w:rPr>
        <w:t xml:space="preserve">Judikatúra Súdneho dvora EÚ </w:t>
      </w:r>
      <w:proofErr w:type="gramStart"/>
      <w:r w:rsidRPr="00EB512D">
        <w:rPr>
          <w:rFonts w:ascii="Times New Roman" w:hAnsi="Times New Roman" w:cs="Times New Roman"/>
          <w:i/>
        </w:rPr>
        <w:t>sa</w:t>
      </w:r>
      <w:proofErr w:type="gramEnd"/>
      <w:r w:rsidRPr="00EB512D">
        <w:rPr>
          <w:rFonts w:ascii="Times New Roman" w:hAnsi="Times New Roman" w:cs="Times New Roman"/>
          <w:i/>
        </w:rPr>
        <w:t xml:space="preserve"> priamo nedotýka predkladaného návrhu zákona. </w:t>
      </w:r>
    </w:p>
    <w:p w14:paraId="5743DCCA" w14:textId="77777777" w:rsidR="007C3F79" w:rsidRPr="00EB512D" w:rsidRDefault="007C3F79" w:rsidP="007C3F79">
      <w:pPr>
        <w:pStyle w:val="Default"/>
        <w:ind w:left="567"/>
        <w:jc w:val="both"/>
        <w:rPr>
          <w:rFonts w:ascii="Times New Roman" w:hAnsi="Times New Roman" w:cs="Times New Roman"/>
          <w:i/>
        </w:rPr>
      </w:pPr>
    </w:p>
    <w:p w14:paraId="617A06F3" w14:textId="77777777" w:rsidR="007C3F79" w:rsidRPr="00EB512D" w:rsidRDefault="007C3F79" w:rsidP="007C3F79">
      <w:pPr>
        <w:pStyle w:val="Default"/>
        <w:ind w:firstLine="426"/>
        <w:rPr>
          <w:rFonts w:ascii="Times New Roman" w:hAnsi="Times New Roman" w:cs="Times New Roman"/>
        </w:rPr>
      </w:pPr>
      <w:r w:rsidRPr="00EB512D">
        <w:rPr>
          <w:rFonts w:ascii="Times New Roman" w:hAnsi="Times New Roman" w:cs="Times New Roman"/>
        </w:rPr>
        <w:t xml:space="preserve">4. </w:t>
      </w:r>
      <w:r w:rsidRPr="00EB512D">
        <w:rPr>
          <w:rFonts w:ascii="Times New Roman" w:hAnsi="Times New Roman" w:cs="Times New Roman"/>
          <w:b/>
          <w:bCs/>
        </w:rPr>
        <w:t xml:space="preserve">Záväzky Slovenskej republiky </w:t>
      </w:r>
      <w:proofErr w:type="gramStart"/>
      <w:r w:rsidRPr="00EB512D">
        <w:rPr>
          <w:rFonts w:ascii="Times New Roman" w:hAnsi="Times New Roman" w:cs="Times New Roman"/>
          <w:b/>
          <w:bCs/>
        </w:rPr>
        <w:t>vo</w:t>
      </w:r>
      <w:proofErr w:type="gramEnd"/>
      <w:r w:rsidRPr="00EB512D">
        <w:rPr>
          <w:rFonts w:ascii="Times New Roman" w:hAnsi="Times New Roman" w:cs="Times New Roman"/>
          <w:b/>
          <w:bCs/>
        </w:rPr>
        <w:t xml:space="preserve"> vzťahu k Európskej únii</w:t>
      </w:r>
      <w:r w:rsidRPr="00EB512D">
        <w:rPr>
          <w:rFonts w:ascii="Times New Roman" w:hAnsi="Times New Roman" w:cs="Times New Roman"/>
        </w:rPr>
        <w:t xml:space="preserve">: </w:t>
      </w:r>
    </w:p>
    <w:p w14:paraId="216982C1" w14:textId="77777777" w:rsidR="007C3F79" w:rsidRPr="00EB512D" w:rsidRDefault="007C3F79" w:rsidP="007C3F79">
      <w:pPr>
        <w:pStyle w:val="Default"/>
        <w:ind w:left="1276" w:hanging="283"/>
        <w:jc w:val="both"/>
        <w:rPr>
          <w:rFonts w:ascii="Times New Roman" w:hAnsi="Times New Roman" w:cs="Times New Roman"/>
        </w:rPr>
      </w:pPr>
      <w:r w:rsidRPr="00EB512D">
        <w:rPr>
          <w:rFonts w:ascii="Times New Roman" w:hAnsi="Times New Roman" w:cs="Times New Roman"/>
        </w:rPr>
        <w:t xml:space="preserve">a) </w:t>
      </w:r>
      <w:proofErr w:type="gramStart"/>
      <w:r w:rsidRPr="00EB512D">
        <w:rPr>
          <w:rFonts w:ascii="Times New Roman" w:hAnsi="Times New Roman" w:cs="Times New Roman"/>
        </w:rPr>
        <w:t>uviesť</w:t>
      </w:r>
      <w:proofErr w:type="gramEnd"/>
      <w:r w:rsidRPr="00EB512D">
        <w:rPr>
          <w:rFonts w:ascii="Times New Roman" w:hAnsi="Times New Roman" w:cs="Times New Roman"/>
        </w:rPr>
        <w:t xml:space="preserve"> lehotu na prebranie príslušného právneho aktu Európskej únie, príp. </w:t>
      </w:r>
      <w:proofErr w:type="gramStart"/>
      <w:r w:rsidRPr="00EB512D">
        <w:rPr>
          <w:rFonts w:ascii="Times New Roman" w:hAnsi="Times New Roman" w:cs="Times New Roman"/>
        </w:rPr>
        <w:t>aj</w:t>
      </w:r>
      <w:proofErr w:type="gramEnd"/>
      <w:r w:rsidRPr="00EB512D">
        <w:rPr>
          <w:rFonts w:ascii="Times New Roman" w:hAnsi="Times New Roman" w:cs="Times New Roman"/>
        </w:rPr>
        <w:t xml:space="preserve"> osobitnú lehotu účinnosti jeho ustanovení, </w:t>
      </w:r>
    </w:p>
    <w:p w14:paraId="67C9DDDC" w14:textId="77777777" w:rsidR="007C3F79" w:rsidRPr="00EB512D" w:rsidRDefault="007C3F79" w:rsidP="007C3F79">
      <w:pPr>
        <w:pStyle w:val="Default"/>
        <w:ind w:left="1276" w:hanging="283"/>
        <w:jc w:val="both"/>
        <w:rPr>
          <w:rFonts w:ascii="Times New Roman" w:hAnsi="Times New Roman" w:cs="Times New Roman"/>
        </w:rPr>
      </w:pPr>
    </w:p>
    <w:p w14:paraId="46512028" w14:textId="77777777" w:rsidR="007C3F79" w:rsidRPr="00EB512D" w:rsidRDefault="007C3F79" w:rsidP="007C3F79">
      <w:pPr>
        <w:ind w:left="1276"/>
        <w:jc w:val="both"/>
        <w:rPr>
          <w:i/>
          <w:color w:val="000000"/>
        </w:rPr>
      </w:pPr>
      <w:r w:rsidRPr="00EB512D">
        <w:rPr>
          <w:i/>
          <w:color w:val="000000"/>
        </w:rPr>
        <w:t xml:space="preserve">Bezpredmetné. Nové smernice </w:t>
      </w:r>
      <w:proofErr w:type="gramStart"/>
      <w:r w:rsidRPr="00EB512D">
        <w:rPr>
          <w:i/>
          <w:color w:val="000000"/>
        </w:rPr>
        <w:t>sa</w:t>
      </w:r>
      <w:proofErr w:type="gramEnd"/>
      <w:r w:rsidRPr="00EB512D">
        <w:rPr>
          <w:i/>
          <w:color w:val="000000"/>
        </w:rPr>
        <w:t xml:space="preserve"> nepreberajú, nové nariadenia alebo rozhodnutia sa neimplementujú.</w:t>
      </w:r>
    </w:p>
    <w:p w14:paraId="314B7334" w14:textId="77777777" w:rsidR="007C3F79" w:rsidRPr="00EB512D" w:rsidRDefault="007C3F79" w:rsidP="007C3F79">
      <w:pPr>
        <w:pStyle w:val="Default"/>
        <w:ind w:left="1276" w:hanging="283"/>
        <w:jc w:val="both"/>
        <w:rPr>
          <w:rFonts w:ascii="Times New Roman" w:hAnsi="Times New Roman" w:cs="Times New Roman"/>
          <w:b/>
        </w:rPr>
      </w:pPr>
      <w:r w:rsidRPr="00EB512D">
        <w:rPr>
          <w:rFonts w:ascii="Times New Roman" w:hAnsi="Times New Roman" w:cs="Times New Roman"/>
        </w:rPr>
        <w:t xml:space="preserve">b) </w:t>
      </w:r>
      <w:proofErr w:type="gramStart"/>
      <w:r w:rsidRPr="00EB512D">
        <w:rPr>
          <w:rFonts w:ascii="Times New Roman" w:hAnsi="Times New Roman" w:cs="Times New Roman"/>
        </w:rPr>
        <w:t>uviesť</w:t>
      </w:r>
      <w:proofErr w:type="gramEnd"/>
      <w:r w:rsidRPr="00EB512D">
        <w:rPr>
          <w:rFonts w:ascii="Times New Roman" w:hAnsi="Times New Roman" w:cs="Times New Roman"/>
        </w:rPr>
        <w:t xml:space="preserve">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w:t>
      </w:r>
      <w:proofErr w:type="gramStart"/>
      <w:r w:rsidRPr="00EB512D">
        <w:rPr>
          <w:rFonts w:ascii="Times New Roman" w:hAnsi="Times New Roman" w:cs="Times New Roman"/>
        </w:rPr>
        <w:t>na</w:t>
      </w:r>
      <w:proofErr w:type="gramEnd"/>
      <w:r w:rsidRPr="00EB512D">
        <w:rPr>
          <w:rFonts w:ascii="Times New Roman" w:hAnsi="Times New Roman" w:cs="Times New Roman"/>
        </w:rPr>
        <w:t xml:space="preserve"> zabezpečenie nápravy so zreteľom na n</w:t>
      </w:r>
      <w:r w:rsidRPr="00EB512D">
        <w:rPr>
          <w:rStyle w:val="Siln"/>
          <w:rFonts w:ascii="Times New Roman" w:hAnsi="Times New Roman" w:cs="Times New Roman"/>
          <w:color w:val="auto"/>
        </w:rPr>
        <w:t>ariadenie Európskeho parlamentu a Rady (ES) č. 1049/2001 z 30. </w:t>
      </w:r>
      <w:proofErr w:type="gramStart"/>
      <w:r w:rsidRPr="00EB512D">
        <w:rPr>
          <w:rStyle w:val="Siln"/>
          <w:rFonts w:ascii="Times New Roman" w:hAnsi="Times New Roman" w:cs="Times New Roman"/>
          <w:color w:val="auto"/>
        </w:rPr>
        <w:t>mája</w:t>
      </w:r>
      <w:proofErr w:type="gramEnd"/>
      <w:r w:rsidRPr="00EB512D">
        <w:rPr>
          <w:rStyle w:val="Siln"/>
          <w:rFonts w:ascii="Times New Roman" w:hAnsi="Times New Roman" w:cs="Times New Roman"/>
          <w:color w:val="auto"/>
        </w:rPr>
        <w:t> 2001 o prístupe verejnosti k dokumentom Európskeho parlamentu, Rady a Komisie</w:t>
      </w:r>
      <w:r w:rsidRPr="00EB512D">
        <w:rPr>
          <w:rFonts w:ascii="Times New Roman" w:hAnsi="Times New Roman" w:cs="Times New Roman"/>
          <w:b/>
        </w:rPr>
        <w:t xml:space="preserve">, </w:t>
      </w:r>
    </w:p>
    <w:p w14:paraId="368F4F1C" w14:textId="77777777" w:rsidR="007C3F79" w:rsidRPr="00EB512D" w:rsidRDefault="007C3F79" w:rsidP="007C3F79">
      <w:pPr>
        <w:pStyle w:val="Default"/>
        <w:ind w:left="1276"/>
        <w:jc w:val="both"/>
        <w:rPr>
          <w:rFonts w:ascii="Times New Roman" w:hAnsi="Times New Roman" w:cs="Times New Roman"/>
          <w:i/>
        </w:rPr>
      </w:pPr>
    </w:p>
    <w:p w14:paraId="32DAA802" w14:textId="77777777" w:rsidR="007C3F79" w:rsidRPr="00EB512D" w:rsidRDefault="007C3F79" w:rsidP="007C3F79">
      <w:pPr>
        <w:pStyle w:val="Default"/>
        <w:ind w:left="1276"/>
        <w:jc w:val="both"/>
        <w:rPr>
          <w:rFonts w:ascii="Times New Roman" w:hAnsi="Times New Roman" w:cs="Times New Roman"/>
          <w:i/>
        </w:rPr>
      </w:pPr>
      <w:r w:rsidRPr="00EB512D">
        <w:rPr>
          <w:rFonts w:ascii="Times New Roman" w:hAnsi="Times New Roman" w:cs="Times New Roman"/>
          <w:i/>
        </w:rPr>
        <w:t>Nebolo začaté konanie.</w:t>
      </w:r>
    </w:p>
    <w:p w14:paraId="096C2F78" w14:textId="77777777" w:rsidR="007C3F79" w:rsidRPr="00EB512D" w:rsidRDefault="007C3F79" w:rsidP="007C3F79">
      <w:pPr>
        <w:pStyle w:val="Default"/>
        <w:ind w:left="1276" w:hanging="283"/>
        <w:jc w:val="both"/>
        <w:rPr>
          <w:rFonts w:ascii="Times New Roman" w:hAnsi="Times New Roman" w:cs="Times New Roman"/>
        </w:rPr>
      </w:pPr>
    </w:p>
    <w:p w14:paraId="1665C0CC" w14:textId="77777777" w:rsidR="007C3F79" w:rsidRPr="00EB512D" w:rsidRDefault="007C3F79" w:rsidP="007C3F79">
      <w:pPr>
        <w:pStyle w:val="Default"/>
        <w:ind w:left="1276" w:hanging="283"/>
        <w:jc w:val="both"/>
        <w:rPr>
          <w:rFonts w:ascii="Times New Roman" w:hAnsi="Times New Roman" w:cs="Times New Roman"/>
        </w:rPr>
      </w:pPr>
      <w:r w:rsidRPr="00EB512D">
        <w:rPr>
          <w:rFonts w:ascii="Times New Roman" w:hAnsi="Times New Roman" w:cs="Times New Roman"/>
        </w:rPr>
        <w:t xml:space="preserve">c) </w:t>
      </w:r>
      <w:proofErr w:type="gramStart"/>
      <w:r w:rsidRPr="00EB512D">
        <w:rPr>
          <w:rFonts w:ascii="Times New Roman" w:hAnsi="Times New Roman" w:cs="Times New Roman"/>
        </w:rPr>
        <w:t>uviesť</w:t>
      </w:r>
      <w:proofErr w:type="gramEnd"/>
      <w:r w:rsidRPr="00EB512D">
        <w:rPr>
          <w:rFonts w:ascii="Times New Roman" w:hAnsi="Times New Roman" w:cs="Times New Roman"/>
        </w:rPr>
        <w:t xml:space="preserve"> informáciu o právnych predpisoch, v ktorých sú uvádzané právne akty Európskej únie už prebrané, spolu s uvedením rozsahu ich prebrania, príp. </w:t>
      </w:r>
      <w:proofErr w:type="gramStart"/>
      <w:r w:rsidRPr="00EB512D">
        <w:rPr>
          <w:rFonts w:ascii="Times New Roman" w:hAnsi="Times New Roman" w:cs="Times New Roman"/>
        </w:rPr>
        <w:t>potreby</w:t>
      </w:r>
      <w:proofErr w:type="gramEnd"/>
      <w:r w:rsidRPr="00EB512D">
        <w:rPr>
          <w:rFonts w:ascii="Times New Roman" w:hAnsi="Times New Roman" w:cs="Times New Roman"/>
        </w:rPr>
        <w:t xml:space="preserve"> prijatia ďalších úprav. </w:t>
      </w:r>
    </w:p>
    <w:p w14:paraId="58A22069" w14:textId="77777777" w:rsidR="007C3F79" w:rsidRPr="00EB512D" w:rsidRDefault="007C3F79" w:rsidP="007C3F79">
      <w:pPr>
        <w:pStyle w:val="Default"/>
        <w:ind w:left="1276"/>
        <w:jc w:val="both"/>
        <w:rPr>
          <w:rFonts w:ascii="Times New Roman" w:hAnsi="Times New Roman" w:cs="Times New Roman"/>
          <w:i/>
        </w:rPr>
      </w:pPr>
    </w:p>
    <w:p w14:paraId="5EC22EDD" w14:textId="77777777" w:rsidR="007C3F79" w:rsidRPr="00EB512D" w:rsidRDefault="007C3F79" w:rsidP="007C3F79">
      <w:pPr>
        <w:pStyle w:val="Default"/>
        <w:ind w:left="1276"/>
        <w:jc w:val="both"/>
        <w:rPr>
          <w:rFonts w:ascii="Times New Roman" w:hAnsi="Times New Roman" w:cs="Times New Roman"/>
          <w:i/>
        </w:rPr>
      </w:pPr>
      <w:r w:rsidRPr="00EB512D">
        <w:rPr>
          <w:rFonts w:ascii="Times New Roman" w:hAnsi="Times New Roman" w:cs="Times New Roman"/>
          <w:i/>
        </w:rPr>
        <w:t xml:space="preserve">Bezpredmetné. </w:t>
      </w:r>
    </w:p>
    <w:p w14:paraId="5A8CC281" w14:textId="77777777" w:rsidR="007C3F79" w:rsidRPr="00EB512D" w:rsidRDefault="007C3F79" w:rsidP="007C3F79">
      <w:pPr>
        <w:pStyle w:val="Default"/>
        <w:jc w:val="both"/>
        <w:rPr>
          <w:rFonts w:ascii="Times New Roman" w:hAnsi="Times New Roman" w:cs="Times New Roman"/>
        </w:rPr>
      </w:pPr>
    </w:p>
    <w:p w14:paraId="650EB01E" w14:textId="77777777" w:rsidR="007C3F79" w:rsidRPr="00EB512D" w:rsidRDefault="007C3F79" w:rsidP="007C3F79">
      <w:pPr>
        <w:pStyle w:val="Default"/>
        <w:rPr>
          <w:rFonts w:ascii="Times New Roman" w:hAnsi="Times New Roman" w:cs="Times New Roman"/>
        </w:rPr>
      </w:pPr>
      <w:r w:rsidRPr="00EB512D">
        <w:rPr>
          <w:rFonts w:ascii="Times New Roman" w:hAnsi="Times New Roman" w:cs="Times New Roman"/>
        </w:rPr>
        <w:t xml:space="preserve">5. </w:t>
      </w:r>
      <w:r w:rsidRPr="00EB512D">
        <w:rPr>
          <w:rFonts w:ascii="Times New Roman" w:hAnsi="Times New Roman" w:cs="Times New Roman"/>
          <w:b/>
          <w:bCs/>
        </w:rPr>
        <w:t>Návrh zákona je zlučiteľný s právom Európskej únie</w:t>
      </w:r>
      <w:r w:rsidRPr="00EB512D">
        <w:rPr>
          <w:rFonts w:ascii="Times New Roman" w:hAnsi="Times New Roman" w:cs="Times New Roman"/>
        </w:rPr>
        <w:t xml:space="preserve">: </w:t>
      </w:r>
    </w:p>
    <w:p w14:paraId="7F876641" w14:textId="77777777" w:rsidR="007C3F79" w:rsidRPr="00EB512D" w:rsidRDefault="007C3F79" w:rsidP="007C3F79">
      <w:pPr>
        <w:pStyle w:val="Default"/>
        <w:ind w:left="1276"/>
        <w:jc w:val="both"/>
        <w:rPr>
          <w:rFonts w:ascii="Times New Roman" w:hAnsi="Times New Roman" w:cs="Times New Roman"/>
          <w:i/>
        </w:rPr>
      </w:pPr>
    </w:p>
    <w:p w14:paraId="086AD962" w14:textId="77777777" w:rsidR="007C3F79" w:rsidRPr="00EB512D" w:rsidRDefault="007C3F79" w:rsidP="007C3F79">
      <w:pPr>
        <w:pStyle w:val="Default"/>
        <w:ind w:left="1276"/>
        <w:jc w:val="both"/>
        <w:rPr>
          <w:rFonts w:ascii="Times New Roman" w:hAnsi="Times New Roman" w:cs="Times New Roman"/>
          <w:i/>
        </w:rPr>
      </w:pPr>
      <w:proofErr w:type="gramStart"/>
      <w:r w:rsidRPr="00EB512D">
        <w:rPr>
          <w:rFonts w:ascii="Times New Roman" w:hAnsi="Times New Roman" w:cs="Times New Roman"/>
          <w:i/>
        </w:rPr>
        <w:t>úplne</w:t>
      </w:r>
      <w:proofErr w:type="gramEnd"/>
      <w:r w:rsidRPr="00EB512D">
        <w:rPr>
          <w:rFonts w:ascii="Times New Roman" w:hAnsi="Times New Roman" w:cs="Times New Roman"/>
          <w:i/>
        </w:rPr>
        <w:t xml:space="preserve"> </w:t>
      </w:r>
    </w:p>
    <w:p w14:paraId="5EE23AFC" w14:textId="77777777" w:rsidR="007C3F79" w:rsidRPr="00EB512D" w:rsidRDefault="007C3F79" w:rsidP="007C3F79">
      <w:pPr>
        <w:jc w:val="both"/>
        <w:rPr>
          <w:lang w:val="sk-SK"/>
        </w:rPr>
        <w:sectPr w:rsidR="007C3F79" w:rsidRPr="00EB512D" w:rsidSect="007B0A46">
          <w:footerReference w:type="default" r:id="rId17"/>
          <w:pgSz w:w="11906" w:h="16838" w:code="9"/>
          <w:pgMar w:top="1418" w:right="1418" w:bottom="1418" w:left="1418" w:header="709" w:footer="709" w:gutter="0"/>
          <w:cols w:space="708"/>
          <w:titlePg/>
          <w:docGrid w:linePitch="360"/>
        </w:sectPr>
      </w:pPr>
    </w:p>
    <w:p w14:paraId="5F96DB3A" w14:textId="7712CC24" w:rsidR="009E06F1" w:rsidRPr="00EB512D" w:rsidRDefault="009E06F1" w:rsidP="009E06F1">
      <w:pPr>
        <w:pStyle w:val="Odsekzoznamu1"/>
        <w:numPr>
          <w:ilvl w:val="0"/>
          <w:numId w:val="1"/>
        </w:numPr>
        <w:spacing w:after="0"/>
        <w:ind w:left="426" w:hanging="426"/>
        <w:jc w:val="both"/>
        <w:rPr>
          <w:rFonts w:ascii="Times New Roman" w:hAnsi="Times New Roman"/>
          <w:b/>
        </w:rPr>
      </w:pPr>
      <w:r w:rsidRPr="00EB512D">
        <w:rPr>
          <w:rFonts w:ascii="Times New Roman" w:hAnsi="Times New Roman"/>
          <w:b/>
        </w:rPr>
        <w:lastRenderedPageBreak/>
        <w:t xml:space="preserve">Osobitná časť </w:t>
      </w:r>
    </w:p>
    <w:p w14:paraId="289C91B2" w14:textId="3C0AC19A" w:rsidR="00AF2BA2" w:rsidRPr="00EB512D" w:rsidRDefault="00AF2BA2" w:rsidP="009E06F1">
      <w:pPr>
        <w:jc w:val="both"/>
        <w:rPr>
          <w:lang w:val="sk-SK"/>
        </w:rPr>
      </w:pPr>
    </w:p>
    <w:p w14:paraId="272E7572" w14:textId="03E48916" w:rsidR="009E06F1" w:rsidRPr="00EB512D" w:rsidRDefault="00CF5D7D" w:rsidP="009E06F1">
      <w:pPr>
        <w:jc w:val="both"/>
        <w:rPr>
          <w:lang w:val="sk-SK"/>
        </w:rPr>
      </w:pPr>
      <w:r w:rsidRPr="00EB512D">
        <w:rPr>
          <w:lang w:val="sk-SK"/>
        </w:rPr>
        <w:t>K čl. I</w:t>
      </w:r>
    </w:p>
    <w:p w14:paraId="4240153A" w14:textId="21869ADA" w:rsidR="00D142FE" w:rsidRPr="00EB512D" w:rsidRDefault="00CF5D7D" w:rsidP="00E03BA2">
      <w:pPr>
        <w:jc w:val="both"/>
        <w:rPr>
          <w:lang w:val="sk-SK"/>
        </w:rPr>
      </w:pPr>
      <w:r w:rsidRPr="00EB512D">
        <w:rPr>
          <w:lang w:val="sk-SK"/>
        </w:rPr>
        <w:t>K bod</w:t>
      </w:r>
      <w:r w:rsidR="00D142FE" w:rsidRPr="00EB512D">
        <w:rPr>
          <w:lang w:val="sk-SK"/>
        </w:rPr>
        <w:t>om</w:t>
      </w:r>
      <w:r w:rsidRPr="00EB512D">
        <w:rPr>
          <w:lang w:val="sk-SK"/>
        </w:rPr>
        <w:t xml:space="preserve"> 1</w:t>
      </w:r>
      <w:r w:rsidR="00D142FE" w:rsidRPr="00EB512D">
        <w:rPr>
          <w:lang w:val="sk-SK"/>
        </w:rPr>
        <w:t xml:space="preserve"> a 2 (§ 3</w:t>
      </w:r>
      <w:r w:rsidR="005159FE" w:rsidRPr="00EB512D">
        <w:rPr>
          <w:lang w:val="sk-SK"/>
        </w:rPr>
        <w:t>)</w:t>
      </w:r>
      <w:r w:rsidRPr="00EB512D">
        <w:rPr>
          <w:lang w:val="sk-SK"/>
        </w:rPr>
        <w:t xml:space="preserve"> </w:t>
      </w:r>
    </w:p>
    <w:p w14:paraId="230E3E4B" w14:textId="127604F7" w:rsidR="00D142FE" w:rsidRPr="00EB512D" w:rsidRDefault="00D142FE" w:rsidP="00E03BA2">
      <w:pPr>
        <w:jc w:val="both"/>
        <w:rPr>
          <w:lang w:val="sk-SK"/>
        </w:rPr>
      </w:pPr>
      <w:r w:rsidRPr="00EB512D">
        <w:rPr>
          <w:lang w:val="sk-SK"/>
        </w:rPr>
        <w:t>Navrhovaná úprava reflektuje na vypustenie inštitútu súboru znakov, ktorý sa v minulosti prideľoval</w:t>
      </w:r>
      <w:r w:rsidR="005159FE" w:rsidRPr="00EB512D">
        <w:rPr>
          <w:lang w:val="sk-SK"/>
        </w:rPr>
        <w:t>,</w:t>
      </w:r>
      <w:r w:rsidRPr="00EB512D">
        <w:rPr>
          <w:lang w:val="sk-SK"/>
        </w:rPr>
        <w:t xml:space="preserve"> a nadväzne na to sa navrhujú upraviť ustanovenia o identifikátore osoby.</w:t>
      </w:r>
    </w:p>
    <w:p w14:paraId="0C6CE189" w14:textId="5ED9D1D5" w:rsidR="00D142FE" w:rsidRPr="00EB512D" w:rsidRDefault="00D142FE" w:rsidP="00E03BA2">
      <w:pPr>
        <w:jc w:val="both"/>
        <w:rPr>
          <w:lang w:val="sk-SK"/>
        </w:rPr>
      </w:pPr>
    </w:p>
    <w:p w14:paraId="6553C553" w14:textId="5170774B" w:rsidR="0037251F" w:rsidRPr="00EB512D" w:rsidRDefault="0037251F" w:rsidP="00E03BA2">
      <w:pPr>
        <w:jc w:val="both"/>
        <w:rPr>
          <w:lang w:val="sk-SK"/>
        </w:rPr>
      </w:pPr>
      <w:r w:rsidRPr="00EB512D">
        <w:rPr>
          <w:lang w:val="sk-SK"/>
        </w:rPr>
        <w:t>K bodu 3 (§ 5 ods. 6)</w:t>
      </w:r>
    </w:p>
    <w:p w14:paraId="629D67F6" w14:textId="57B6C552" w:rsidR="0037251F" w:rsidRPr="00EB512D" w:rsidRDefault="0037251F" w:rsidP="00E03BA2">
      <w:pPr>
        <w:jc w:val="both"/>
        <w:rPr>
          <w:lang w:val="sk-SK"/>
        </w:rPr>
      </w:pPr>
      <w:r w:rsidRPr="00EB512D">
        <w:rPr>
          <w:lang w:val="sk-SK"/>
        </w:rPr>
        <w:t>Legislatívno-technická úprava.</w:t>
      </w:r>
    </w:p>
    <w:p w14:paraId="5DAF0638" w14:textId="19BCD0BB" w:rsidR="0037251F" w:rsidRPr="00EB512D" w:rsidRDefault="0037251F" w:rsidP="00E03BA2">
      <w:pPr>
        <w:jc w:val="both"/>
        <w:rPr>
          <w:lang w:val="sk-SK"/>
        </w:rPr>
      </w:pPr>
    </w:p>
    <w:p w14:paraId="7BA045A9" w14:textId="23307B74" w:rsidR="0037251F" w:rsidRPr="00EB512D" w:rsidRDefault="0037251F" w:rsidP="00E03BA2">
      <w:pPr>
        <w:jc w:val="both"/>
        <w:rPr>
          <w:lang w:val="sk-SK"/>
        </w:rPr>
      </w:pPr>
      <w:r w:rsidRPr="00EB512D">
        <w:rPr>
          <w:lang w:val="sk-SK"/>
        </w:rPr>
        <w:t>K bodu 4 (§ 6 ods. 3)</w:t>
      </w:r>
    </w:p>
    <w:p w14:paraId="495D6F65" w14:textId="36EE6AA4" w:rsidR="0037251F" w:rsidRPr="00EB512D" w:rsidRDefault="0037251F" w:rsidP="0037251F">
      <w:pPr>
        <w:jc w:val="both"/>
        <w:rPr>
          <w:lang w:val="sk-SK"/>
        </w:rPr>
      </w:pPr>
      <w:r w:rsidRPr="00EB512D">
        <w:rPr>
          <w:lang w:val="sk-SK"/>
        </w:rPr>
        <w:t>Pôvodne bol ÚPVS ako jednotné prístupové miesto ku všetkým službám verejne</w:t>
      </w:r>
      <w:r w:rsidR="005159FE" w:rsidRPr="00EB512D">
        <w:rPr>
          <w:lang w:val="sk-SK"/>
        </w:rPr>
        <w:t>j</w:t>
      </w:r>
      <w:r w:rsidRPr="00EB512D">
        <w:rPr>
          <w:lang w:val="sk-SK"/>
        </w:rPr>
        <w:t xml:space="preserve"> správy ustanovený v zákone č. 275/2006 Z.</w:t>
      </w:r>
      <w:r w:rsidR="005159FE" w:rsidRPr="00EB512D">
        <w:rPr>
          <w:lang w:val="sk-SK"/>
        </w:rPr>
        <w:t xml:space="preserve"> </w:t>
      </w:r>
      <w:r w:rsidRPr="00EB512D">
        <w:rPr>
          <w:lang w:val="sk-SK"/>
        </w:rPr>
        <w:t>z. Zmenou sa sleduje priblíženie sa k stratégiám a akčným plánom e</w:t>
      </w:r>
      <w:r w:rsidR="005159FE" w:rsidRPr="00EB512D">
        <w:rPr>
          <w:lang w:val="sk-SK"/>
        </w:rPr>
        <w:t>-</w:t>
      </w:r>
      <w:r w:rsidRPr="00EB512D">
        <w:rPr>
          <w:lang w:val="sk-SK"/>
        </w:rPr>
        <w:t>Governmentu Európskej komisie, kde napríklad publikovanie služieb e</w:t>
      </w:r>
      <w:r w:rsidR="005159FE" w:rsidRPr="00EB512D">
        <w:rPr>
          <w:lang w:val="sk-SK"/>
        </w:rPr>
        <w:t>-</w:t>
      </w:r>
      <w:r w:rsidRPr="00EB512D">
        <w:rPr>
          <w:lang w:val="sk-SK"/>
        </w:rPr>
        <w:t>Governmentu cez jeden národný prístupový bod platí pre všetky služby, nielen služby výkonu verejnej moci.</w:t>
      </w:r>
    </w:p>
    <w:p w14:paraId="15FCD481" w14:textId="260659FA" w:rsidR="0037251F" w:rsidRPr="00EB512D" w:rsidRDefault="0037251F" w:rsidP="0037251F">
      <w:pPr>
        <w:jc w:val="both"/>
        <w:rPr>
          <w:lang w:val="sk-SK"/>
        </w:rPr>
      </w:pPr>
    </w:p>
    <w:p w14:paraId="114CE30F" w14:textId="3F10A420" w:rsidR="0037251F" w:rsidRPr="00EB512D" w:rsidRDefault="0037251F" w:rsidP="00E03BA2">
      <w:pPr>
        <w:jc w:val="both"/>
        <w:rPr>
          <w:lang w:val="sk-SK"/>
        </w:rPr>
      </w:pPr>
      <w:r w:rsidRPr="00EB512D">
        <w:rPr>
          <w:lang w:val="sk-SK"/>
        </w:rPr>
        <w:t>K bodu 5</w:t>
      </w:r>
      <w:r w:rsidR="005159FE" w:rsidRPr="00EB512D">
        <w:rPr>
          <w:lang w:val="sk-SK"/>
        </w:rPr>
        <w:t xml:space="preserve"> </w:t>
      </w:r>
      <w:r w:rsidRPr="00EB512D">
        <w:rPr>
          <w:lang w:val="sk-SK"/>
        </w:rPr>
        <w:t>(§ 7 ods. 1):</w:t>
      </w:r>
    </w:p>
    <w:p w14:paraId="4B17611F" w14:textId="77777777" w:rsidR="0037251F" w:rsidRPr="00EB512D" w:rsidRDefault="0037251F" w:rsidP="0037251F">
      <w:pPr>
        <w:jc w:val="both"/>
        <w:rPr>
          <w:lang w:val="sk-SK"/>
        </w:rPr>
      </w:pPr>
      <w:r w:rsidRPr="00EB512D">
        <w:rPr>
          <w:lang w:val="sk-SK"/>
        </w:rPr>
        <w:t>Legislatívno-technická úprava.</w:t>
      </w:r>
    </w:p>
    <w:p w14:paraId="64667A7A" w14:textId="20CDBCA7" w:rsidR="0037251F" w:rsidRPr="00EB512D" w:rsidRDefault="0037251F" w:rsidP="00E03BA2">
      <w:pPr>
        <w:jc w:val="both"/>
        <w:rPr>
          <w:lang w:val="sk-SK"/>
        </w:rPr>
      </w:pPr>
    </w:p>
    <w:p w14:paraId="6BABEBC7" w14:textId="2ED93748" w:rsidR="001A2527" w:rsidRPr="00EB512D" w:rsidRDefault="001A2527" w:rsidP="00E03BA2">
      <w:pPr>
        <w:jc w:val="both"/>
        <w:rPr>
          <w:lang w:val="sk-SK"/>
        </w:rPr>
      </w:pPr>
      <w:r w:rsidRPr="00EB512D">
        <w:rPr>
          <w:lang w:val="sk-SK"/>
        </w:rPr>
        <w:t>K bodom 6 a 7 (§ 10a):</w:t>
      </w:r>
    </w:p>
    <w:p w14:paraId="4349E880" w14:textId="7F335031" w:rsidR="007E7EBE" w:rsidRPr="00EB512D" w:rsidRDefault="001A2527" w:rsidP="00E03BA2">
      <w:pPr>
        <w:jc w:val="both"/>
        <w:rPr>
          <w:lang w:val="sk-SK"/>
        </w:rPr>
      </w:pPr>
      <w:r w:rsidRPr="00EB512D">
        <w:rPr>
          <w:lang w:val="sk-SK"/>
        </w:rPr>
        <w:t xml:space="preserve">Navrhované zmeny v úprave vládneho cloudu vyplynuli z potreby zabezpečiť nepretržitý súlad poskytovaných služieb so štandardmi pre informačné systémy verejnej správy, čo bolo dôvodom na doplnenie doby platnosti ich zápisu, spojenej s potrebou opätovného posúdenia splnenia týchto požiadaviek. </w:t>
      </w:r>
      <w:r w:rsidR="007E7EBE" w:rsidRPr="00EB512D">
        <w:rPr>
          <w:lang w:val="sk-SK"/>
        </w:rPr>
        <w:t>Opätovné posúdenie bude viazané aj na zmenu podstatných parametrov, bez zmeny funkčnosti služby. Pôjde napríklad o zmenu v parametroch SLA (dohoda o úrovni poskytovanej služby) pre danú službu, ktoré sa pri zápise uvádzajú v žiadosti a majú dopad najmä na dostupnosť služby a odozvu pri riešení incidentov a výpadkov pri jej poskytovaní.</w:t>
      </w:r>
    </w:p>
    <w:p w14:paraId="5E2A8B23" w14:textId="16C35781" w:rsidR="001A2527" w:rsidRPr="00EB512D" w:rsidRDefault="001A2527" w:rsidP="00E03BA2">
      <w:pPr>
        <w:jc w:val="both"/>
        <w:rPr>
          <w:lang w:val="sk-SK"/>
        </w:rPr>
      </w:pPr>
      <w:r w:rsidRPr="00EB512D">
        <w:rPr>
          <w:lang w:val="sk-SK"/>
        </w:rPr>
        <w:t>Na účely plnenia koordinačných a riadiacich úloh v oblasti informatizácie sa navrhuje doplniť povinnosť orgánov verejnej moci informovať úrad podpredsedu vlády o tom, aké vládne cloudové služby využívajú. Tieto údaje prispejú k lepšiemu riadeniu a využívani</w:t>
      </w:r>
      <w:r w:rsidR="005159FE" w:rsidRPr="00EB512D">
        <w:rPr>
          <w:lang w:val="sk-SK"/>
        </w:rPr>
        <w:t>u</w:t>
      </w:r>
      <w:r w:rsidRPr="00EB512D">
        <w:rPr>
          <w:lang w:val="sk-SK"/>
        </w:rPr>
        <w:t xml:space="preserve"> katalógu vládnych cloudových služieb, pričom sa budú poskytovať elektronicky, bez záťaže pre konkrétne orgány verejnej moci.</w:t>
      </w:r>
    </w:p>
    <w:p w14:paraId="2099A3C8" w14:textId="77777777" w:rsidR="001A2527" w:rsidRPr="00EB512D" w:rsidRDefault="001A2527" w:rsidP="00E03BA2">
      <w:pPr>
        <w:jc w:val="both"/>
        <w:rPr>
          <w:lang w:val="sk-SK"/>
        </w:rPr>
      </w:pPr>
    </w:p>
    <w:p w14:paraId="0FCB1DD3" w14:textId="63632541" w:rsidR="0037251F" w:rsidRPr="00EB512D" w:rsidRDefault="0037251F" w:rsidP="00E03BA2">
      <w:pPr>
        <w:jc w:val="both"/>
        <w:rPr>
          <w:lang w:val="sk-SK"/>
        </w:rPr>
      </w:pPr>
      <w:r w:rsidRPr="00EB512D">
        <w:rPr>
          <w:lang w:val="sk-SK"/>
        </w:rPr>
        <w:t xml:space="preserve">K bodu </w:t>
      </w:r>
      <w:r w:rsidR="00F7267F" w:rsidRPr="00EB512D">
        <w:rPr>
          <w:lang w:val="sk-SK"/>
        </w:rPr>
        <w:t>8</w:t>
      </w:r>
      <w:r w:rsidRPr="00EB512D">
        <w:rPr>
          <w:lang w:val="sk-SK"/>
        </w:rPr>
        <w:t xml:space="preserve"> (§ 11 ods. 3):</w:t>
      </w:r>
    </w:p>
    <w:p w14:paraId="58AAB013" w14:textId="77777777" w:rsidR="0037251F" w:rsidRPr="00EB512D" w:rsidRDefault="0037251F" w:rsidP="0037251F">
      <w:pPr>
        <w:jc w:val="both"/>
        <w:rPr>
          <w:lang w:val="sk-SK"/>
        </w:rPr>
      </w:pPr>
      <w:r w:rsidRPr="00EB512D">
        <w:rPr>
          <w:lang w:val="sk-SK"/>
        </w:rPr>
        <w:t>Legislatívno-technická úprava.</w:t>
      </w:r>
    </w:p>
    <w:p w14:paraId="7A0BAA63" w14:textId="2C949E50" w:rsidR="00B05110" w:rsidRPr="00EB512D" w:rsidRDefault="00B05110" w:rsidP="00EF6195">
      <w:pPr>
        <w:jc w:val="both"/>
        <w:rPr>
          <w:lang w:val="sk-SK"/>
        </w:rPr>
      </w:pPr>
    </w:p>
    <w:p w14:paraId="58481681" w14:textId="28C66BBA" w:rsidR="002E03A2" w:rsidRPr="00EB512D" w:rsidRDefault="00B05110" w:rsidP="00EF6195">
      <w:pPr>
        <w:jc w:val="both"/>
        <w:rPr>
          <w:lang w:val="sk-SK"/>
        </w:rPr>
      </w:pPr>
      <w:r w:rsidRPr="00EB512D">
        <w:rPr>
          <w:lang w:val="sk-SK"/>
        </w:rPr>
        <w:t>K</w:t>
      </w:r>
      <w:r w:rsidR="002E03A2" w:rsidRPr="00EB512D">
        <w:rPr>
          <w:lang w:val="sk-SK"/>
        </w:rPr>
        <w:t> </w:t>
      </w:r>
      <w:r w:rsidRPr="00EB512D">
        <w:rPr>
          <w:lang w:val="sk-SK"/>
        </w:rPr>
        <w:t>bod</w:t>
      </w:r>
      <w:r w:rsidR="002E03A2" w:rsidRPr="00EB512D">
        <w:rPr>
          <w:lang w:val="sk-SK"/>
        </w:rPr>
        <w:t xml:space="preserve">om </w:t>
      </w:r>
      <w:r w:rsidR="00F7267F" w:rsidRPr="00EB512D">
        <w:rPr>
          <w:lang w:val="sk-SK"/>
        </w:rPr>
        <w:t>9</w:t>
      </w:r>
      <w:r w:rsidR="002E03A2" w:rsidRPr="00EB512D">
        <w:rPr>
          <w:lang w:val="sk-SK"/>
        </w:rPr>
        <w:t xml:space="preserve"> a </w:t>
      </w:r>
      <w:r w:rsidR="00CA1CEB" w:rsidRPr="00EB512D">
        <w:rPr>
          <w:lang w:val="sk-SK"/>
        </w:rPr>
        <w:t>10</w:t>
      </w:r>
      <w:r w:rsidR="002E03A2" w:rsidRPr="00EB512D">
        <w:rPr>
          <w:lang w:val="sk-SK"/>
        </w:rPr>
        <w:t xml:space="preserve"> (§ 12 ods. 4 a 5):</w:t>
      </w:r>
    </w:p>
    <w:p w14:paraId="26E5C052" w14:textId="7DEBC6E9" w:rsidR="002E03A2" w:rsidRPr="00EB512D" w:rsidRDefault="002E03A2" w:rsidP="00EF6195">
      <w:pPr>
        <w:jc w:val="both"/>
        <w:rPr>
          <w:lang w:val="sk-SK"/>
        </w:rPr>
      </w:pPr>
      <w:r w:rsidRPr="00EB512D">
        <w:rPr>
          <w:lang w:val="sk-SK"/>
        </w:rPr>
        <w:t>Navrhuje sa umožniť zriaďovanie elektronickej schránky aj pre osoby mladšie ako 18. rokov veku. Dôvodom je snaha o rozšírenie možnosti používania elektronickej schránky aj pre túto skupinu osôb. Zároveň najneskôr v období „strednej školy“, t.</w:t>
      </w:r>
      <w:r w:rsidR="005159FE" w:rsidRPr="00EB512D">
        <w:rPr>
          <w:lang w:val="sk-SK"/>
        </w:rPr>
        <w:t xml:space="preserve"> </w:t>
      </w:r>
      <w:r w:rsidRPr="00EB512D">
        <w:rPr>
          <w:lang w:val="sk-SK"/>
        </w:rPr>
        <w:t xml:space="preserve">j. vo veku do 18. rokov by mal každý nadobudnúť praktické zručnosti zvládania základných životných situácií vrátane interakcie s verejnou správou. Elektronický občiansky preukaz, ktorý je primárnym nástrojom na prístup do elektronickej schránky, sa vydáva po dovŕšení 15. roku veku, preto považujeme za vhodné v tomto čase aj plošne vytvárať elektronické schránky pre fyzické osoby. </w:t>
      </w:r>
      <w:r w:rsidR="00B05110" w:rsidRPr="00EB512D">
        <w:rPr>
          <w:lang w:val="sk-SK"/>
        </w:rPr>
        <w:t xml:space="preserve"> </w:t>
      </w:r>
    </w:p>
    <w:p w14:paraId="1529C55B" w14:textId="61B78ACE" w:rsidR="002E03A2" w:rsidRPr="00EB512D" w:rsidRDefault="002E03A2" w:rsidP="00EF6195">
      <w:pPr>
        <w:jc w:val="both"/>
        <w:rPr>
          <w:lang w:val="sk-SK"/>
        </w:rPr>
      </w:pPr>
    </w:p>
    <w:p w14:paraId="5954D953" w14:textId="6239DF54" w:rsidR="002E03A2" w:rsidRPr="00EB512D" w:rsidRDefault="002E03A2" w:rsidP="00EF6195">
      <w:pPr>
        <w:jc w:val="both"/>
        <w:rPr>
          <w:lang w:val="sk-SK"/>
        </w:rPr>
      </w:pPr>
      <w:r w:rsidRPr="00EB512D">
        <w:rPr>
          <w:lang w:val="sk-SK"/>
        </w:rPr>
        <w:t xml:space="preserve">K bodu </w:t>
      </w:r>
      <w:r w:rsidR="00CA1CEB" w:rsidRPr="00EB512D">
        <w:rPr>
          <w:lang w:val="sk-SK"/>
        </w:rPr>
        <w:t>11</w:t>
      </w:r>
      <w:r w:rsidR="003F7F0C" w:rsidRPr="00EB512D">
        <w:rPr>
          <w:lang w:val="sk-SK"/>
        </w:rPr>
        <w:t xml:space="preserve"> </w:t>
      </w:r>
      <w:r w:rsidRPr="00EB512D">
        <w:rPr>
          <w:lang w:val="sk-SK"/>
        </w:rPr>
        <w:t>(§ 12 ods. 6):</w:t>
      </w:r>
    </w:p>
    <w:p w14:paraId="4159EB5D" w14:textId="6C1142E8" w:rsidR="002E03A2" w:rsidRPr="00EB512D" w:rsidRDefault="005B517A" w:rsidP="00EF6195">
      <w:pPr>
        <w:jc w:val="both"/>
        <w:rPr>
          <w:lang w:val="sk-SK"/>
        </w:rPr>
      </w:pPr>
      <w:r w:rsidRPr="00EB512D">
        <w:rPr>
          <w:lang w:val="sk-SK"/>
        </w:rPr>
        <w:t xml:space="preserve">Navrhuje sa doplniť znenie § 12 ods. 6 o ustanovenie regulujúce zriaďovanie elektronických schránok, a to formou ich zriadenia aj na základe žiadosti príslušného orgánu verejnej moci, </w:t>
      </w:r>
      <w:r w:rsidRPr="00EB512D">
        <w:rPr>
          <w:lang w:val="sk-SK"/>
        </w:rPr>
        <w:lastRenderedPageBreak/>
        <w:t>ktorý plní úlohy na úseku ochrany ústavného zriadenia, vnútorného poriadku a bezpečnosti štátu potrebnú na plnenie jeho zákonných úloh. Vzhľadom na charakter úloh, ktoré plní Slovenská informačná služba v súlade so zákonom NR SR č. 46/1993 Z. z. o Slovenskej informačnej službe v znení neskorších predpisov, a to najmä v súvislosti s § 11 ods. 9 až 11 citovaného zákona je nevyhnutná vzájomná súčinnosť správcu modulu elektronických schránok so Slovenskou informačnou službou v procese zriaďovania elektronických schránok využívaných na plnenie úloh Slovenskej informačnej služby v rámci jej pôsobnosti.</w:t>
      </w:r>
    </w:p>
    <w:p w14:paraId="7283EE2D" w14:textId="77777777" w:rsidR="002E03A2" w:rsidRPr="00EB512D" w:rsidRDefault="002E03A2" w:rsidP="00EF6195">
      <w:pPr>
        <w:jc w:val="both"/>
        <w:rPr>
          <w:lang w:val="sk-SK"/>
        </w:rPr>
      </w:pPr>
    </w:p>
    <w:p w14:paraId="5C8A30C3" w14:textId="76E83AC0" w:rsidR="00B05110" w:rsidRPr="00EB512D" w:rsidRDefault="005647F5" w:rsidP="00EF6195">
      <w:pPr>
        <w:jc w:val="both"/>
        <w:rPr>
          <w:lang w:val="sk-SK"/>
        </w:rPr>
      </w:pPr>
      <w:r w:rsidRPr="00EB512D">
        <w:rPr>
          <w:lang w:val="sk-SK"/>
        </w:rPr>
        <w:t xml:space="preserve">K bodu </w:t>
      </w:r>
      <w:r w:rsidR="003F7F0C" w:rsidRPr="00EB512D">
        <w:rPr>
          <w:lang w:val="sk-SK"/>
        </w:rPr>
        <w:t>1</w:t>
      </w:r>
      <w:r w:rsidR="00CA1CEB" w:rsidRPr="00EB512D">
        <w:rPr>
          <w:lang w:val="sk-SK"/>
        </w:rPr>
        <w:t>2</w:t>
      </w:r>
      <w:r w:rsidR="003F7F0C" w:rsidRPr="00EB512D">
        <w:rPr>
          <w:lang w:val="sk-SK"/>
        </w:rPr>
        <w:t xml:space="preserve"> </w:t>
      </w:r>
      <w:r w:rsidR="00B05110" w:rsidRPr="00EB512D">
        <w:rPr>
          <w:lang w:val="sk-SK"/>
        </w:rPr>
        <w:t>(§ 13 ods. 4):</w:t>
      </w:r>
    </w:p>
    <w:p w14:paraId="47457782" w14:textId="7E005DF3" w:rsidR="00B05110" w:rsidRPr="00EB512D" w:rsidRDefault="00B05110" w:rsidP="00EF6195">
      <w:pPr>
        <w:jc w:val="both"/>
        <w:rPr>
          <w:lang w:val="sk-SK"/>
        </w:rPr>
      </w:pPr>
      <w:r w:rsidRPr="00EB512D">
        <w:rPr>
          <w:lang w:val="sk-SK"/>
        </w:rPr>
        <w:t>Legislatívno-technická úprava súvisiaca so zjednotením ustanovení o autentifikácii.</w:t>
      </w:r>
    </w:p>
    <w:p w14:paraId="6F2125B1" w14:textId="31AE4AE4" w:rsidR="00B05110" w:rsidRPr="00EB512D" w:rsidRDefault="00B05110" w:rsidP="00EF6195">
      <w:pPr>
        <w:jc w:val="both"/>
        <w:rPr>
          <w:lang w:val="sk-SK"/>
        </w:rPr>
      </w:pPr>
    </w:p>
    <w:p w14:paraId="067BD297" w14:textId="3F707815" w:rsidR="00C57D24" w:rsidRPr="00EB512D" w:rsidRDefault="00C57D24" w:rsidP="00EF6195">
      <w:pPr>
        <w:jc w:val="both"/>
        <w:rPr>
          <w:lang w:val="sk-SK"/>
        </w:rPr>
      </w:pPr>
      <w:r w:rsidRPr="00EB512D">
        <w:rPr>
          <w:lang w:val="sk-SK"/>
        </w:rPr>
        <w:t xml:space="preserve">K bodu </w:t>
      </w:r>
      <w:r w:rsidR="003F7F0C" w:rsidRPr="00EB512D">
        <w:rPr>
          <w:lang w:val="sk-SK"/>
        </w:rPr>
        <w:t>1</w:t>
      </w:r>
      <w:r w:rsidR="00CA1CEB" w:rsidRPr="00EB512D">
        <w:rPr>
          <w:lang w:val="sk-SK"/>
        </w:rPr>
        <w:t>3</w:t>
      </w:r>
      <w:r w:rsidR="003F7F0C" w:rsidRPr="00EB512D">
        <w:rPr>
          <w:lang w:val="sk-SK"/>
        </w:rPr>
        <w:t xml:space="preserve"> </w:t>
      </w:r>
      <w:r w:rsidRPr="00EB512D">
        <w:rPr>
          <w:lang w:val="sk-SK"/>
        </w:rPr>
        <w:t>(§ 13 ods. 8):</w:t>
      </w:r>
    </w:p>
    <w:p w14:paraId="5AF81CA1" w14:textId="438B10F5" w:rsidR="00C57D24" w:rsidRPr="00EB512D" w:rsidRDefault="00C57D24" w:rsidP="00EF6195">
      <w:pPr>
        <w:jc w:val="both"/>
        <w:rPr>
          <w:lang w:val="sk-SK"/>
        </w:rPr>
      </w:pPr>
      <w:r w:rsidRPr="00EB512D">
        <w:rPr>
          <w:lang w:val="sk-SK"/>
        </w:rPr>
        <w:t>Doplnenie súvisiace so zriadením elektronickej schránky aj pre osoby mladšie ako 18. rokov veku.</w:t>
      </w:r>
    </w:p>
    <w:p w14:paraId="65470D70" w14:textId="77777777" w:rsidR="00C57D24" w:rsidRPr="00EB512D" w:rsidRDefault="00C57D24" w:rsidP="00EF6195">
      <w:pPr>
        <w:jc w:val="both"/>
        <w:rPr>
          <w:lang w:val="sk-SK"/>
        </w:rPr>
      </w:pPr>
    </w:p>
    <w:p w14:paraId="27138B83" w14:textId="30F93965" w:rsidR="00B05110" w:rsidRPr="00EB512D" w:rsidRDefault="00B05110" w:rsidP="00EF6195">
      <w:pPr>
        <w:jc w:val="both"/>
        <w:rPr>
          <w:lang w:val="sk-SK"/>
        </w:rPr>
      </w:pPr>
      <w:r w:rsidRPr="00EB512D">
        <w:rPr>
          <w:lang w:val="sk-SK"/>
        </w:rPr>
        <w:t xml:space="preserve">K bodu </w:t>
      </w:r>
      <w:r w:rsidR="003F7F0C" w:rsidRPr="00EB512D">
        <w:rPr>
          <w:lang w:val="sk-SK"/>
        </w:rPr>
        <w:t>1</w:t>
      </w:r>
      <w:r w:rsidR="00CA1CEB" w:rsidRPr="00EB512D">
        <w:rPr>
          <w:lang w:val="sk-SK"/>
        </w:rPr>
        <w:t>4</w:t>
      </w:r>
      <w:r w:rsidR="003F7F0C" w:rsidRPr="00EB512D">
        <w:rPr>
          <w:lang w:val="sk-SK"/>
        </w:rPr>
        <w:t xml:space="preserve"> </w:t>
      </w:r>
      <w:r w:rsidRPr="00EB512D">
        <w:rPr>
          <w:lang w:val="sk-SK"/>
        </w:rPr>
        <w:t>(§ 14 ods. 1):</w:t>
      </w:r>
    </w:p>
    <w:p w14:paraId="76263960" w14:textId="5E396103" w:rsidR="00B05110" w:rsidRPr="00EB512D" w:rsidRDefault="00B05110" w:rsidP="00EF6195">
      <w:pPr>
        <w:jc w:val="both"/>
        <w:rPr>
          <w:lang w:val="sk-SK"/>
        </w:rPr>
      </w:pPr>
      <w:r w:rsidRPr="00EB512D">
        <w:rPr>
          <w:lang w:val="sk-SK"/>
        </w:rPr>
        <w:t xml:space="preserve">Navrhuje sa nahradiť doterajší text všeobecným ustanovením, ktoré umožní prístup do deaktivovanej schránky každému, komu bolo udelené oprávnenie na disponovanie s jej obsahom. </w:t>
      </w:r>
    </w:p>
    <w:p w14:paraId="5A4B8CED" w14:textId="1F6A3BF6" w:rsidR="00B05110" w:rsidRPr="00EB512D" w:rsidRDefault="00B05110" w:rsidP="00EF6195">
      <w:pPr>
        <w:jc w:val="both"/>
        <w:rPr>
          <w:lang w:val="sk-SK"/>
        </w:rPr>
      </w:pPr>
    </w:p>
    <w:p w14:paraId="498B1A5E" w14:textId="135CF844" w:rsidR="00B05110" w:rsidRPr="00EB512D" w:rsidRDefault="00185293" w:rsidP="00EF6195">
      <w:pPr>
        <w:jc w:val="both"/>
        <w:rPr>
          <w:lang w:val="sk-SK"/>
        </w:rPr>
      </w:pPr>
      <w:r w:rsidRPr="00EB512D">
        <w:rPr>
          <w:lang w:val="sk-SK"/>
        </w:rPr>
        <w:t xml:space="preserve">K bodu </w:t>
      </w:r>
      <w:r w:rsidR="003F7F0C" w:rsidRPr="00EB512D">
        <w:rPr>
          <w:lang w:val="sk-SK"/>
        </w:rPr>
        <w:t>1</w:t>
      </w:r>
      <w:r w:rsidR="00CA1CEB" w:rsidRPr="00EB512D">
        <w:rPr>
          <w:lang w:val="sk-SK"/>
        </w:rPr>
        <w:t>5</w:t>
      </w:r>
      <w:r w:rsidR="003F7F0C" w:rsidRPr="00EB512D">
        <w:rPr>
          <w:lang w:val="sk-SK"/>
        </w:rPr>
        <w:t xml:space="preserve"> </w:t>
      </w:r>
      <w:r w:rsidRPr="00EB512D">
        <w:rPr>
          <w:lang w:val="sk-SK"/>
        </w:rPr>
        <w:t>(§ 14 ods. 2):</w:t>
      </w:r>
    </w:p>
    <w:p w14:paraId="6C12F9CC" w14:textId="1DADDEA7" w:rsidR="00185293" w:rsidRPr="00EB512D" w:rsidRDefault="006E611C" w:rsidP="00EF6195">
      <w:pPr>
        <w:jc w:val="both"/>
        <w:rPr>
          <w:lang w:val="sk-SK"/>
        </w:rPr>
      </w:pPr>
      <w:r w:rsidRPr="00EB512D">
        <w:rPr>
          <w:lang w:val="sk-SK"/>
        </w:rPr>
        <w:t>Vzhľadom na skutočnosť, že orgány verejnej moci iné ako služobné úrady Zboru väzenskej a justičnej stráže nemajú vo väčšine prípadov vedomosť o doručovaní osobe, ktorá je vo výkone väzby alebo výkone trestu odňatia slobody, navrhuje</w:t>
      </w:r>
      <w:r w:rsidR="008A1567" w:rsidRPr="00EB512D">
        <w:rPr>
          <w:lang w:val="sk-SK"/>
        </w:rPr>
        <w:t xml:space="preserve"> sa</w:t>
      </w:r>
      <w:r w:rsidRPr="00EB512D">
        <w:rPr>
          <w:lang w:val="sk-SK"/>
        </w:rPr>
        <w:t>, v záujme majiteľa schránky, predchádzať prípadom neúčinnosti elektronického doručenia deaktiváciou schránky na základe žiadosti zaslanej príslušnými ústavmi na výkon väzb</w:t>
      </w:r>
      <w:r w:rsidR="00906495" w:rsidRPr="00EB512D">
        <w:rPr>
          <w:lang w:val="sk-SK"/>
        </w:rPr>
        <w:t>y</w:t>
      </w:r>
      <w:r w:rsidRPr="00EB512D">
        <w:rPr>
          <w:lang w:val="sk-SK"/>
        </w:rPr>
        <w:t xml:space="preserve"> alebo trestu odňatia slobody.</w:t>
      </w:r>
      <w:r w:rsidR="00B942B0" w:rsidRPr="00EB512D">
        <w:rPr>
          <w:lang w:val="sk-SK"/>
        </w:rPr>
        <w:t xml:space="preserve"> Okrem uvedenej zmeny sa explicitne vylučuje možnosť deaktivácie elektronickej schránky na žiadosť</w:t>
      </w:r>
      <w:r w:rsidR="001A3C3D" w:rsidRPr="00EB512D">
        <w:rPr>
          <w:lang w:val="sk-SK"/>
        </w:rPr>
        <w:t>,</w:t>
      </w:r>
      <w:r w:rsidR="00B942B0" w:rsidRPr="00EB512D">
        <w:rPr>
          <w:lang w:val="sk-SK"/>
        </w:rPr>
        <w:t xml:space="preserve"> ak ide o orgán verejnej moci.</w:t>
      </w:r>
    </w:p>
    <w:p w14:paraId="4085FACE" w14:textId="00F56341" w:rsidR="006E611C" w:rsidRPr="00EB512D" w:rsidRDefault="006E611C" w:rsidP="00EF6195">
      <w:pPr>
        <w:jc w:val="both"/>
        <w:rPr>
          <w:lang w:val="sk-SK"/>
        </w:rPr>
      </w:pPr>
    </w:p>
    <w:p w14:paraId="59462BF3" w14:textId="37C35D57" w:rsidR="006B4232" w:rsidRPr="00EB512D" w:rsidRDefault="006B4232" w:rsidP="006B4232">
      <w:pPr>
        <w:jc w:val="both"/>
        <w:rPr>
          <w:lang w:val="sk-SK"/>
        </w:rPr>
      </w:pPr>
      <w:r w:rsidRPr="00EB512D">
        <w:rPr>
          <w:lang w:val="sk-SK"/>
        </w:rPr>
        <w:t>K bodu 1</w:t>
      </w:r>
      <w:r w:rsidR="00CA1CEB" w:rsidRPr="00EB512D">
        <w:rPr>
          <w:lang w:val="sk-SK"/>
        </w:rPr>
        <w:t>6</w:t>
      </w:r>
      <w:r w:rsidRPr="00EB512D">
        <w:rPr>
          <w:lang w:val="sk-SK"/>
        </w:rPr>
        <w:t xml:space="preserve"> (§ 14 ods. 5):</w:t>
      </w:r>
    </w:p>
    <w:p w14:paraId="7410E4B0" w14:textId="77777777" w:rsidR="006B4232" w:rsidRPr="00EB512D" w:rsidRDefault="006B4232" w:rsidP="006B4232">
      <w:pPr>
        <w:jc w:val="both"/>
        <w:rPr>
          <w:lang w:val="sk-SK"/>
        </w:rPr>
      </w:pPr>
      <w:r w:rsidRPr="00EB512D">
        <w:rPr>
          <w:lang w:val="sk-SK"/>
        </w:rPr>
        <w:t>Doplnenie súvisiace so zriadením elektronickej schránky aj pre osoby mladšie ako 18. rokov veku.</w:t>
      </w:r>
    </w:p>
    <w:p w14:paraId="22A61A28" w14:textId="77777777" w:rsidR="006B4232" w:rsidRPr="00EB512D" w:rsidRDefault="006B4232" w:rsidP="00EF6195">
      <w:pPr>
        <w:jc w:val="both"/>
        <w:rPr>
          <w:lang w:val="sk-SK"/>
        </w:rPr>
      </w:pPr>
    </w:p>
    <w:p w14:paraId="11094B37" w14:textId="311F3047" w:rsidR="00185293" w:rsidRPr="00EB512D" w:rsidRDefault="00185293" w:rsidP="00EF6195">
      <w:pPr>
        <w:jc w:val="both"/>
        <w:rPr>
          <w:lang w:val="sk-SK"/>
        </w:rPr>
      </w:pPr>
      <w:r w:rsidRPr="00EB512D">
        <w:rPr>
          <w:lang w:val="sk-SK"/>
        </w:rPr>
        <w:t xml:space="preserve">K bodu </w:t>
      </w:r>
      <w:r w:rsidR="003F7F0C" w:rsidRPr="00EB512D">
        <w:rPr>
          <w:lang w:val="sk-SK"/>
        </w:rPr>
        <w:t>1</w:t>
      </w:r>
      <w:r w:rsidR="00CA1CEB" w:rsidRPr="00EB512D">
        <w:rPr>
          <w:lang w:val="sk-SK"/>
        </w:rPr>
        <w:t>7</w:t>
      </w:r>
      <w:r w:rsidR="003F7F0C" w:rsidRPr="00EB512D">
        <w:rPr>
          <w:lang w:val="sk-SK"/>
        </w:rPr>
        <w:t xml:space="preserve"> </w:t>
      </w:r>
      <w:r w:rsidRPr="00EB512D">
        <w:rPr>
          <w:lang w:val="sk-SK"/>
        </w:rPr>
        <w:t>(§ 17 ods. 1):</w:t>
      </w:r>
    </w:p>
    <w:p w14:paraId="45526D2B" w14:textId="7BB2EC05" w:rsidR="00185293" w:rsidRPr="00EB512D" w:rsidRDefault="00185293" w:rsidP="00EF6195">
      <w:pPr>
        <w:jc w:val="both"/>
        <w:rPr>
          <w:lang w:val="sk-SK"/>
        </w:rPr>
      </w:pPr>
      <w:r w:rsidRPr="00EB512D">
        <w:rPr>
          <w:lang w:val="sk-SK"/>
        </w:rPr>
        <w:t>Spresňujúca úprava, ktorej cieľom je zamedziť nežiaducemu výkladu, že kontrola nespadá pod výkon verejnej moci podľa tohto zákona. Explicitne sa navrhuje doplniť text, že ide len o také úkony, ktoré sú vykonávané priamo v kontrolovanom či dohliadanom subjekte, teda mimo priestorov orgánu verejnej moci.</w:t>
      </w:r>
    </w:p>
    <w:p w14:paraId="4E193A2A" w14:textId="38D9378C" w:rsidR="00E51E55" w:rsidRPr="00EB512D" w:rsidRDefault="00E51E55" w:rsidP="00EF6195">
      <w:pPr>
        <w:jc w:val="both"/>
        <w:rPr>
          <w:lang w:val="sk-SK"/>
        </w:rPr>
      </w:pPr>
    </w:p>
    <w:p w14:paraId="0034CAFB" w14:textId="63348AEC" w:rsidR="00E51E55" w:rsidRPr="00EB512D" w:rsidRDefault="00E51E55" w:rsidP="00EF6195">
      <w:pPr>
        <w:jc w:val="both"/>
        <w:rPr>
          <w:lang w:val="sk-SK"/>
        </w:rPr>
      </w:pPr>
      <w:r w:rsidRPr="00EB512D">
        <w:rPr>
          <w:lang w:val="sk-SK"/>
        </w:rPr>
        <w:t>K bod</w:t>
      </w:r>
      <w:r w:rsidR="00571A41" w:rsidRPr="00EB512D">
        <w:rPr>
          <w:lang w:val="sk-SK"/>
        </w:rPr>
        <w:t>om</w:t>
      </w:r>
      <w:r w:rsidRPr="00EB512D">
        <w:rPr>
          <w:lang w:val="sk-SK"/>
        </w:rPr>
        <w:t xml:space="preserve"> </w:t>
      </w:r>
      <w:r w:rsidR="00906495" w:rsidRPr="00EB512D">
        <w:rPr>
          <w:lang w:val="sk-SK"/>
        </w:rPr>
        <w:t xml:space="preserve">18 </w:t>
      </w:r>
      <w:r w:rsidR="00571A41" w:rsidRPr="00EB512D">
        <w:rPr>
          <w:lang w:val="sk-SK"/>
        </w:rPr>
        <w:t xml:space="preserve">a </w:t>
      </w:r>
      <w:r w:rsidR="00906495" w:rsidRPr="00EB512D">
        <w:rPr>
          <w:lang w:val="sk-SK"/>
        </w:rPr>
        <w:t xml:space="preserve">19 </w:t>
      </w:r>
      <w:r w:rsidRPr="00EB512D">
        <w:rPr>
          <w:lang w:val="sk-SK"/>
        </w:rPr>
        <w:t>(§ 19 ods. 4</w:t>
      </w:r>
      <w:r w:rsidR="00571A41" w:rsidRPr="00EB512D">
        <w:rPr>
          <w:lang w:val="sk-SK"/>
        </w:rPr>
        <w:t xml:space="preserve"> a 5</w:t>
      </w:r>
      <w:r w:rsidRPr="00EB512D">
        <w:rPr>
          <w:lang w:val="sk-SK"/>
        </w:rPr>
        <w:t>):</w:t>
      </w:r>
    </w:p>
    <w:p w14:paraId="65B6D197" w14:textId="37F4EF48" w:rsidR="00E51E55" w:rsidRPr="00EB512D" w:rsidRDefault="00571A41" w:rsidP="00EF6195">
      <w:pPr>
        <w:jc w:val="both"/>
        <w:rPr>
          <w:lang w:val="sk-SK"/>
        </w:rPr>
      </w:pPr>
      <w:r w:rsidRPr="00EB512D">
        <w:rPr>
          <w:lang w:val="sk-SK"/>
        </w:rPr>
        <w:t>Legislatívno-technická úprava súvisiaca so zjednotením ustanovení o autentifikácii.</w:t>
      </w:r>
    </w:p>
    <w:p w14:paraId="764071F0" w14:textId="25A9E9DC" w:rsidR="00E51E55" w:rsidRPr="00EB512D" w:rsidRDefault="00E51E55" w:rsidP="00EF6195">
      <w:pPr>
        <w:jc w:val="both"/>
        <w:rPr>
          <w:lang w:val="sk-SK"/>
        </w:rPr>
      </w:pPr>
    </w:p>
    <w:p w14:paraId="027D6262" w14:textId="60569A99" w:rsidR="00571A41" w:rsidRPr="00EB512D" w:rsidRDefault="00571A41" w:rsidP="00EF6195">
      <w:pPr>
        <w:jc w:val="both"/>
        <w:rPr>
          <w:lang w:val="sk-SK"/>
        </w:rPr>
      </w:pPr>
      <w:r w:rsidRPr="00EB512D">
        <w:rPr>
          <w:lang w:val="sk-SK"/>
        </w:rPr>
        <w:t xml:space="preserve">K bodom </w:t>
      </w:r>
      <w:r w:rsidR="00CA1CEB" w:rsidRPr="00EB512D">
        <w:rPr>
          <w:lang w:val="sk-SK"/>
        </w:rPr>
        <w:t>20</w:t>
      </w:r>
      <w:r w:rsidR="003F7F0C" w:rsidRPr="00EB512D">
        <w:rPr>
          <w:lang w:val="sk-SK"/>
        </w:rPr>
        <w:t xml:space="preserve"> </w:t>
      </w:r>
      <w:r w:rsidRPr="00EB512D">
        <w:rPr>
          <w:lang w:val="sk-SK"/>
        </w:rPr>
        <w:t>a </w:t>
      </w:r>
      <w:r w:rsidR="00CA1CEB" w:rsidRPr="00EB512D">
        <w:rPr>
          <w:lang w:val="sk-SK"/>
        </w:rPr>
        <w:t>2</w:t>
      </w:r>
      <w:r w:rsidR="003F7F0C" w:rsidRPr="00EB512D">
        <w:rPr>
          <w:lang w:val="sk-SK"/>
        </w:rPr>
        <w:t>1</w:t>
      </w:r>
      <w:r w:rsidRPr="00EB512D">
        <w:rPr>
          <w:lang w:val="sk-SK"/>
        </w:rPr>
        <w:t xml:space="preserve"> (§ 21):</w:t>
      </w:r>
    </w:p>
    <w:p w14:paraId="21E9BAA6" w14:textId="4D591BB1" w:rsidR="00571A41" w:rsidRPr="00EB512D" w:rsidRDefault="003561B8" w:rsidP="00EF6195">
      <w:pPr>
        <w:jc w:val="both"/>
        <w:rPr>
          <w:lang w:val="sk-SK"/>
        </w:rPr>
      </w:pPr>
      <w:r w:rsidRPr="00EB512D">
        <w:rPr>
          <w:lang w:val="sk-SK"/>
        </w:rPr>
        <w:t xml:space="preserve">Navrhuje sa zjednotiť dnes na rôznych miestach upravené nástroje autentifikácie a ustanoviť, že všetky z nich sú autentifikátorom a dajú sa, v rozsahu zákonom upravenom, použiť na autentifikáciu. Ide svojho druhu o legislatívno-technickú úpravu, ktorá všetky nástroje podriaďuje pod všeobecný režim autentifikácie. </w:t>
      </w:r>
    </w:p>
    <w:p w14:paraId="6E8836DB" w14:textId="04734299" w:rsidR="003561B8" w:rsidRPr="00EB512D" w:rsidRDefault="003561B8" w:rsidP="00EF6195">
      <w:pPr>
        <w:jc w:val="both"/>
        <w:rPr>
          <w:lang w:val="sk-SK"/>
        </w:rPr>
      </w:pPr>
      <w:r w:rsidRPr="00EB512D">
        <w:rPr>
          <w:lang w:val="sk-SK"/>
        </w:rPr>
        <w:t xml:space="preserve">Zároveň sa dopĺňa ako autentifikátor aj </w:t>
      </w:r>
      <w:r w:rsidRPr="00EB512D">
        <w:rPr>
          <w:sz w:val="22"/>
          <w:szCs w:val="22"/>
          <w:lang w:val="sk-SK"/>
        </w:rPr>
        <w:t>prostriedok elektronickej identifikácie, vydaný v rámci schémy elektronickej identifikácie, ktorý je uvedený v zozname podľa</w:t>
      </w:r>
      <w:r w:rsidRPr="00EB512D">
        <w:rPr>
          <w:lang w:val="sk-SK"/>
        </w:rPr>
        <w:t xml:space="preserve"> nariadenia eIDAS, keďže </w:t>
      </w:r>
      <w:r w:rsidRPr="00EB512D">
        <w:rPr>
          <w:lang w:val="sk-SK"/>
        </w:rPr>
        <w:lastRenderedPageBreak/>
        <w:t>priamo z tohto nariadenia vyplýva povinnosť umožniť použitie týchto nástrojov na autentifikáciu v členskom štáte EÚ.</w:t>
      </w:r>
    </w:p>
    <w:p w14:paraId="54CE9F67" w14:textId="641E3266" w:rsidR="000D5C6D" w:rsidRPr="00EB512D" w:rsidRDefault="000D5C6D" w:rsidP="00EF6195">
      <w:pPr>
        <w:jc w:val="both"/>
        <w:rPr>
          <w:lang w:val="sk-SK"/>
        </w:rPr>
      </w:pPr>
    </w:p>
    <w:p w14:paraId="75805E6D" w14:textId="4508BFD9" w:rsidR="00EB1E56" w:rsidRPr="00EB512D" w:rsidRDefault="00EB1E56" w:rsidP="00EF6195">
      <w:pPr>
        <w:jc w:val="both"/>
        <w:rPr>
          <w:lang w:val="sk-SK"/>
        </w:rPr>
      </w:pPr>
      <w:r w:rsidRPr="00EB512D">
        <w:rPr>
          <w:lang w:val="sk-SK"/>
        </w:rPr>
        <w:t xml:space="preserve">K bodu </w:t>
      </w:r>
      <w:r w:rsidR="003F7F0C" w:rsidRPr="00EB512D">
        <w:rPr>
          <w:lang w:val="sk-SK"/>
        </w:rPr>
        <w:t>2</w:t>
      </w:r>
      <w:r w:rsidR="00CA1CEB" w:rsidRPr="00EB512D">
        <w:rPr>
          <w:lang w:val="sk-SK"/>
        </w:rPr>
        <w:t>2</w:t>
      </w:r>
      <w:r w:rsidR="003F7F0C" w:rsidRPr="00EB512D">
        <w:rPr>
          <w:lang w:val="sk-SK"/>
        </w:rPr>
        <w:t xml:space="preserve"> </w:t>
      </w:r>
      <w:r w:rsidRPr="00EB512D">
        <w:rPr>
          <w:lang w:val="sk-SK"/>
        </w:rPr>
        <w:t>(§ 21 ods. 6):</w:t>
      </w:r>
    </w:p>
    <w:p w14:paraId="23FFB10F" w14:textId="2096512F" w:rsidR="00EB1E56" w:rsidRPr="00EB512D" w:rsidRDefault="001C54CD" w:rsidP="00EF6195">
      <w:pPr>
        <w:jc w:val="both"/>
        <w:rPr>
          <w:lang w:val="sk-SK"/>
        </w:rPr>
      </w:pPr>
      <w:r w:rsidRPr="00EB512D">
        <w:rPr>
          <w:lang w:val="sk-SK"/>
        </w:rPr>
        <w:t>Na podporu možnosti rozšírenia rôznych autentifikačných mechanizmov rezortných portálov sa umožňuje rozšíriť používanie autentifikačných nástrojov aj na ústredný portál. Zmyslom ustanovenia je umožniť prihlasovanie sa na ústredný portál viacerými autentifikačnými nástrojmi. Táto možnosť sa predpokladá využívať najmä v rezortoch, kde osobitné predpisy ustanovujú osobám povinnú elektronickú komunikáciu, ako napríklad pri právnických povolaniach či vo vzťahu k finančnej správ</w:t>
      </w:r>
      <w:r w:rsidR="006A7873" w:rsidRPr="00EB512D">
        <w:rPr>
          <w:lang w:val="sk-SK"/>
        </w:rPr>
        <w:t>e</w:t>
      </w:r>
      <w:r w:rsidRPr="00EB512D">
        <w:rPr>
          <w:lang w:val="sk-SK"/>
        </w:rPr>
        <w:t>.</w:t>
      </w:r>
    </w:p>
    <w:p w14:paraId="4485CA12" w14:textId="5BA5F6D8" w:rsidR="007B074A" w:rsidRPr="00EB512D" w:rsidRDefault="007B074A" w:rsidP="00EF6195">
      <w:pPr>
        <w:jc w:val="both"/>
        <w:rPr>
          <w:lang w:val="sk-SK"/>
        </w:rPr>
      </w:pPr>
    </w:p>
    <w:p w14:paraId="6BAB5C4F" w14:textId="39EAECA0" w:rsidR="000D5C6D" w:rsidRPr="00EB512D" w:rsidRDefault="000D5C6D" w:rsidP="00EF6195">
      <w:pPr>
        <w:jc w:val="both"/>
        <w:rPr>
          <w:lang w:val="sk-SK"/>
        </w:rPr>
      </w:pPr>
      <w:r w:rsidRPr="00EB512D">
        <w:rPr>
          <w:lang w:val="sk-SK"/>
        </w:rPr>
        <w:t xml:space="preserve">K bodom </w:t>
      </w:r>
      <w:r w:rsidR="003F7F0C" w:rsidRPr="00EB512D">
        <w:rPr>
          <w:lang w:val="sk-SK"/>
        </w:rPr>
        <w:t>2</w:t>
      </w:r>
      <w:r w:rsidR="00CA1CEB" w:rsidRPr="00EB512D">
        <w:rPr>
          <w:lang w:val="sk-SK"/>
        </w:rPr>
        <w:t>3</w:t>
      </w:r>
      <w:r w:rsidR="003F7F0C" w:rsidRPr="00EB512D">
        <w:rPr>
          <w:lang w:val="sk-SK"/>
        </w:rPr>
        <w:t xml:space="preserve"> </w:t>
      </w:r>
      <w:r w:rsidRPr="00EB512D">
        <w:rPr>
          <w:lang w:val="sk-SK"/>
        </w:rPr>
        <w:t xml:space="preserve">až </w:t>
      </w:r>
      <w:r w:rsidR="003F7F0C" w:rsidRPr="00EB512D">
        <w:rPr>
          <w:lang w:val="sk-SK"/>
        </w:rPr>
        <w:t>2</w:t>
      </w:r>
      <w:r w:rsidR="00CA1CEB" w:rsidRPr="00EB512D">
        <w:rPr>
          <w:lang w:val="sk-SK"/>
        </w:rPr>
        <w:t>5</w:t>
      </w:r>
      <w:r w:rsidR="003F7F0C" w:rsidRPr="00EB512D">
        <w:rPr>
          <w:lang w:val="sk-SK"/>
        </w:rPr>
        <w:t xml:space="preserve"> </w:t>
      </w:r>
      <w:r w:rsidRPr="00EB512D">
        <w:rPr>
          <w:lang w:val="sk-SK"/>
        </w:rPr>
        <w:t>(§ 22 ods. 3 až 6):</w:t>
      </w:r>
    </w:p>
    <w:p w14:paraId="171EC066" w14:textId="2A466CDB" w:rsidR="000D5C6D" w:rsidRPr="00EB512D" w:rsidRDefault="000D5C6D" w:rsidP="00EF6195">
      <w:pPr>
        <w:jc w:val="both"/>
        <w:rPr>
          <w:lang w:val="sk-SK"/>
        </w:rPr>
      </w:pPr>
      <w:r w:rsidRPr="00EB512D">
        <w:rPr>
          <w:lang w:val="sk-SK"/>
        </w:rPr>
        <w:t>Legislatívno-technická úprava súvisiaca so zjednotením ustanovení o autentifikácii.</w:t>
      </w:r>
    </w:p>
    <w:p w14:paraId="5C857E4B" w14:textId="084AF9B6" w:rsidR="00E222E2" w:rsidRPr="00EB512D" w:rsidRDefault="00E222E2" w:rsidP="00EF6195">
      <w:pPr>
        <w:jc w:val="both"/>
        <w:rPr>
          <w:lang w:val="sk-SK"/>
        </w:rPr>
      </w:pPr>
    </w:p>
    <w:p w14:paraId="3F5A7543" w14:textId="210662F2" w:rsidR="00E222E2" w:rsidRPr="00EB512D" w:rsidRDefault="00E222E2" w:rsidP="00EF6195">
      <w:pPr>
        <w:jc w:val="both"/>
        <w:rPr>
          <w:lang w:val="sk-SK"/>
        </w:rPr>
      </w:pPr>
      <w:r w:rsidRPr="00EB512D">
        <w:rPr>
          <w:lang w:val="sk-SK"/>
        </w:rPr>
        <w:t xml:space="preserve">K bodom </w:t>
      </w:r>
      <w:r w:rsidR="003F7F0C" w:rsidRPr="00EB512D">
        <w:rPr>
          <w:lang w:val="sk-SK"/>
        </w:rPr>
        <w:t>2</w:t>
      </w:r>
      <w:r w:rsidR="00CA1CEB" w:rsidRPr="00EB512D">
        <w:rPr>
          <w:lang w:val="sk-SK"/>
        </w:rPr>
        <w:t>6</w:t>
      </w:r>
      <w:r w:rsidR="003F7F0C" w:rsidRPr="00EB512D">
        <w:rPr>
          <w:lang w:val="sk-SK"/>
        </w:rPr>
        <w:t xml:space="preserve"> </w:t>
      </w:r>
      <w:r w:rsidRPr="00EB512D">
        <w:rPr>
          <w:lang w:val="sk-SK"/>
        </w:rPr>
        <w:t xml:space="preserve">až </w:t>
      </w:r>
      <w:r w:rsidR="003F7F0C" w:rsidRPr="00EB512D">
        <w:rPr>
          <w:lang w:val="sk-SK"/>
        </w:rPr>
        <w:t>2</w:t>
      </w:r>
      <w:r w:rsidR="00CA1CEB" w:rsidRPr="00EB512D">
        <w:rPr>
          <w:lang w:val="sk-SK"/>
        </w:rPr>
        <w:t>8</w:t>
      </w:r>
      <w:r w:rsidR="003F7F0C" w:rsidRPr="00EB512D">
        <w:rPr>
          <w:lang w:val="sk-SK"/>
        </w:rPr>
        <w:t xml:space="preserve"> </w:t>
      </w:r>
      <w:r w:rsidRPr="00EB512D">
        <w:rPr>
          <w:lang w:val="sk-SK"/>
        </w:rPr>
        <w:t>(§ 22a až 22b):</w:t>
      </w:r>
    </w:p>
    <w:p w14:paraId="5EB3AE5A" w14:textId="434593BC" w:rsidR="00F615BB" w:rsidRPr="00EB512D" w:rsidRDefault="00F615BB" w:rsidP="00E222E2">
      <w:pPr>
        <w:jc w:val="both"/>
        <w:rPr>
          <w:lang w:val="sk-SK"/>
        </w:rPr>
      </w:pPr>
      <w:r w:rsidRPr="00EB512D">
        <w:rPr>
          <w:lang w:val="sk-SK"/>
        </w:rPr>
        <w:t>Okrem l</w:t>
      </w:r>
      <w:r w:rsidR="00E222E2" w:rsidRPr="00EB512D">
        <w:rPr>
          <w:lang w:val="sk-SK"/>
        </w:rPr>
        <w:t>egislatívno-technick</w:t>
      </w:r>
      <w:r w:rsidRPr="00EB512D">
        <w:rPr>
          <w:lang w:val="sk-SK"/>
        </w:rPr>
        <w:t>ých</w:t>
      </w:r>
      <w:r w:rsidR="00E222E2" w:rsidRPr="00EB512D">
        <w:rPr>
          <w:lang w:val="sk-SK"/>
        </w:rPr>
        <w:t xml:space="preserve"> úprav súvisiac</w:t>
      </w:r>
      <w:r w:rsidRPr="00EB512D">
        <w:rPr>
          <w:lang w:val="sk-SK"/>
        </w:rPr>
        <w:t>ich</w:t>
      </w:r>
      <w:r w:rsidR="00E222E2" w:rsidRPr="00EB512D">
        <w:rPr>
          <w:lang w:val="sk-SK"/>
        </w:rPr>
        <w:t xml:space="preserve"> so zjednotením ustanovení o</w:t>
      </w:r>
      <w:r w:rsidRPr="00EB512D">
        <w:rPr>
          <w:lang w:val="sk-SK"/>
        </w:rPr>
        <w:t> </w:t>
      </w:r>
      <w:r w:rsidR="00E222E2" w:rsidRPr="00EB512D">
        <w:rPr>
          <w:lang w:val="sk-SK"/>
        </w:rPr>
        <w:t>autentifikácii</w:t>
      </w:r>
      <w:r w:rsidRPr="00EB512D">
        <w:rPr>
          <w:lang w:val="sk-SK"/>
        </w:rPr>
        <w:t>, sa navrhuje zjednodušiť zákonnú úpravu autentifikačných certifikátov a doplniť ju o ustanovenie uľahčujúce autentifikáciu pri prístupe cez OpenAPI. Zjednodušenie úpravy vychádza z aplikačnej praxe a z vývoja používania autentifikačných certifikátov a ich registra. Ustanovenia, ktoré sa časom ukázali obsolétne sa navrhuje vypustiť a naopak doplniť rozsah evidencie o údaje, ktoré umožnia vykonávanie autentifikácie najmä pri automatizovanom prístupe s použitím OpenAPI. Týmto spôsobom sa umožní s certifikátom poskytovateľa konkrétnej služby vykonať autentifikáciu v mene osôb, ktoré túto službu využívajú.</w:t>
      </w:r>
    </w:p>
    <w:p w14:paraId="5F415CE0" w14:textId="6994E573" w:rsidR="00FA4257" w:rsidRPr="00EB512D" w:rsidRDefault="00FA4257" w:rsidP="00E222E2">
      <w:pPr>
        <w:jc w:val="both"/>
        <w:rPr>
          <w:lang w:val="sk-SK"/>
        </w:rPr>
      </w:pPr>
    </w:p>
    <w:p w14:paraId="10335215" w14:textId="0D7CE657" w:rsidR="00FA4257" w:rsidRPr="00EB512D" w:rsidRDefault="00FA4257" w:rsidP="00E222E2">
      <w:pPr>
        <w:jc w:val="both"/>
        <w:rPr>
          <w:lang w:val="sk-SK"/>
        </w:rPr>
      </w:pPr>
      <w:r w:rsidRPr="00EB512D">
        <w:rPr>
          <w:lang w:val="sk-SK"/>
        </w:rPr>
        <w:t xml:space="preserve">K bodom </w:t>
      </w:r>
      <w:r w:rsidR="003F7F0C" w:rsidRPr="00EB512D">
        <w:rPr>
          <w:lang w:val="sk-SK"/>
        </w:rPr>
        <w:t>2</w:t>
      </w:r>
      <w:r w:rsidR="00CA1CEB" w:rsidRPr="00EB512D">
        <w:rPr>
          <w:lang w:val="sk-SK"/>
        </w:rPr>
        <w:t>9</w:t>
      </w:r>
      <w:r w:rsidR="00382FC3" w:rsidRPr="00EB512D">
        <w:rPr>
          <w:lang w:val="sk-SK"/>
        </w:rPr>
        <w:t xml:space="preserve"> </w:t>
      </w:r>
      <w:r w:rsidRPr="00EB512D">
        <w:rPr>
          <w:lang w:val="sk-SK"/>
        </w:rPr>
        <w:t xml:space="preserve">až </w:t>
      </w:r>
      <w:r w:rsidR="00382FC3" w:rsidRPr="00EB512D">
        <w:rPr>
          <w:lang w:val="sk-SK"/>
        </w:rPr>
        <w:t>3</w:t>
      </w:r>
      <w:r w:rsidR="00CA1CEB" w:rsidRPr="00EB512D">
        <w:rPr>
          <w:lang w:val="sk-SK"/>
        </w:rPr>
        <w:t>3</w:t>
      </w:r>
      <w:r w:rsidR="00382FC3" w:rsidRPr="00EB512D">
        <w:rPr>
          <w:lang w:val="sk-SK"/>
        </w:rPr>
        <w:t xml:space="preserve"> </w:t>
      </w:r>
      <w:r w:rsidRPr="00EB512D">
        <w:rPr>
          <w:lang w:val="sk-SK"/>
        </w:rPr>
        <w:t>(§ 23):</w:t>
      </w:r>
    </w:p>
    <w:p w14:paraId="68060D9E" w14:textId="0DE56C94" w:rsidR="00FA4257" w:rsidRPr="00EB512D" w:rsidRDefault="00611029" w:rsidP="00E222E2">
      <w:pPr>
        <w:jc w:val="both"/>
        <w:rPr>
          <w:lang w:val="sk-SK"/>
        </w:rPr>
      </w:pPr>
      <w:r w:rsidRPr="00EB512D">
        <w:rPr>
          <w:lang w:val="sk-SK"/>
        </w:rPr>
        <w:t>Zmeny v právnej úprave autorizácie sledujú dva ciele. Prvým je posilnenie dôveryhodnosti použitých autorizačných prostriedkov tým, že sa na účely úradne osvedčeného podpisu bude môcť použiť len kvalifikovaný elektronický podpis a nie pečať a na účely zachovania „overiteľnosti“ sa budú pripájať kvalifikované časové pečiatk</w:t>
      </w:r>
      <w:r w:rsidR="00906495" w:rsidRPr="00EB512D">
        <w:rPr>
          <w:lang w:val="sk-SK"/>
        </w:rPr>
        <w:t>y</w:t>
      </w:r>
      <w:r w:rsidRPr="00EB512D">
        <w:rPr>
          <w:lang w:val="sk-SK"/>
        </w:rPr>
        <w:t xml:space="preserve"> k podpisu na strane OVM všade tam, kde v podaniach absentujú. Dôvodom je najmä snaha „personalizovať“ autorizáciu tam, kde nahrádza úradné osvedčenie (teda neumožniť použitie systémových prostriedkov ale vyžadovať „manuálne podpísanie“ danou osobou) a tiež zabezpečiť, aby autorizované podania, ktoré neobsahujú časovú pečiatku, boli dlhodobo overiteľné z hľadiska platnosti ich autorizácie.</w:t>
      </w:r>
    </w:p>
    <w:p w14:paraId="24C86AA2" w14:textId="61010788" w:rsidR="00611029" w:rsidRPr="00EB512D" w:rsidRDefault="00611029" w:rsidP="00E222E2">
      <w:pPr>
        <w:jc w:val="both"/>
        <w:rPr>
          <w:lang w:val="sk-SK"/>
        </w:rPr>
      </w:pPr>
      <w:r w:rsidRPr="00EB512D">
        <w:rPr>
          <w:lang w:val="sk-SK"/>
        </w:rPr>
        <w:t xml:space="preserve">Druhou oblasťou je zavedenie povinnej autorizácie v súlade s nariadením eIDAS (teda zároveň kvalifikovaným elektronickým podpisom a aj kvalifikovanou elektronickou pečaťou, s pripojením časovej pečiatky) tam, kde ide o úkony (dokumenty), ktoré majú byť použité mimo územia Slovenskej republiky. Zmyslom je, aby </w:t>
      </w:r>
      <w:r w:rsidR="008F4D14" w:rsidRPr="00EB512D">
        <w:rPr>
          <w:lang w:val="sk-SK"/>
        </w:rPr>
        <w:t xml:space="preserve">najmä v členských krajinách EÚ </w:t>
      </w:r>
      <w:r w:rsidR="00032787" w:rsidRPr="00EB512D">
        <w:rPr>
          <w:lang w:val="sk-SK"/>
        </w:rPr>
        <w:t>boli takto autorizované dokumenty použiteľné, resp. aby ich autorizácia spĺňala podmienky, ktoré sú spoločné pre celú EÚ.</w:t>
      </w:r>
    </w:p>
    <w:p w14:paraId="1FEA1226" w14:textId="71C70D06" w:rsidR="00ED1DB2" w:rsidRPr="00EB512D" w:rsidRDefault="00ED1DB2" w:rsidP="00E222E2">
      <w:pPr>
        <w:jc w:val="both"/>
        <w:rPr>
          <w:lang w:val="sk-SK"/>
        </w:rPr>
      </w:pPr>
    </w:p>
    <w:p w14:paraId="7C4B9B7B" w14:textId="2E996C3E" w:rsidR="00ED1DB2" w:rsidRPr="00EB512D" w:rsidRDefault="00ED1DB2" w:rsidP="00E222E2">
      <w:pPr>
        <w:jc w:val="both"/>
        <w:rPr>
          <w:lang w:val="sk-SK"/>
        </w:rPr>
      </w:pPr>
      <w:r w:rsidRPr="00EB512D">
        <w:rPr>
          <w:lang w:val="sk-SK"/>
        </w:rPr>
        <w:t xml:space="preserve">K bodu </w:t>
      </w:r>
      <w:r w:rsidR="003F7F0C" w:rsidRPr="00EB512D">
        <w:rPr>
          <w:lang w:val="sk-SK"/>
        </w:rPr>
        <w:t>3</w:t>
      </w:r>
      <w:r w:rsidR="00CA1CEB" w:rsidRPr="00EB512D">
        <w:rPr>
          <w:lang w:val="sk-SK"/>
        </w:rPr>
        <w:t>4</w:t>
      </w:r>
      <w:r w:rsidR="0096353E" w:rsidRPr="00EB512D">
        <w:rPr>
          <w:lang w:val="sk-SK"/>
        </w:rPr>
        <w:t xml:space="preserve"> </w:t>
      </w:r>
      <w:r w:rsidRPr="00EB512D">
        <w:rPr>
          <w:lang w:val="sk-SK"/>
        </w:rPr>
        <w:t>(§ 25 ods. 7):</w:t>
      </w:r>
    </w:p>
    <w:p w14:paraId="254334C8" w14:textId="4EDA5A55" w:rsidR="00814505" w:rsidRPr="00EB512D" w:rsidRDefault="00814505" w:rsidP="00EF6195">
      <w:pPr>
        <w:jc w:val="both"/>
        <w:rPr>
          <w:lang w:val="sk-SK"/>
        </w:rPr>
      </w:pPr>
      <w:r w:rsidRPr="00EB512D">
        <w:rPr>
          <w:lang w:val="sk-SK"/>
        </w:rPr>
        <w:t>Predmetné doplnenie smeruje k podpore OpenAPI (Open Application Program Interface) vo vzťahu k službám e-Governmentu. Ope</w:t>
      </w:r>
      <w:r w:rsidR="00CA1CEB" w:rsidRPr="00EB512D">
        <w:rPr>
          <w:lang w:val="sk-SK"/>
        </w:rPr>
        <w:t>n</w:t>
      </w:r>
      <w:r w:rsidRPr="00EB512D">
        <w:rPr>
          <w:lang w:val="sk-SK"/>
        </w:rPr>
        <w:t xml:space="preserve">API je verejne dostupné aplikačné programovacie rozhranie, ktorým je možné pre autorizovaného používateľa pracovať s elektronickou službou pomocou vlastných softvérových aplikácií. </w:t>
      </w:r>
    </w:p>
    <w:p w14:paraId="1AC21F6B" w14:textId="5E3152D2" w:rsidR="00E222E2" w:rsidRPr="00EB512D" w:rsidRDefault="0040072D" w:rsidP="00EF6195">
      <w:pPr>
        <w:jc w:val="both"/>
        <w:rPr>
          <w:lang w:val="sk-SK"/>
        </w:rPr>
      </w:pPr>
      <w:r w:rsidRPr="00EB512D">
        <w:rPr>
          <w:lang w:val="sk-SK"/>
        </w:rPr>
        <w:t xml:space="preserve">Navrhnuté doplnenie vychádza z Národnej koncepcie informatizácie verejnej správy a z priority Multikanálový prístup a jeho zmyslom je uložiť povinnosť zverejňovať aj komunikačné rozhrania na automatizovanú komunikáciu pri podávaní podaní všade tam, kde sa takéto podávanie umožňuje cez užívateľské rozhranie, manuálne. Cieľom je dosiahnuť stav, </w:t>
      </w:r>
      <w:r w:rsidRPr="00EB512D">
        <w:rPr>
          <w:lang w:val="sk-SK"/>
        </w:rPr>
        <w:lastRenderedPageBreak/>
        <w:t xml:space="preserve">kedy bude „nad službami štátu“ možné budovať </w:t>
      </w:r>
      <w:r w:rsidR="00814505" w:rsidRPr="00EB512D">
        <w:rPr>
          <w:lang w:val="sk-SK"/>
        </w:rPr>
        <w:t>nástroje automatizovaného využívania týchto služieb a nielen zjednodušiť, ale aj rozšíriť možnosti komunikácie občana a podnikateľa so štátom.</w:t>
      </w:r>
    </w:p>
    <w:p w14:paraId="7B53DAB7" w14:textId="5AFA976A" w:rsidR="00FD00E3" w:rsidRPr="00EB512D" w:rsidRDefault="00FD00E3" w:rsidP="001A7A85">
      <w:pPr>
        <w:jc w:val="both"/>
        <w:rPr>
          <w:lang w:val="sk-SK"/>
        </w:rPr>
      </w:pPr>
    </w:p>
    <w:p w14:paraId="5A8F9DF0" w14:textId="01AD92A9" w:rsidR="00FD00E3" w:rsidRPr="00EB512D" w:rsidRDefault="00AD1FFC" w:rsidP="001A7A85">
      <w:pPr>
        <w:jc w:val="both"/>
        <w:rPr>
          <w:lang w:val="sk-SK"/>
        </w:rPr>
      </w:pPr>
      <w:r w:rsidRPr="00EB512D">
        <w:rPr>
          <w:lang w:val="sk-SK"/>
        </w:rPr>
        <w:t xml:space="preserve">K bodu </w:t>
      </w:r>
      <w:r w:rsidR="003F7F0C" w:rsidRPr="00EB512D">
        <w:rPr>
          <w:lang w:val="sk-SK"/>
        </w:rPr>
        <w:t>3</w:t>
      </w:r>
      <w:r w:rsidR="00CA1CEB" w:rsidRPr="00EB512D">
        <w:rPr>
          <w:lang w:val="sk-SK"/>
        </w:rPr>
        <w:t>5</w:t>
      </w:r>
      <w:r w:rsidR="0096353E" w:rsidRPr="00EB512D">
        <w:rPr>
          <w:lang w:val="sk-SK"/>
        </w:rPr>
        <w:t xml:space="preserve"> </w:t>
      </w:r>
      <w:r w:rsidRPr="00EB512D">
        <w:rPr>
          <w:lang w:val="sk-SK"/>
        </w:rPr>
        <w:t>(§ 28 ods. 3):</w:t>
      </w:r>
    </w:p>
    <w:p w14:paraId="0F76A36E" w14:textId="43FE30F2" w:rsidR="00AD1FFC" w:rsidRPr="00EB512D" w:rsidRDefault="00AD1FFC" w:rsidP="001A7A85">
      <w:pPr>
        <w:jc w:val="both"/>
        <w:rPr>
          <w:lang w:val="sk-SK"/>
        </w:rPr>
      </w:pPr>
      <w:r w:rsidRPr="00EB512D">
        <w:rPr>
          <w:lang w:val="sk-SK"/>
        </w:rPr>
        <w:t>Vzhľadom na existujúcu prax, upravenú výnimkou pre súdy v zákone o súdoch, ktorej aplikácia nespôsobuje problémy, sa navrhuje aj na všeobecnej úrovni umožniť „pripájanie doložiek“ k elektronickým úradným dokumentom aj inak, ako len spoločnou autorizáciou. Týmto iným spôsobom má byť orgánom verejnej moci zvolen</w:t>
      </w:r>
      <w:r w:rsidR="00906495" w:rsidRPr="00EB512D">
        <w:rPr>
          <w:lang w:val="sk-SK"/>
        </w:rPr>
        <w:t>á</w:t>
      </w:r>
      <w:r w:rsidRPr="00EB512D">
        <w:rPr>
          <w:lang w:val="sk-SK"/>
        </w:rPr>
        <w:t xml:space="preserve"> jednoznačná identifikácia úradného dokumentu a „doložky“ k nemu.</w:t>
      </w:r>
    </w:p>
    <w:p w14:paraId="39E0C1F7" w14:textId="6A5A0787" w:rsidR="006C58F4" w:rsidRPr="00EB512D" w:rsidRDefault="006C58F4" w:rsidP="001A7A85">
      <w:pPr>
        <w:jc w:val="both"/>
        <w:rPr>
          <w:lang w:val="sk-SK"/>
        </w:rPr>
      </w:pPr>
      <w:r w:rsidRPr="00EB512D">
        <w:rPr>
          <w:lang w:val="sk-SK"/>
        </w:rPr>
        <w:t xml:space="preserve">Na účely centrálneho doručovania </w:t>
      </w:r>
      <w:r w:rsidR="00E8113F" w:rsidRPr="00EB512D">
        <w:rPr>
          <w:lang w:val="sk-SK"/>
        </w:rPr>
        <w:t xml:space="preserve">podľa § 31a platí, že </w:t>
      </w:r>
      <w:r w:rsidRPr="00EB512D">
        <w:rPr>
          <w:lang w:val="sk-SK"/>
        </w:rPr>
        <w:t>ak sa v </w:t>
      </w:r>
      <w:r w:rsidR="00E8113F" w:rsidRPr="00EB512D">
        <w:rPr>
          <w:lang w:val="sk-SK"/>
        </w:rPr>
        <w:t xml:space="preserve">elektronickej úradnej </w:t>
      </w:r>
      <w:r w:rsidRPr="00EB512D">
        <w:rPr>
          <w:lang w:val="sk-SK"/>
        </w:rPr>
        <w:t xml:space="preserve">správe nachádza </w:t>
      </w:r>
      <w:r w:rsidR="00E8113F" w:rsidRPr="00EB512D">
        <w:rPr>
          <w:lang w:val="sk-SK"/>
        </w:rPr>
        <w:t>úradný dokument</w:t>
      </w:r>
      <w:r w:rsidRPr="00EB512D">
        <w:rPr>
          <w:lang w:val="sk-SK"/>
        </w:rPr>
        <w:t xml:space="preserve"> spoločne autorizovaný s </w:t>
      </w:r>
      <w:r w:rsidR="00E8113F" w:rsidRPr="00EB512D">
        <w:rPr>
          <w:lang w:val="sk-SK"/>
        </w:rPr>
        <w:t xml:space="preserve">tzv. </w:t>
      </w:r>
      <w:r w:rsidRPr="00EB512D">
        <w:rPr>
          <w:lang w:val="sk-SK"/>
        </w:rPr>
        <w:t>doložkou právoplatnosti</w:t>
      </w:r>
      <w:r w:rsidR="00E8113F" w:rsidRPr="00EB512D">
        <w:rPr>
          <w:lang w:val="sk-SK"/>
        </w:rPr>
        <w:t>/vykonateľnosti</w:t>
      </w:r>
      <w:r w:rsidRPr="00EB512D">
        <w:rPr>
          <w:lang w:val="sk-SK"/>
        </w:rPr>
        <w:t xml:space="preserve">, vyhotovuje sa k nim </w:t>
      </w:r>
      <w:r w:rsidR="00E8113F" w:rsidRPr="00EB512D">
        <w:rPr>
          <w:lang w:val="sk-SK"/>
        </w:rPr>
        <w:t xml:space="preserve">na účely listinného rovnopisu </w:t>
      </w:r>
      <w:r w:rsidRPr="00EB512D">
        <w:rPr>
          <w:lang w:val="sk-SK"/>
        </w:rPr>
        <w:t>len jedna doložka o autorizácii.</w:t>
      </w:r>
    </w:p>
    <w:p w14:paraId="28C63A83" w14:textId="57BF8DCD" w:rsidR="00AD1FFC" w:rsidRPr="00EB512D" w:rsidRDefault="00AD1FFC" w:rsidP="001A7A85">
      <w:pPr>
        <w:jc w:val="both"/>
        <w:rPr>
          <w:lang w:val="sk-SK"/>
        </w:rPr>
      </w:pPr>
    </w:p>
    <w:p w14:paraId="6AAFE5FC" w14:textId="02CB777B" w:rsidR="00AD1FFC" w:rsidRPr="00EB512D" w:rsidRDefault="00D71D90" w:rsidP="001A7A85">
      <w:pPr>
        <w:jc w:val="both"/>
        <w:rPr>
          <w:lang w:val="sk-SK"/>
        </w:rPr>
      </w:pPr>
      <w:r w:rsidRPr="00EB512D">
        <w:rPr>
          <w:lang w:val="sk-SK"/>
        </w:rPr>
        <w:t xml:space="preserve">K bodu </w:t>
      </w:r>
      <w:r w:rsidR="003F7F0C" w:rsidRPr="00EB512D">
        <w:rPr>
          <w:lang w:val="sk-SK"/>
        </w:rPr>
        <w:t>3</w:t>
      </w:r>
      <w:r w:rsidR="00CA1CEB" w:rsidRPr="00EB512D">
        <w:rPr>
          <w:lang w:val="sk-SK"/>
        </w:rPr>
        <w:t>6</w:t>
      </w:r>
      <w:r w:rsidR="0096353E" w:rsidRPr="00EB512D">
        <w:rPr>
          <w:lang w:val="sk-SK"/>
        </w:rPr>
        <w:t xml:space="preserve"> </w:t>
      </w:r>
      <w:r w:rsidRPr="00EB512D">
        <w:rPr>
          <w:lang w:val="sk-SK"/>
        </w:rPr>
        <w:t>(§ 31a ods. 12):</w:t>
      </w:r>
    </w:p>
    <w:p w14:paraId="35F85795" w14:textId="27CBC26D" w:rsidR="00D71D90" w:rsidRPr="00EB512D" w:rsidRDefault="00D71D90" w:rsidP="001A7A85">
      <w:pPr>
        <w:jc w:val="both"/>
        <w:rPr>
          <w:lang w:val="sk-SK"/>
        </w:rPr>
      </w:pPr>
      <w:r w:rsidRPr="00EB512D">
        <w:rPr>
          <w:lang w:val="sk-SK"/>
        </w:rPr>
        <w:t xml:space="preserve">Legislatívno-technická úprava, spresňujúca spôsob, akým sa má listinná podoba </w:t>
      </w:r>
      <w:r w:rsidR="00771358" w:rsidRPr="00EB512D">
        <w:rPr>
          <w:lang w:val="sk-SK"/>
        </w:rPr>
        <w:t>doručovaného</w:t>
      </w:r>
      <w:r w:rsidRPr="00EB512D">
        <w:rPr>
          <w:lang w:val="sk-SK"/>
        </w:rPr>
        <w:t xml:space="preserve"> dokumentu vyhotoviť.</w:t>
      </w:r>
    </w:p>
    <w:p w14:paraId="319CABF0" w14:textId="51AF21C6" w:rsidR="00555B31" w:rsidRPr="00EB512D" w:rsidRDefault="00555B31" w:rsidP="001A7A85">
      <w:pPr>
        <w:jc w:val="both"/>
        <w:rPr>
          <w:lang w:val="sk-SK"/>
        </w:rPr>
      </w:pPr>
    </w:p>
    <w:p w14:paraId="46AF926E" w14:textId="1E872ADD" w:rsidR="00555B31" w:rsidRPr="00EB512D" w:rsidRDefault="00F13D8C" w:rsidP="001A7A85">
      <w:pPr>
        <w:jc w:val="both"/>
        <w:rPr>
          <w:lang w:val="sk-SK"/>
        </w:rPr>
      </w:pPr>
      <w:r w:rsidRPr="00EB512D">
        <w:rPr>
          <w:lang w:val="sk-SK"/>
        </w:rPr>
        <w:t xml:space="preserve">K bodu </w:t>
      </w:r>
      <w:r w:rsidR="003F7F0C" w:rsidRPr="00EB512D">
        <w:rPr>
          <w:lang w:val="sk-SK"/>
        </w:rPr>
        <w:t>3</w:t>
      </w:r>
      <w:r w:rsidR="00CA1CEB" w:rsidRPr="00EB512D">
        <w:rPr>
          <w:lang w:val="sk-SK"/>
        </w:rPr>
        <w:t>7</w:t>
      </w:r>
      <w:r w:rsidR="0096353E" w:rsidRPr="00EB512D">
        <w:rPr>
          <w:lang w:val="sk-SK"/>
        </w:rPr>
        <w:t xml:space="preserve"> </w:t>
      </w:r>
      <w:r w:rsidRPr="00EB512D">
        <w:rPr>
          <w:lang w:val="sk-SK"/>
        </w:rPr>
        <w:t>(§ 33 ods. 4):</w:t>
      </w:r>
    </w:p>
    <w:p w14:paraId="255FB3C2" w14:textId="16451FDC" w:rsidR="00F13D8C" w:rsidRPr="00EB512D" w:rsidRDefault="002516D3" w:rsidP="001A7A85">
      <w:pPr>
        <w:jc w:val="both"/>
        <w:rPr>
          <w:lang w:val="sk-SK"/>
        </w:rPr>
      </w:pPr>
      <w:r w:rsidRPr="00EB512D">
        <w:rPr>
          <w:lang w:val="sk-SK"/>
        </w:rPr>
        <w:t>Navrhuje sa doplniť možnosť rozhodovať o neúčinnosti doručenia aj bez návrhu v prípade, ak správca modulu elektronických schránok oznámi, že z technických dôvodov elektronické úradné správy do elektronickej schránky neboli doručené. Ide najmä o prípady technických porúch a výpadkov, s cieľom neprenášať aj tento ich následok na adresáta správy.</w:t>
      </w:r>
    </w:p>
    <w:p w14:paraId="74E3E734" w14:textId="66299D24" w:rsidR="00231FF1" w:rsidRPr="00EB512D" w:rsidRDefault="00231FF1" w:rsidP="001A7A85">
      <w:pPr>
        <w:jc w:val="both"/>
        <w:rPr>
          <w:lang w:val="sk-SK"/>
        </w:rPr>
      </w:pPr>
    </w:p>
    <w:p w14:paraId="260476E0" w14:textId="5FA0B564" w:rsidR="001735C6" w:rsidRPr="00EB512D" w:rsidRDefault="001735C6" w:rsidP="001A7A85">
      <w:pPr>
        <w:jc w:val="both"/>
        <w:rPr>
          <w:lang w:val="sk-SK"/>
        </w:rPr>
      </w:pPr>
      <w:r w:rsidRPr="00EB512D">
        <w:rPr>
          <w:lang w:val="sk-SK"/>
        </w:rPr>
        <w:t xml:space="preserve">K bodu </w:t>
      </w:r>
      <w:r w:rsidR="003F7F0C" w:rsidRPr="00EB512D">
        <w:rPr>
          <w:lang w:val="sk-SK"/>
        </w:rPr>
        <w:t>3</w:t>
      </w:r>
      <w:r w:rsidR="00CA1CEB" w:rsidRPr="00EB512D">
        <w:rPr>
          <w:lang w:val="sk-SK"/>
        </w:rPr>
        <w:t>8</w:t>
      </w:r>
      <w:r w:rsidRPr="00EB512D">
        <w:rPr>
          <w:lang w:val="sk-SK"/>
        </w:rPr>
        <w:t xml:space="preserve"> (§ 35 ods. 3):</w:t>
      </w:r>
    </w:p>
    <w:p w14:paraId="27107BBE" w14:textId="47755CB2" w:rsidR="001735C6" w:rsidRPr="00EB512D" w:rsidRDefault="001735C6" w:rsidP="001A7A85">
      <w:pPr>
        <w:jc w:val="both"/>
        <w:rPr>
          <w:lang w:val="sk-SK"/>
        </w:rPr>
      </w:pPr>
      <w:r w:rsidRPr="00EB512D">
        <w:rPr>
          <w:lang w:val="sk-SK"/>
        </w:rPr>
        <w:t>Medzi osoby oprávnené vykonávať zaručenú konverziu sa navrhuje doplniť Slovenský pozemkový fond, a to pokiaľ ide o zaručenú konverziu dokumentov na účely výkonu jeho činnosti. Dôvodom je snaha o elektronizáciu procesov Slovenského pozemkového fondu v spojení so zavedením povinnej elektronickej komunikácie od 1. januára 2020, ako sa navrhuje v čl. II.</w:t>
      </w:r>
    </w:p>
    <w:p w14:paraId="3475EB7B" w14:textId="77777777" w:rsidR="001735C6" w:rsidRPr="00EB512D" w:rsidRDefault="001735C6" w:rsidP="001A7A85">
      <w:pPr>
        <w:jc w:val="both"/>
        <w:rPr>
          <w:lang w:val="sk-SK"/>
        </w:rPr>
      </w:pPr>
    </w:p>
    <w:p w14:paraId="657E539B" w14:textId="72E33CE5" w:rsidR="00231FF1" w:rsidRPr="00EB512D" w:rsidRDefault="00231FF1" w:rsidP="001A7A85">
      <w:pPr>
        <w:jc w:val="both"/>
        <w:rPr>
          <w:lang w:val="sk-SK"/>
        </w:rPr>
      </w:pPr>
      <w:r w:rsidRPr="00EB512D">
        <w:rPr>
          <w:lang w:val="sk-SK"/>
        </w:rPr>
        <w:t xml:space="preserve">K bodom </w:t>
      </w:r>
      <w:r w:rsidR="003F7F0C" w:rsidRPr="00EB512D">
        <w:rPr>
          <w:lang w:val="sk-SK"/>
        </w:rPr>
        <w:t>3</w:t>
      </w:r>
      <w:r w:rsidR="00CA1CEB" w:rsidRPr="00EB512D">
        <w:rPr>
          <w:lang w:val="sk-SK"/>
        </w:rPr>
        <w:t>9</w:t>
      </w:r>
      <w:r w:rsidR="0096353E" w:rsidRPr="00EB512D">
        <w:rPr>
          <w:lang w:val="sk-SK"/>
        </w:rPr>
        <w:t xml:space="preserve"> </w:t>
      </w:r>
      <w:r w:rsidRPr="00EB512D">
        <w:rPr>
          <w:lang w:val="sk-SK"/>
        </w:rPr>
        <w:t xml:space="preserve">až </w:t>
      </w:r>
      <w:r w:rsidR="0096353E" w:rsidRPr="00EB512D">
        <w:rPr>
          <w:lang w:val="sk-SK"/>
        </w:rPr>
        <w:t>4</w:t>
      </w:r>
      <w:r w:rsidR="00637F0B" w:rsidRPr="00EB512D">
        <w:rPr>
          <w:lang w:val="sk-SK"/>
        </w:rPr>
        <w:t>3</w:t>
      </w:r>
      <w:r w:rsidR="0096353E" w:rsidRPr="00EB512D">
        <w:rPr>
          <w:lang w:val="sk-SK"/>
        </w:rPr>
        <w:t xml:space="preserve"> </w:t>
      </w:r>
      <w:r w:rsidRPr="00EB512D">
        <w:rPr>
          <w:lang w:val="sk-SK"/>
        </w:rPr>
        <w:t>(§ 37 a 39):</w:t>
      </w:r>
    </w:p>
    <w:p w14:paraId="15A1438F" w14:textId="72588790" w:rsidR="00231FF1" w:rsidRPr="00EB512D" w:rsidRDefault="009F5538" w:rsidP="001A7A85">
      <w:pPr>
        <w:jc w:val="both"/>
        <w:rPr>
          <w:lang w:val="sk-SK"/>
        </w:rPr>
      </w:pPr>
      <w:r w:rsidRPr="00EB512D">
        <w:rPr>
          <w:lang w:val="sk-SK"/>
        </w:rPr>
        <w:t>V oblasti zaručenej konverzie sa navrhuje zjednotiť osvedčovacie doložky ustanovením ich vzoru, čo prispeje k jednoduchšej identifikácii a používaniu výstupov zaručenej konverzie.</w:t>
      </w:r>
    </w:p>
    <w:p w14:paraId="49558CC9" w14:textId="54AFCC20" w:rsidR="009F5538" w:rsidRPr="00EB512D" w:rsidRDefault="009F5538" w:rsidP="001A7A85">
      <w:pPr>
        <w:jc w:val="both"/>
        <w:rPr>
          <w:lang w:val="sk-SK"/>
        </w:rPr>
      </w:pPr>
      <w:r w:rsidRPr="00EB512D">
        <w:rPr>
          <w:lang w:val="sk-SK"/>
        </w:rPr>
        <w:t>Rovnako sa navrhuje explicitne vyjadriť skutočnosť, že orgán verejnej moci nie je povinný vykonávať zaručenú konverziu vždy len svojimi prostriedkami, ale môže túto činnosť zabezpečiť aj prostredníctvom inej osoby, na to oprávnenej.</w:t>
      </w:r>
    </w:p>
    <w:p w14:paraId="09528F70" w14:textId="0896AEBB" w:rsidR="00CA1CEB" w:rsidRPr="00EB512D" w:rsidRDefault="00CA1CEB" w:rsidP="00CA1CEB">
      <w:pPr>
        <w:jc w:val="both"/>
        <w:rPr>
          <w:lang w:val="sk-SK"/>
        </w:rPr>
      </w:pPr>
      <w:r w:rsidRPr="00EB512D">
        <w:rPr>
          <w:lang w:val="sk-SK"/>
        </w:rPr>
        <w:t>Navrhuje sa tiež uložiť povinnosť orgánom verejnej moci používať centrálnu evidenciu záznamov o zaručenej konverzii vždy predtým, ako pri výkone verejnej moci vykonajú úkon s použitím konvertovaného dokumentu. Zabezpečí sa tak aktívne zisťovanie súladu údajov v predloženom dokumente a v evidencii záznamov o zaručenej konverzii a tým zníženie rizika použitia neplatných či v rozpore so zákonom konvertovaných dokumentov. Samotná evidenci</w:t>
      </w:r>
      <w:r w:rsidR="00BF0008" w:rsidRPr="00EB512D">
        <w:rPr>
          <w:lang w:val="sk-SK"/>
        </w:rPr>
        <w:t>a</w:t>
      </w:r>
      <w:r w:rsidRPr="00EB512D">
        <w:rPr>
          <w:lang w:val="sk-SK"/>
        </w:rPr>
        <w:t xml:space="preserve"> je plánovaná v on-line režime, resp. pri hromadných, či veľkých množstvách konverzií v režime nahrávania údajov raz denne, čím sa zabezpečí jej aktuálnosť pre potreby orgánov verejnej moci.</w:t>
      </w:r>
    </w:p>
    <w:p w14:paraId="02D93E6C" w14:textId="5AAF7677" w:rsidR="005E3460" w:rsidRPr="00EB512D" w:rsidRDefault="005E3460" w:rsidP="001A7A85">
      <w:pPr>
        <w:jc w:val="both"/>
        <w:rPr>
          <w:lang w:val="sk-SK"/>
        </w:rPr>
      </w:pPr>
      <w:r w:rsidRPr="00EB512D">
        <w:rPr>
          <w:lang w:val="sk-SK"/>
        </w:rPr>
        <w:t xml:space="preserve">V nadväznosti na rozvoj hromadnej konverzie a nahrádzanie manuálnych postupov kontroly dokumentov a výkonu konverzie automatizovanými postupmi sa navrhuje explicitne ustanoviť, že takéto nahradenie je možné a zároveň, aby boli zachované záruky bezpečnosti a integrity </w:t>
      </w:r>
      <w:r w:rsidRPr="00EB512D">
        <w:rPr>
          <w:lang w:val="sk-SK"/>
        </w:rPr>
        <w:lastRenderedPageBreak/>
        <w:t>procesu, vyžadovať znalecké osvedčenie zvoleného postupu tam, kde sú manuálne postupy úplne nahradené strojovými.</w:t>
      </w:r>
    </w:p>
    <w:p w14:paraId="669E869C" w14:textId="6A9F0E0C" w:rsidR="008E21E2" w:rsidRPr="00EB512D" w:rsidRDefault="008E21E2" w:rsidP="001A7A85">
      <w:pPr>
        <w:jc w:val="both"/>
        <w:rPr>
          <w:lang w:val="sk-SK"/>
        </w:rPr>
      </w:pPr>
    </w:p>
    <w:p w14:paraId="72EADA77" w14:textId="116B14F5" w:rsidR="008E21E2" w:rsidRPr="00EB512D" w:rsidRDefault="008E21E2" w:rsidP="001A7A85">
      <w:pPr>
        <w:jc w:val="both"/>
        <w:rPr>
          <w:lang w:val="sk-SK"/>
        </w:rPr>
      </w:pPr>
      <w:r w:rsidRPr="00EB512D">
        <w:rPr>
          <w:lang w:val="sk-SK"/>
        </w:rPr>
        <w:t xml:space="preserve">K bodom </w:t>
      </w:r>
      <w:r w:rsidR="0096353E" w:rsidRPr="00EB512D">
        <w:rPr>
          <w:lang w:val="sk-SK"/>
        </w:rPr>
        <w:t>4</w:t>
      </w:r>
      <w:r w:rsidR="00637F0B" w:rsidRPr="00EB512D">
        <w:rPr>
          <w:lang w:val="sk-SK"/>
        </w:rPr>
        <w:t>4</w:t>
      </w:r>
      <w:r w:rsidR="0096353E" w:rsidRPr="00EB512D">
        <w:rPr>
          <w:lang w:val="sk-SK"/>
        </w:rPr>
        <w:t xml:space="preserve"> </w:t>
      </w:r>
      <w:r w:rsidRPr="00EB512D">
        <w:rPr>
          <w:lang w:val="sk-SK"/>
        </w:rPr>
        <w:t xml:space="preserve">až </w:t>
      </w:r>
      <w:r w:rsidR="00637F0B" w:rsidRPr="00EB512D">
        <w:rPr>
          <w:lang w:val="sk-SK"/>
        </w:rPr>
        <w:t>50</w:t>
      </w:r>
      <w:r w:rsidRPr="00EB512D">
        <w:rPr>
          <w:lang w:val="sk-SK"/>
        </w:rPr>
        <w:t xml:space="preserve"> (§ 40 až 48):</w:t>
      </w:r>
    </w:p>
    <w:p w14:paraId="4BCAA1E3" w14:textId="210F77BD" w:rsidR="008E21E2" w:rsidRPr="00EB512D" w:rsidRDefault="008E21E2" w:rsidP="001A7A85">
      <w:pPr>
        <w:jc w:val="both"/>
        <w:rPr>
          <w:lang w:val="sk-SK"/>
        </w:rPr>
      </w:pPr>
      <w:r w:rsidRPr="00EB512D">
        <w:rPr>
          <w:lang w:val="sk-SK"/>
        </w:rPr>
        <w:t>V časti o úhradách orgánom verejnej moci sa navrhujú vypustiť ustanovenia o akreditovaných platiteľoch a ponechať len úpravu pre platby prostredníctvom IOM. Dôvodom je skutočnosť, že od času zavedenia úpravy akreditovaných platiteľov sa v oblasti úhrad orgánom verejnej moci v praxi presadilo riešenie platieb cez tzv. systém eKolku a ustanovenia o akreditovaných platiteľoch sa stali prakticky obsolentnými.</w:t>
      </w:r>
      <w:r w:rsidR="00A72657" w:rsidRPr="00EB512D">
        <w:rPr>
          <w:lang w:val="sk-SK"/>
        </w:rPr>
        <w:t xml:space="preserve"> Zároveň platí, že uvedenou zmenou sa tzv. </w:t>
      </w:r>
      <w:r w:rsidR="00A72657" w:rsidRPr="00EB512D">
        <w:rPr>
          <w:bCs/>
          <w:lang w:val="sk-SK"/>
        </w:rPr>
        <w:t xml:space="preserve">eKolok nestáva jediným platobným nástrojom pre IOM – rozsah platobných </w:t>
      </w:r>
      <w:r w:rsidR="00714B19" w:rsidRPr="00EB512D">
        <w:rPr>
          <w:bCs/>
          <w:lang w:val="sk-SK"/>
        </w:rPr>
        <w:t>nástrojov</w:t>
      </w:r>
      <w:r w:rsidR="00A72657" w:rsidRPr="00EB512D">
        <w:rPr>
          <w:bCs/>
          <w:lang w:val="sk-SK"/>
        </w:rPr>
        <w:t xml:space="preserve"> pre IOM zostáva nezmenený.</w:t>
      </w:r>
    </w:p>
    <w:p w14:paraId="0C13AC6A" w14:textId="38D1A30F" w:rsidR="000062AE" w:rsidRPr="00EB512D" w:rsidRDefault="000062AE" w:rsidP="001A7A85">
      <w:pPr>
        <w:jc w:val="both"/>
        <w:rPr>
          <w:lang w:val="sk-SK"/>
        </w:rPr>
      </w:pPr>
    </w:p>
    <w:p w14:paraId="5D693876" w14:textId="7F744C9A" w:rsidR="0010051D" w:rsidRPr="00EB512D" w:rsidRDefault="0096353E" w:rsidP="001A7A85">
      <w:pPr>
        <w:jc w:val="both"/>
        <w:rPr>
          <w:lang w:val="sk-SK"/>
        </w:rPr>
      </w:pPr>
      <w:r w:rsidRPr="00EB512D">
        <w:rPr>
          <w:lang w:val="sk-SK"/>
        </w:rPr>
        <w:t xml:space="preserve">K bodu </w:t>
      </w:r>
      <w:r w:rsidR="00637F0B" w:rsidRPr="00EB512D">
        <w:rPr>
          <w:lang w:val="sk-SK"/>
        </w:rPr>
        <w:t>51</w:t>
      </w:r>
      <w:r w:rsidRPr="00EB512D">
        <w:rPr>
          <w:lang w:val="sk-SK"/>
        </w:rPr>
        <w:t xml:space="preserve"> (§ 49 ods. 2):</w:t>
      </w:r>
    </w:p>
    <w:p w14:paraId="3070EA30" w14:textId="1D1D2024" w:rsidR="00E6481E" w:rsidRPr="00EB512D" w:rsidRDefault="00E6481E" w:rsidP="00E6481E">
      <w:pPr>
        <w:jc w:val="both"/>
        <w:rPr>
          <w:lang w:val="sk-SK"/>
        </w:rPr>
      </w:pPr>
      <w:r w:rsidRPr="00EB512D">
        <w:rPr>
          <w:lang w:val="sk-SK"/>
        </w:rPr>
        <w:t>Nadväzne na zmenu v zákone o hlásení pobytu občanov sa navrhuje explicitné doplnenie, že zdrojové registre (teda napr. aj obchodný register) budú môcť na technickej úrovni evidovať identifikátor cudzinca bez pobytu, zapísaného v registri fyzických osôb, viazať ho na tohto cudzinca, túto väzbu udržiavať a poskytovať ju referenčnému registru a všetci, ktorí budú referenčný údaj používať budú môcť cudzinca takto identifikovať. To platí aj na identifikáciu pri opravách údajov a stotožnení zapísaných subjektov podľa zákona o e-Governmente.</w:t>
      </w:r>
    </w:p>
    <w:p w14:paraId="4B89AFBE" w14:textId="77777777" w:rsidR="0010051D" w:rsidRPr="00EB512D" w:rsidRDefault="0010051D" w:rsidP="001A7A85">
      <w:pPr>
        <w:jc w:val="both"/>
        <w:rPr>
          <w:lang w:val="sk-SK"/>
        </w:rPr>
      </w:pPr>
    </w:p>
    <w:p w14:paraId="066BD5E1" w14:textId="2A71F276" w:rsidR="000062AE" w:rsidRPr="00EB512D" w:rsidRDefault="000062AE" w:rsidP="001A7A85">
      <w:pPr>
        <w:jc w:val="both"/>
        <w:rPr>
          <w:lang w:val="sk-SK"/>
        </w:rPr>
      </w:pPr>
      <w:r w:rsidRPr="00EB512D">
        <w:rPr>
          <w:lang w:val="sk-SK"/>
        </w:rPr>
        <w:t xml:space="preserve">K bodu </w:t>
      </w:r>
      <w:r w:rsidR="00637F0B" w:rsidRPr="00EB512D">
        <w:rPr>
          <w:lang w:val="sk-SK"/>
        </w:rPr>
        <w:t>52</w:t>
      </w:r>
      <w:r w:rsidR="00F41637" w:rsidRPr="00EB512D">
        <w:rPr>
          <w:lang w:val="sk-SK"/>
        </w:rPr>
        <w:t xml:space="preserve"> </w:t>
      </w:r>
      <w:r w:rsidRPr="00EB512D">
        <w:rPr>
          <w:lang w:val="sk-SK"/>
        </w:rPr>
        <w:t>(§ 55 ods. 2):</w:t>
      </w:r>
    </w:p>
    <w:p w14:paraId="32AD7A29" w14:textId="76EF6265" w:rsidR="000062AE" w:rsidRPr="00EB512D" w:rsidRDefault="002059C5" w:rsidP="001A7A85">
      <w:pPr>
        <w:jc w:val="both"/>
        <w:rPr>
          <w:lang w:val="sk-SK"/>
        </w:rPr>
      </w:pPr>
      <w:r w:rsidRPr="00EB512D">
        <w:rPr>
          <w:lang w:val="sk-SK"/>
        </w:rPr>
        <w:t xml:space="preserve">V oblasti spôsobu poskytovania údajov medzi orgánmi verejnej moci sa navrhuje upustiť od výlučnej formy elektronického odpisu a umožniť aj využitie iných spôsobov zabezpečenia integrity v prípadoch, kedy sa komunikuje cez systém IS CSRÚ. Keďže v prípade IS CSRÚ je </w:t>
      </w:r>
      <w:r w:rsidR="003D5A76" w:rsidRPr="00EB512D">
        <w:rPr>
          <w:lang w:val="sk-SK"/>
        </w:rPr>
        <w:t>integrita</w:t>
      </w:r>
      <w:r w:rsidRPr="00EB512D">
        <w:rPr>
          <w:lang w:val="sk-SK"/>
        </w:rPr>
        <w:t xml:space="preserve"> </w:t>
      </w:r>
      <w:r w:rsidR="003D5A76" w:rsidRPr="00EB512D">
        <w:rPr>
          <w:lang w:val="sk-SK"/>
        </w:rPr>
        <w:t>zabezpečená</w:t>
      </w:r>
      <w:r w:rsidRPr="00EB512D">
        <w:rPr>
          <w:lang w:val="sk-SK"/>
        </w:rPr>
        <w:t xml:space="preserve"> inými systémovými prostriedkami, nie je naďalej nutné zotrvávať na dodržaní podmienok vydávania elektronických odpisov.</w:t>
      </w:r>
    </w:p>
    <w:p w14:paraId="589EC117" w14:textId="5D6267B2" w:rsidR="002F0C67" w:rsidRPr="00EB512D" w:rsidRDefault="002F0C67" w:rsidP="001A7A85">
      <w:pPr>
        <w:jc w:val="both"/>
        <w:rPr>
          <w:lang w:val="sk-SK"/>
        </w:rPr>
      </w:pPr>
    </w:p>
    <w:p w14:paraId="2330F76D" w14:textId="44FE584E" w:rsidR="002F0C67" w:rsidRPr="00EB512D" w:rsidRDefault="002F0C67" w:rsidP="001A7A85">
      <w:pPr>
        <w:jc w:val="both"/>
        <w:rPr>
          <w:lang w:val="sk-SK"/>
        </w:rPr>
      </w:pPr>
      <w:r w:rsidRPr="00EB512D">
        <w:rPr>
          <w:lang w:val="sk-SK"/>
        </w:rPr>
        <w:t xml:space="preserve">K bodom </w:t>
      </w:r>
      <w:r w:rsidR="00637F0B" w:rsidRPr="00EB512D">
        <w:rPr>
          <w:lang w:val="sk-SK"/>
        </w:rPr>
        <w:t>53</w:t>
      </w:r>
      <w:r w:rsidRPr="00EB512D">
        <w:rPr>
          <w:lang w:val="sk-SK"/>
        </w:rPr>
        <w:t xml:space="preserve"> a </w:t>
      </w:r>
      <w:r w:rsidR="00637F0B" w:rsidRPr="00EB512D">
        <w:rPr>
          <w:lang w:val="sk-SK"/>
        </w:rPr>
        <w:t>5</w:t>
      </w:r>
      <w:r w:rsidR="00DF2BF9" w:rsidRPr="00EB512D">
        <w:rPr>
          <w:lang w:val="sk-SK"/>
        </w:rPr>
        <w:t>4</w:t>
      </w:r>
      <w:r w:rsidRPr="00EB512D">
        <w:rPr>
          <w:lang w:val="sk-SK"/>
        </w:rPr>
        <w:t xml:space="preserve"> (§ 56):</w:t>
      </w:r>
    </w:p>
    <w:p w14:paraId="7A4D438F" w14:textId="0006527A" w:rsidR="002F0C67" w:rsidRPr="00EB512D" w:rsidRDefault="002F0C67" w:rsidP="002F0C67">
      <w:pPr>
        <w:jc w:val="both"/>
        <w:rPr>
          <w:lang w:val="sk-SK"/>
        </w:rPr>
      </w:pPr>
      <w:r w:rsidRPr="00EB512D">
        <w:rPr>
          <w:lang w:val="sk-SK"/>
        </w:rPr>
        <w:t xml:space="preserve">Legislatívno-technická úprava súvisiaca s úpravami v Štvrtej </w:t>
      </w:r>
      <w:r w:rsidR="00356C32" w:rsidRPr="00EB512D">
        <w:rPr>
          <w:lang w:val="sk-SK"/>
        </w:rPr>
        <w:t>časti zákona (akreditovaný platiteľ)</w:t>
      </w:r>
      <w:r w:rsidRPr="00EB512D">
        <w:rPr>
          <w:lang w:val="sk-SK"/>
        </w:rPr>
        <w:t>.</w:t>
      </w:r>
    </w:p>
    <w:p w14:paraId="7E8EB4D7" w14:textId="522314EC" w:rsidR="002F0C67" w:rsidRPr="00EB512D" w:rsidRDefault="002F0C67" w:rsidP="001A7A85">
      <w:pPr>
        <w:jc w:val="both"/>
        <w:rPr>
          <w:lang w:val="sk-SK"/>
        </w:rPr>
      </w:pPr>
    </w:p>
    <w:p w14:paraId="26E68D09" w14:textId="3F647821" w:rsidR="00DF2BF9" w:rsidRPr="00EB512D" w:rsidRDefault="00DF2BF9" w:rsidP="001A7A85">
      <w:pPr>
        <w:jc w:val="both"/>
        <w:rPr>
          <w:lang w:val="sk-SK"/>
        </w:rPr>
      </w:pPr>
      <w:r w:rsidRPr="00EB512D">
        <w:rPr>
          <w:lang w:val="sk-SK"/>
        </w:rPr>
        <w:t>K bodu 55 (§ 56):</w:t>
      </w:r>
    </w:p>
    <w:p w14:paraId="79CA7AD0" w14:textId="6DC967C4" w:rsidR="00DF2BF9" w:rsidRPr="00EB512D" w:rsidRDefault="00DF2BF9" w:rsidP="001A7A85">
      <w:pPr>
        <w:jc w:val="both"/>
        <w:rPr>
          <w:lang w:val="sk-SK"/>
        </w:rPr>
      </w:pPr>
      <w:r w:rsidRPr="00EB512D">
        <w:rPr>
          <w:lang w:val="sk-SK"/>
        </w:rPr>
        <w:t>Z dôvodov vychádzajúcich z aplikačnej praxe sa navrhuje vypustiť subjektívna lehota na uloženie sankcie a ponechať len lehotu objektívnu.</w:t>
      </w:r>
    </w:p>
    <w:p w14:paraId="0C2EE800" w14:textId="77777777" w:rsidR="00DF2BF9" w:rsidRPr="00EB512D" w:rsidRDefault="00DF2BF9" w:rsidP="001A7A85">
      <w:pPr>
        <w:jc w:val="both"/>
        <w:rPr>
          <w:lang w:val="sk-SK"/>
        </w:rPr>
      </w:pPr>
    </w:p>
    <w:p w14:paraId="6C26552B" w14:textId="7A7BFEF0" w:rsidR="00356C32" w:rsidRPr="00EB512D" w:rsidRDefault="00356C32" w:rsidP="001A7A85">
      <w:pPr>
        <w:jc w:val="both"/>
        <w:rPr>
          <w:lang w:val="sk-SK"/>
        </w:rPr>
      </w:pPr>
      <w:r w:rsidRPr="00EB512D">
        <w:rPr>
          <w:lang w:val="sk-SK"/>
        </w:rPr>
        <w:t>K</w:t>
      </w:r>
      <w:r w:rsidR="002861AD" w:rsidRPr="00EB512D">
        <w:rPr>
          <w:lang w:val="sk-SK"/>
        </w:rPr>
        <w:t> </w:t>
      </w:r>
      <w:r w:rsidR="00D123B0" w:rsidRPr="00EB512D">
        <w:rPr>
          <w:lang w:val="sk-SK"/>
        </w:rPr>
        <w:t>bod</w:t>
      </w:r>
      <w:r w:rsidR="002861AD" w:rsidRPr="00EB512D">
        <w:rPr>
          <w:lang w:val="sk-SK"/>
        </w:rPr>
        <w:t xml:space="preserve">om </w:t>
      </w:r>
      <w:r w:rsidR="00637F0B" w:rsidRPr="00EB512D">
        <w:rPr>
          <w:lang w:val="sk-SK"/>
        </w:rPr>
        <w:t>56</w:t>
      </w:r>
      <w:r w:rsidR="002861AD" w:rsidRPr="00EB512D">
        <w:rPr>
          <w:lang w:val="sk-SK"/>
        </w:rPr>
        <w:t xml:space="preserve"> a </w:t>
      </w:r>
      <w:r w:rsidR="00637F0B" w:rsidRPr="00EB512D">
        <w:rPr>
          <w:lang w:val="sk-SK"/>
        </w:rPr>
        <w:t>57</w:t>
      </w:r>
      <w:r w:rsidR="00D123B0" w:rsidRPr="00EB512D">
        <w:rPr>
          <w:lang w:val="sk-SK"/>
        </w:rPr>
        <w:t xml:space="preserve"> (§ </w:t>
      </w:r>
      <w:r w:rsidR="00BA7F89" w:rsidRPr="00EB512D">
        <w:rPr>
          <w:lang w:val="sk-SK"/>
        </w:rPr>
        <w:t>5</w:t>
      </w:r>
      <w:r w:rsidR="00D123B0" w:rsidRPr="00EB512D">
        <w:rPr>
          <w:lang w:val="sk-SK"/>
        </w:rPr>
        <w:t>9 ods. 1):</w:t>
      </w:r>
    </w:p>
    <w:p w14:paraId="36B9B578" w14:textId="6B8696FB" w:rsidR="00D123B0" w:rsidRPr="00EB512D" w:rsidRDefault="00D123B0" w:rsidP="00D123B0">
      <w:pPr>
        <w:jc w:val="both"/>
        <w:rPr>
          <w:lang w:val="sk-SK"/>
        </w:rPr>
      </w:pPr>
      <w:r w:rsidRPr="00EB512D">
        <w:rPr>
          <w:lang w:val="sk-SK"/>
        </w:rPr>
        <w:t>Legislatívno-technická úprava súvisiaca s úpravami v oblasti konverzie</w:t>
      </w:r>
      <w:r w:rsidR="009D42D2" w:rsidRPr="00EB512D">
        <w:rPr>
          <w:lang w:val="sk-SK"/>
        </w:rPr>
        <w:t xml:space="preserve"> a zavádzaním centrálneho doručovania</w:t>
      </w:r>
      <w:r w:rsidRPr="00EB512D">
        <w:rPr>
          <w:lang w:val="sk-SK"/>
        </w:rPr>
        <w:t>.</w:t>
      </w:r>
    </w:p>
    <w:p w14:paraId="6B6EF8E6" w14:textId="1B4F8498" w:rsidR="00D123B0" w:rsidRPr="00EB512D" w:rsidRDefault="00D123B0" w:rsidP="00D123B0">
      <w:pPr>
        <w:jc w:val="both"/>
        <w:rPr>
          <w:lang w:val="sk-SK"/>
        </w:rPr>
      </w:pPr>
    </w:p>
    <w:p w14:paraId="549E8A91" w14:textId="364CBD3E" w:rsidR="00D123B0" w:rsidRPr="00EB512D" w:rsidRDefault="00D123B0" w:rsidP="00D123B0">
      <w:pPr>
        <w:jc w:val="both"/>
        <w:rPr>
          <w:lang w:val="sk-SK"/>
        </w:rPr>
      </w:pPr>
      <w:r w:rsidRPr="00EB512D">
        <w:rPr>
          <w:lang w:val="sk-SK"/>
        </w:rPr>
        <w:t xml:space="preserve">K bodom </w:t>
      </w:r>
      <w:r w:rsidR="00637F0B" w:rsidRPr="00EB512D">
        <w:rPr>
          <w:lang w:val="sk-SK"/>
        </w:rPr>
        <w:t>58</w:t>
      </w:r>
      <w:r w:rsidRPr="00EB512D">
        <w:rPr>
          <w:lang w:val="sk-SK"/>
        </w:rPr>
        <w:t xml:space="preserve"> a </w:t>
      </w:r>
      <w:r w:rsidR="00637F0B" w:rsidRPr="00EB512D">
        <w:rPr>
          <w:lang w:val="sk-SK"/>
        </w:rPr>
        <w:t>59</w:t>
      </w:r>
      <w:r w:rsidRPr="00EB512D">
        <w:rPr>
          <w:lang w:val="sk-SK"/>
        </w:rPr>
        <w:t xml:space="preserve"> (§ 59 ods. </w:t>
      </w:r>
      <w:r w:rsidR="00A92F17" w:rsidRPr="00EB512D">
        <w:rPr>
          <w:lang w:val="sk-SK"/>
        </w:rPr>
        <w:t>1</w:t>
      </w:r>
      <w:r w:rsidRPr="00EB512D">
        <w:rPr>
          <w:lang w:val="sk-SK"/>
        </w:rPr>
        <w:t xml:space="preserve"> a </w:t>
      </w:r>
      <w:r w:rsidR="00A92F17" w:rsidRPr="00EB512D">
        <w:rPr>
          <w:lang w:val="sk-SK"/>
        </w:rPr>
        <w:t>2</w:t>
      </w:r>
      <w:r w:rsidRPr="00EB512D">
        <w:rPr>
          <w:lang w:val="sk-SK"/>
        </w:rPr>
        <w:t>):</w:t>
      </w:r>
    </w:p>
    <w:p w14:paraId="78EBBCA1" w14:textId="4DA8D4B0" w:rsidR="00D123B0" w:rsidRPr="00EB512D" w:rsidRDefault="00D123B0" w:rsidP="001A7A85">
      <w:pPr>
        <w:jc w:val="both"/>
        <w:rPr>
          <w:lang w:val="sk-SK"/>
        </w:rPr>
      </w:pPr>
      <w:r w:rsidRPr="00EB512D">
        <w:rPr>
          <w:lang w:val="sk-SK"/>
        </w:rPr>
        <w:t>Legislatívno-technická úprava súvisiaca so zjednotením ustanovení o autentifikácii.</w:t>
      </w:r>
    </w:p>
    <w:p w14:paraId="0F6FAB20" w14:textId="178A07DA" w:rsidR="00113CAC" w:rsidRPr="00EB512D" w:rsidRDefault="00113CAC" w:rsidP="00EF6195">
      <w:pPr>
        <w:jc w:val="both"/>
        <w:rPr>
          <w:lang w:val="sk-SK"/>
        </w:rPr>
      </w:pPr>
    </w:p>
    <w:p w14:paraId="29373491" w14:textId="33079FEF" w:rsidR="002F66D3" w:rsidRPr="00EB512D" w:rsidRDefault="002F66D3" w:rsidP="002F66D3">
      <w:pPr>
        <w:jc w:val="both"/>
        <w:rPr>
          <w:lang w:val="sk-SK"/>
        </w:rPr>
      </w:pPr>
      <w:r w:rsidRPr="00EB512D">
        <w:rPr>
          <w:lang w:val="sk-SK"/>
        </w:rPr>
        <w:t xml:space="preserve">K bodu </w:t>
      </w:r>
      <w:r w:rsidR="00637F0B" w:rsidRPr="00EB512D">
        <w:rPr>
          <w:lang w:val="sk-SK"/>
        </w:rPr>
        <w:t>60</w:t>
      </w:r>
      <w:r w:rsidRPr="00EB512D">
        <w:rPr>
          <w:lang w:val="sk-SK"/>
        </w:rPr>
        <w:t xml:space="preserve"> (§ 60d):</w:t>
      </w:r>
    </w:p>
    <w:p w14:paraId="45E867BB" w14:textId="77777777" w:rsidR="002F66D3" w:rsidRPr="00EB512D" w:rsidRDefault="002F66D3" w:rsidP="002F66D3">
      <w:pPr>
        <w:jc w:val="both"/>
        <w:rPr>
          <w:lang w:val="sk-SK"/>
        </w:rPr>
      </w:pPr>
      <w:r w:rsidRPr="00EB512D">
        <w:rPr>
          <w:lang w:val="sk-SK"/>
        </w:rPr>
        <w:t>Navrhuje sa posunúť dátum zriadenia centrálnej evidencie záznamov o konverzii, aby sa tým poskytlo dostatočné časové obdobie pre osoby, vykonávajúce konverziu, na prípravu používania evidencie, s tým súvisiace úpravy programových nástrojov a na integráciu s novou evidenciou.</w:t>
      </w:r>
    </w:p>
    <w:p w14:paraId="7FE04E97" w14:textId="77777777" w:rsidR="002F66D3" w:rsidRPr="00EB512D" w:rsidRDefault="002F66D3" w:rsidP="002F66D3">
      <w:pPr>
        <w:jc w:val="both"/>
        <w:rPr>
          <w:lang w:val="sk-SK"/>
        </w:rPr>
      </w:pPr>
    </w:p>
    <w:p w14:paraId="5B33F901" w14:textId="6FDE9802" w:rsidR="002F66D3" w:rsidRPr="00EB512D" w:rsidRDefault="002F66D3" w:rsidP="002F66D3">
      <w:pPr>
        <w:jc w:val="both"/>
        <w:rPr>
          <w:lang w:val="sk-SK"/>
        </w:rPr>
      </w:pPr>
      <w:r w:rsidRPr="00EB512D">
        <w:rPr>
          <w:lang w:val="sk-SK"/>
        </w:rPr>
        <w:t xml:space="preserve">K bodu </w:t>
      </w:r>
      <w:r w:rsidR="005A4CEC" w:rsidRPr="00EB512D">
        <w:rPr>
          <w:lang w:val="sk-SK"/>
        </w:rPr>
        <w:t xml:space="preserve">61 </w:t>
      </w:r>
      <w:r w:rsidR="00856C46" w:rsidRPr="00EB512D">
        <w:rPr>
          <w:lang w:val="sk-SK"/>
        </w:rPr>
        <w:t>(§ 60h</w:t>
      </w:r>
      <w:r w:rsidRPr="00EB512D">
        <w:rPr>
          <w:lang w:val="sk-SK"/>
        </w:rPr>
        <w:t xml:space="preserve"> a</w:t>
      </w:r>
      <w:r w:rsidR="00856C46" w:rsidRPr="00EB512D">
        <w:rPr>
          <w:lang w:val="sk-SK"/>
        </w:rPr>
        <w:t> </w:t>
      </w:r>
      <w:r w:rsidRPr="00EB512D">
        <w:rPr>
          <w:lang w:val="sk-SK"/>
        </w:rPr>
        <w:t>60</w:t>
      </w:r>
      <w:r w:rsidR="00856C46" w:rsidRPr="00EB512D">
        <w:rPr>
          <w:lang w:val="sk-SK"/>
        </w:rPr>
        <w:t>i</w:t>
      </w:r>
      <w:r w:rsidRPr="00EB512D">
        <w:rPr>
          <w:lang w:val="sk-SK"/>
        </w:rPr>
        <w:t>):</w:t>
      </w:r>
    </w:p>
    <w:p w14:paraId="73E488D5" w14:textId="468F4FD7" w:rsidR="002F66D3" w:rsidRPr="00EB512D" w:rsidRDefault="002F66D3" w:rsidP="002F66D3">
      <w:pPr>
        <w:jc w:val="both"/>
        <w:rPr>
          <w:lang w:val="sk-SK"/>
        </w:rPr>
      </w:pPr>
      <w:r w:rsidRPr="00EB512D">
        <w:rPr>
          <w:lang w:val="sk-SK"/>
        </w:rPr>
        <w:lastRenderedPageBreak/>
        <w:t>V nadväznosti na navrhované zmeny v zriaďovaní elektronických schránok, zverejňovaní nových služieb na ÚPVS, sprístupňovaní OpenAPI a zmenách v autorizácii sa navrhujú ustanoviť primerané prechodné obdobia na ich zavedenie do praxe.</w:t>
      </w:r>
    </w:p>
    <w:p w14:paraId="37B0F935" w14:textId="33CB83F0" w:rsidR="00637F0B" w:rsidRPr="00EB512D" w:rsidRDefault="00637F0B" w:rsidP="00637F0B">
      <w:pPr>
        <w:jc w:val="both"/>
        <w:rPr>
          <w:lang w:val="sk-SK"/>
        </w:rPr>
      </w:pPr>
      <w:r w:rsidRPr="00EB512D">
        <w:rPr>
          <w:lang w:val="sk-SK"/>
        </w:rPr>
        <w:t>Vzhľadom na rôznorodosť v kvalite a spôsobe vedenia existujúcich „lokálnych“ evidencií sa povinnosť overovať údaje v centrálnej evidencií vykonaných zaručených konverzií ukladá s účinnosťou od jej zriadenia a nebude sa aplikovať na dokumenty, zaručene konvertované pred jej zriadením. Dôvodom je</w:t>
      </w:r>
      <w:r w:rsidR="005A4CEC" w:rsidRPr="00EB512D">
        <w:rPr>
          <w:lang w:val="sk-SK"/>
        </w:rPr>
        <w:t>,</w:t>
      </w:r>
      <w:r w:rsidRPr="00EB512D">
        <w:rPr>
          <w:lang w:val="sk-SK"/>
        </w:rPr>
        <w:t xml:space="preserve"> aby sa v praxi predišlo možným problémom s overením dokumentu, ktorý bude spôsobený výlučne nekvalitou existujúcich „lokálnych“ evidencií.</w:t>
      </w:r>
    </w:p>
    <w:p w14:paraId="5DA934D6" w14:textId="0C34F26F" w:rsidR="000D5C6D" w:rsidRPr="00EB512D" w:rsidRDefault="000D5C6D" w:rsidP="00EF6195">
      <w:pPr>
        <w:jc w:val="both"/>
        <w:rPr>
          <w:lang w:val="sk-SK"/>
        </w:rPr>
      </w:pPr>
    </w:p>
    <w:p w14:paraId="254DDC11" w14:textId="77777777" w:rsidR="00BE74D2" w:rsidRPr="00EB512D" w:rsidRDefault="00BE74D2" w:rsidP="00EF6195">
      <w:pPr>
        <w:jc w:val="both"/>
        <w:rPr>
          <w:lang w:val="sk-SK"/>
        </w:rPr>
      </w:pPr>
    </w:p>
    <w:p w14:paraId="5282BB96" w14:textId="3235B249" w:rsidR="00B45615" w:rsidRPr="00EB512D" w:rsidRDefault="00B45615" w:rsidP="00EF6195">
      <w:pPr>
        <w:jc w:val="both"/>
        <w:rPr>
          <w:lang w:val="sk-SK"/>
        </w:rPr>
      </w:pPr>
      <w:r w:rsidRPr="00EB512D">
        <w:rPr>
          <w:lang w:val="sk-SK"/>
        </w:rPr>
        <w:t>K čl. II</w:t>
      </w:r>
      <w:r w:rsidR="00E11512" w:rsidRPr="00EB512D">
        <w:rPr>
          <w:lang w:val="sk-SK"/>
        </w:rPr>
        <w:t>:</w:t>
      </w:r>
    </w:p>
    <w:p w14:paraId="5105782E" w14:textId="6E67B765" w:rsidR="00C71959" w:rsidRPr="00EB512D" w:rsidRDefault="002F66E3" w:rsidP="00EF6195">
      <w:pPr>
        <w:jc w:val="both"/>
        <w:rPr>
          <w:lang w:val="sk-SK"/>
        </w:rPr>
      </w:pPr>
      <w:r w:rsidRPr="00EB512D">
        <w:rPr>
          <w:lang w:val="sk-SK"/>
        </w:rPr>
        <w:t>Navrhované úpravy majú za cieľ napomôcť k elektronizácii procesov Slovenského pozemkového fondu. Keďže pozemkový fond nevykonáva pôsobnosť spadajúcu pod definíciu výkonu verejnej moci elektronicky, nevzťahujú sa naň ustanovenia zákona o e-Governmente priamo. Navrhuje sa preto využiť možnosť podľa § 2 ods. 5 zákona o e-Governmente a explicitne upraviť jeho použitie aj na komunikáciu smerom k pozemkovému fondu a na elektronické doručovanie písomností, ako aj na automatizované získavanie údajov, ktoré sú pre činnosť pozemkového fondu nevyhnutné.</w:t>
      </w:r>
    </w:p>
    <w:p w14:paraId="1BF3846C" w14:textId="08B2AB74" w:rsidR="006D1410" w:rsidRPr="00EB512D" w:rsidRDefault="006D1410" w:rsidP="00EF6195">
      <w:pPr>
        <w:jc w:val="both"/>
        <w:rPr>
          <w:lang w:val="sk-SK"/>
        </w:rPr>
      </w:pPr>
      <w:r w:rsidRPr="00EB512D">
        <w:rPr>
          <w:lang w:val="sk-SK"/>
        </w:rPr>
        <w:t>Rozsah povinnej elektronickej komunikácie sa navrhuje ustanoviť na právnické osoby a podnikateľov, pričom odklad účinnosti tejto povinnosti má slúžiť na prípravu na takýto typ komunikácie, a to tak na strane osôb súkromného práva, ako aj na strane pozemkového fondu.</w:t>
      </w:r>
    </w:p>
    <w:p w14:paraId="5738CA2E" w14:textId="77777777" w:rsidR="00C71959" w:rsidRPr="00EB512D" w:rsidRDefault="00C71959" w:rsidP="00EF6195">
      <w:pPr>
        <w:jc w:val="both"/>
        <w:rPr>
          <w:lang w:val="sk-SK"/>
        </w:rPr>
      </w:pPr>
    </w:p>
    <w:p w14:paraId="0EAFED89" w14:textId="3197588E" w:rsidR="00C71959" w:rsidRPr="00EB512D" w:rsidRDefault="00C71959" w:rsidP="00EF6195">
      <w:pPr>
        <w:jc w:val="both"/>
        <w:rPr>
          <w:lang w:val="sk-SK"/>
        </w:rPr>
      </w:pPr>
      <w:r w:rsidRPr="00EB512D">
        <w:rPr>
          <w:lang w:val="sk-SK"/>
        </w:rPr>
        <w:t>K čl. III:</w:t>
      </w:r>
    </w:p>
    <w:p w14:paraId="59D10A98" w14:textId="710A0363" w:rsidR="00EA0C17" w:rsidRPr="00EB512D" w:rsidRDefault="00EA0C17" w:rsidP="00E11512">
      <w:pPr>
        <w:jc w:val="both"/>
        <w:rPr>
          <w:lang w:val="sk-SK"/>
        </w:rPr>
      </w:pPr>
      <w:r w:rsidRPr="00EB512D">
        <w:rPr>
          <w:lang w:val="sk-SK"/>
        </w:rPr>
        <w:t>K bodom 1 až 3:</w:t>
      </w:r>
    </w:p>
    <w:p w14:paraId="29D1635B" w14:textId="28EAF074" w:rsidR="00E11512" w:rsidRPr="00EB512D" w:rsidRDefault="00E11512" w:rsidP="00E11512">
      <w:pPr>
        <w:jc w:val="both"/>
        <w:rPr>
          <w:lang w:val="sk-SK"/>
        </w:rPr>
      </w:pPr>
      <w:r w:rsidRPr="00EB512D">
        <w:rPr>
          <w:lang w:val="sk-SK"/>
        </w:rPr>
        <w:t>Legislatívno-technická úprava súvisiaca s úpravami v Štvrtej časti zákona</w:t>
      </w:r>
      <w:r w:rsidR="00084ADF" w:rsidRPr="00EB512D">
        <w:rPr>
          <w:lang w:val="sk-SK"/>
        </w:rPr>
        <w:t xml:space="preserve"> o e-Governmente</w:t>
      </w:r>
      <w:r w:rsidRPr="00EB512D">
        <w:rPr>
          <w:lang w:val="sk-SK"/>
        </w:rPr>
        <w:t xml:space="preserve"> (akreditovaný platiteľ).</w:t>
      </w:r>
    </w:p>
    <w:p w14:paraId="52B9F0C7" w14:textId="1A4D6A42" w:rsidR="00EA0C17" w:rsidRPr="00EB512D" w:rsidRDefault="00EA0C17" w:rsidP="00EF6195">
      <w:pPr>
        <w:jc w:val="both"/>
        <w:rPr>
          <w:lang w:val="sk-SK"/>
        </w:rPr>
      </w:pPr>
    </w:p>
    <w:p w14:paraId="6B99BF41" w14:textId="26A51BCD" w:rsidR="00EA0C17" w:rsidRPr="00EB512D" w:rsidRDefault="00EA0C17" w:rsidP="00EF6195">
      <w:pPr>
        <w:jc w:val="both"/>
        <w:rPr>
          <w:lang w:val="sk-SK"/>
        </w:rPr>
      </w:pPr>
      <w:r w:rsidRPr="00EB512D">
        <w:rPr>
          <w:lang w:val="sk-SK"/>
        </w:rPr>
        <w:t>K bodu 4:</w:t>
      </w:r>
    </w:p>
    <w:p w14:paraId="26F2219F" w14:textId="6B1124BE" w:rsidR="00EA0C17" w:rsidRPr="00EB512D" w:rsidRDefault="00EA0C17" w:rsidP="00EA0C17">
      <w:pPr>
        <w:jc w:val="both"/>
        <w:rPr>
          <w:lang w:val="sk-SK"/>
        </w:rPr>
      </w:pPr>
      <w:r w:rsidRPr="00EB512D">
        <w:rPr>
          <w:lang w:val="sk-SK"/>
        </w:rPr>
        <w:t xml:space="preserve">Od 16. februára 2019 sa v členských štátoch EÚ začne uplatňovať Nariadenie Európskeho parlamentu a Rady (EÚ) 2016/1191 zo 6. júla 2016 o podporovaní voľného pohybu občanov prostredníctvom zjednodušenia požiadaviek na predkladanie určitých verejných listín v Európskej únii a o zmene nariadenia (EÚ) č. 1024/2012. Uvedené nariadenie odstraňuje pre niektoré verejné listiny požiadavku vyššieho overenia a podobnej formálnej náležitosti. Pre niektoré druhy verejných listín odstraňuje aj požiadavku povinného súdneho prekladu verejnej listiny vydanej v členskom štáte EÚ ako napríklad listiny týkajúce sa narodenia, skutočnosti, že osoba žije, úmrtia, manželstva (vrátane spôsobilosti uzavrieť manželstvo a osobného stavu) Namiesto súdneho prekladu vybranej verejnej listiny boli vypracované viacjazyčné štandardizované formuláre ako pomôcka pre preklad verejnej listiny, ktorej jazyku nerozumie orgán, ktorému sa listina v cudzine predkladá. Nariadenie nebráni členskému štátu, aby určil poplatok za vydanie viacjazyčného štandardného formulára, ktorý však nemá presiahnuť administratívne/výrobné náklady (čl. 11 nariadenia). Formuláre sú prílohou nariadenia a sú dostupné na Európskom portáli elektronickej justície. Na tento účel sa navrhuje zavedenie nového súdneho poplatku po vzore súdneho poplatku podľa položky 24aa. </w:t>
      </w:r>
    </w:p>
    <w:p w14:paraId="2A892285" w14:textId="77777777" w:rsidR="00EA0C17" w:rsidRPr="00EB512D" w:rsidRDefault="00EA0C17" w:rsidP="00EF6195">
      <w:pPr>
        <w:jc w:val="both"/>
        <w:rPr>
          <w:lang w:val="sk-SK"/>
        </w:rPr>
      </w:pPr>
    </w:p>
    <w:p w14:paraId="2AFB792A" w14:textId="77777777" w:rsidR="00084ADF" w:rsidRPr="00EB512D" w:rsidRDefault="00084ADF" w:rsidP="00EF6195">
      <w:pPr>
        <w:jc w:val="both"/>
        <w:rPr>
          <w:lang w:val="sk-SK"/>
        </w:rPr>
      </w:pPr>
    </w:p>
    <w:p w14:paraId="6629F2BD" w14:textId="0581C829" w:rsidR="001572E6" w:rsidRPr="00EB512D" w:rsidRDefault="001572E6" w:rsidP="001572E6">
      <w:pPr>
        <w:jc w:val="both"/>
        <w:rPr>
          <w:lang w:val="sk-SK"/>
        </w:rPr>
      </w:pPr>
      <w:r w:rsidRPr="00EB512D">
        <w:rPr>
          <w:lang w:val="sk-SK"/>
        </w:rPr>
        <w:t xml:space="preserve">K čl. </w:t>
      </w:r>
      <w:r w:rsidR="00DB4774" w:rsidRPr="00EB512D">
        <w:rPr>
          <w:lang w:val="sk-SK"/>
        </w:rPr>
        <w:t>IV</w:t>
      </w:r>
      <w:r w:rsidRPr="00EB512D">
        <w:rPr>
          <w:lang w:val="sk-SK"/>
        </w:rPr>
        <w:t>:</w:t>
      </w:r>
    </w:p>
    <w:p w14:paraId="04E1ABE2" w14:textId="08C0F7AA" w:rsidR="006859F3" w:rsidRPr="00EB512D" w:rsidRDefault="006859F3" w:rsidP="006859F3">
      <w:pPr>
        <w:jc w:val="both"/>
        <w:rPr>
          <w:lang w:val="sk-SK"/>
        </w:rPr>
      </w:pPr>
      <w:r w:rsidRPr="00EB512D">
        <w:rPr>
          <w:lang w:val="sk-SK"/>
        </w:rPr>
        <w:t>K bodu 1 (§ 7</w:t>
      </w:r>
      <w:r w:rsidR="003B31F7" w:rsidRPr="00EB512D">
        <w:rPr>
          <w:lang w:val="sk-SK"/>
        </w:rPr>
        <w:t xml:space="preserve"> a § 12</w:t>
      </w:r>
      <w:r w:rsidRPr="00EB512D">
        <w:rPr>
          <w:lang w:val="sk-SK"/>
        </w:rPr>
        <w:t>):</w:t>
      </w:r>
    </w:p>
    <w:p w14:paraId="608BB0E0" w14:textId="77777777" w:rsidR="006859F3" w:rsidRPr="00EB512D" w:rsidRDefault="006859F3" w:rsidP="006859F3">
      <w:pPr>
        <w:jc w:val="both"/>
        <w:rPr>
          <w:lang w:val="sk-SK"/>
        </w:rPr>
      </w:pPr>
      <w:r w:rsidRPr="00EB512D">
        <w:rPr>
          <w:lang w:val="sk-SK"/>
        </w:rPr>
        <w:t>Legislatívno-technická úprava súvisiaca s úpravami v Štvrtej časti zákona o e-Governmente (akreditovaný platiteľ).</w:t>
      </w:r>
    </w:p>
    <w:p w14:paraId="0E8C29A6" w14:textId="32268778" w:rsidR="006859F3" w:rsidRPr="00EB512D" w:rsidRDefault="006859F3" w:rsidP="00EF6195">
      <w:pPr>
        <w:jc w:val="both"/>
        <w:rPr>
          <w:lang w:val="sk-SK"/>
        </w:rPr>
      </w:pPr>
    </w:p>
    <w:p w14:paraId="10561C7A" w14:textId="024CA341" w:rsidR="006859F3" w:rsidRPr="00EB512D" w:rsidRDefault="006859F3" w:rsidP="006859F3">
      <w:pPr>
        <w:jc w:val="both"/>
        <w:rPr>
          <w:lang w:val="sk-SK"/>
        </w:rPr>
      </w:pPr>
      <w:r w:rsidRPr="00EB512D">
        <w:rPr>
          <w:lang w:val="sk-SK"/>
        </w:rPr>
        <w:lastRenderedPageBreak/>
        <w:t>K bod</w:t>
      </w:r>
      <w:r w:rsidR="00DC2DCD" w:rsidRPr="00EB512D">
        <w:rPr>
          <w:lang w:val="sk-SK"/>
        </w:rPr>
        <w:t>om</w:t>
      </w:r>
      <w:r w:rsidRPr="00EB512D">
        <w:rPr>
          <w:lang w:val="sk-SK"/>
        </w:rPr>
        <w:t xml:space="preserve"> </w:t>
      </w:r>
      <w:r w:rsidR="00DC2DCD" w:rsidRPr="00EB512D">
        <w:rPr>
          <w:lang w:val="sk-SK"/>
        </w:rPr>
        <w:t xml:space="preserve">2 a 3 </w:t>
      </w:r>
      <w:r w:rsidRPr="00EB512D">
        <w:rPr>
          <w:lang w:val="sk-SK"/>
        </w:rPr>
        <w:t xml:space="preserve">(§ </w:t>
      </w:r>
      <w:r w:rsidR="00DC2DCD" w:rsidRPr="00EB512D">
        <w:rPr>
          <w:lang w:val="sk-SK"/>
        </w:rPr>
        <w:t>10</w:t>
      </w:r>
      <w:r w:rsidRPr="00EB512D">
        <w:rPr>
          <w:lang w:val="sk-SK"/>
        </w:rPr>
        <w:t>):</w:t>
      </w:r>
    </w:p>
    <w:p w14:paraId="084CE37F" w14:textId="7288F134" w:rsidR="00DC2DCD" w:rsidRPr="00EB512D" w:rsidRDefault="00B466E3" w:rsidP="006859F3">
      <w:pPr>
        <w:jc w:val="both"/>
        <w:rPr>
          <w:lang w:val="sk-SK"/>
        </w:rPr>
      </w:pPr>
      <w:r w:rsidRPr="00EB512D">
        <w:rPr>
          <w:lang w:val="sk-SK"/>
        </w:rPr>
        <w:t xml:space="preserve">Navrhuje sa, aby tie poplatky a preplatky, ktoré nie je možné podľa existujúceho ustanovenia zákona vrátiť, a ani ich použiť na iný účel, </w:t>
      </w:r>
      <w:r w:rsidR="005A4CEC" w:rsidRPr="00EB512D">
        <w:rPr>
          <w:lang w:val="sk-SK"/>
        </w:rPr>
        <w:t xml:space="preserve">keďže </w:t>
      </w:r>
      <w:r w:rsidRPr="00EB512D">
        <w:rPr>
          <w:lang w:val="sk-SK"/>
        </w:rPr>
        <w:t>ich suma neprevyšuje 1,70 eura, boli nielen po účinnosti novely tohto zákona, ale aj podľa doterajších predpisov príjmom toho rozpočtu (štát, obec, VÚC), podľa toho, komu rozpočtový príjem z príslušného poplatku alebo preplatku prináleží. Legislatívno-technická pripomienka k poznámke pod čiarou 7c) smeruje k aktualizácii vecného právneho predpisu.</w:t>
      </w:r>
    </w:p>
    <w:p w14:paraId="0B27C8FC" w14:textId="1606100A" w:rsidR="006859F3" w:rsidRPr="00EB512D" w:rsidRDefault="006859F3" w:rsidP="00EF6195">
      <w:pPr>
        <w:jc w:val="both"/>
        <w:rPr>
          <w:lang w:val="sk-SK"/>
        </w:rPr>
      </w:pPr>
    </w:p>
    <w:p w14:paraId="01A21B2A" w14:textId="0B87FC29" w:rsidR="006859F3" w:rsidRPr="00EB512D" w:rsidRDefault="006859F3" w:rsidP="00EF6195">
      <w:pPr>
        <w:jc w:val="both"/>
        <w:rPr>
          <w:lang w:val="sk-SK"/>
        </w:rPr>
      </w:pPr>
      <w:r w:rsidRPr="00EB512D">
        <w:rPr>
          <w:lang w:val="sk-SK"/>
        </w:rPr>
        <w:t xml:space="preserve">K bodu </w:t>
      </w:r>
      <w:r w:rsidR="003B31F7" w:rsidRPr="00EB512D">
        <w:rPr>
          <w:lang w:val="sk-SK"/>
        </w:rPr>
        <w:t>4</w:t>
      </w:r>
      <w:r w:rsidR="005A4CEC" w:rsidRPr="00EB512D">
        <w:rPr>
          <w:lang w:val="sk-SK"/>
        </w:rPr>
        <w:t xml:space="preserve"> </w:t>
      </w:r>
      <w:r w:rsidRPr="00EB512D">
        <w:rPr>
          <w:lang w:val="sk-SK"/>
        </w:rPr>
        <w:t>(§ 19m):</w:t>
      </w:r>
    </w:p>
    <w:p w14:paraId="1BF462B0" w14:textId="457AB7CC" w:rsidR="006859F3" w:rsidRPr="00EB512D" w:rsidRDefault="00B466E3" w:rsidP="00EF6195">
      <w:pPr>
        <w:jc w:val="both"/>
        <w:rPr>
          <w:lang w:val="sk-SK"/>
        </w:rPr>
      </w:pPr>
      <w:r w:rsidRPr="00EB512D">
        <w:rPr>
          <w:lang w:val="sk-SK"/>
        </w:rPr>
        <w:t>Prechodné ustanovenie k úprave v bode 2 (§ 10).</w:t>
      </w:r>
    </w:p>
    <w:p w14:paraId="10108E26" w14:textId="50E4DC31" w:rsidR="001572E6" w:rsidRPr="00EB512D" w:rsidRDefault="001572E6" w:rsidP="00EF6195">
      <w:pPr>
        <w:jc w:val="both"/>
        <w:rPr>
          <w:lang w:val="sk-SK"/>
        </w:rPr>
      </w:pPr>
    </w:p>
    <w:p w14:paraId="76E01745" w14:textId="77777777" w:rsidR="006859F3" w:rsidRPr="00EB512D" w:rsidRDefault="006859F3" w:rsidP="00EF6195">
      <w:pPr>
        <w:jc w:val="both"/>
        <w:rPr>
          <w:lang w:val="sk-SK"/>
        </w:rPr>
      </w:pPr>
    </w:p>
    <w:p w14:paraId="2C8325E0" w14:textId="0FE9F4E3" w:rsidR="00715FDF" w:rsidRPr="00EB512D" w:rsidRDefault="000A41ED" w:rsidP="00EF6195">
      <w:pPr>
        <w:jc w:val="both"/>
        <w:rPr>
          <w:lang w:val="sk-SK"/>
        </w:rPr>
      </w:pPr>
      <w:r w:rsidRPr="00EB512D">
        <w:rPr>
          <w:lang w:val="sk-SK"/>
        </w:rPr>
        <w:t>K čl. V</w:t>
      </w:r>
      <w:r w:rsidR="00715FDF" w:rsidRPr="00EB512D">
        <w:rPr>
          <w:lang w:val="sk-SK"/>
        </w:rPr>
        <w:t>:</w:t>
      </w:r>
    </w:p>
    <w:p w14:paraId="31958C8B" w14:textId="77777777" w:rsidR="00715FDF" w:rsidRPr="00EB512D" w:rsidRDefault="00715FDF" w:rsidP="00EF6195">
      <w:pPr>
        <w:jc w:val="both"/>
        <w:rPr>
          <w:lang w:val="sk-SK"/>
        </w:rPr>
      </w:pPr>
      <w:r w:rsidRPr="00EB512D">
        <w:rPr>
          <w:lang w:val="sk-SK"/>
        </w:rPr>
        <w:t>K bodu 1:</w:t>
      </w:r>
    </w:p>
    <w:p w14:paraId="5DC25CD9" w14:textId="77777777" w:rsidR="00715FDF" w:rsidRPr="00EB512D" w:rsidRDefault="00715FDF" w:rsidP="00EF6195">
      <w:pPr>
        <w:jc w:val="both"/>
        <w:rPr>
          <w:lang w:val="sk-SK"/>
        </w:rPr>
      </w:pPr>
      <w:r w:rsidRPr="00EB512D">
        <w:rPr>
          <w:lang w:val="sk-SK"/>
        </w:rPr>
        <w:t>Doplnenie súvisiace so zmenami v čl. V až IX.</w:t>
      </w:r>
    </w:p>
    <w:p w14:paraId="7AADE584" w14:textId="77777777" w:rsidR="00715FDF" w:rsidRPr="00EB512D" w:rsidRDefault="00715FDF" w:rsidP="00EF6195">
      <w:pPr>
        <w:jc w:val="both"/>
        <w:rPr>
          <w:lang w:val="sk-SK"/>
        </w:rPr>
      </w:pPr>
    </w:p>
    <w:p w14:paraId="44867666" w14:textId="77777777" w:rsidR="00715FDF" w:rsidRPr="00EB512D" w:rsidRDefault="00715FDF" w:rsidP="00EF6195">
      <w:pPr>
        <w:jc w:val="both"/>
        <w:rPr>
          <w:lang w:val="sk-SK"/>
        </w:rPr>
      </w:pPr>
      <w:r w:rsidRPr="00EB512D">
        <w:rPr>
          <w:lang w:val="sk-SK"/>
        </w:rPr>
        <w:t>K bodu 2:</w:t>
      </w:r>
    </w:p>
    <w:p w14:paraId="0A0B0EAD" w14:textId="030203D5" w:rsidR="00715FDF" w:rsidRPr="00EB512D" w:rsidRDefault="0044164B" w:rsidP="00715FDF">
      <w:pPr>
        <w:jc w:val="both"/>
        <w:rPr>
          <w:lang w:val="sk-SK"/>
        </w:rPr>
      </w:pPr>
      <w:r w:rsidRPr="00EB512D">
        <w:rPr>
          <w:lang w:val="sk-SK"/>
        </w:rPr>
        <w:t>Navrhuje sa, aby</w:t>
      </w:r>
      <w:r w:rsidR="00715FDF" w:rsidRPr="00EB512D">
        <w:rPr>
          <w:lang w:val="sk-SK"/>
        </w:rPr>
        <w:t xml:space="preserve"> technický identifikátor ako jednoznačný identifikačný atribút pre cudzinca bez pobytu zapísaného v registri fyzických osôb </w:t>
      </w:r>
      <w:r w:rsidRPr="00EB512D">
        <w:rPr>
          <w:lang w:val="sk-SK"/>
        </w:rPr>
        <w:t>bolo</w:t>
      </w:r>
      <w:r w:rsidR="00715FDF" w:rsidRPr="00EB512D">
        <w:rPr>
          <w:lang w:val="sk-SK"/>
        </w:rPr>
        <w:t xml:space="preserve"> možné na účely zákona o e-Governmente použiť aj ako identifikátor osoby, a to pri komunikácii medzi dvomi IS. To znamená, že </w:t>
      </w:r>
      <w:r w:rsidRPr="00EB512D">
        <w:rPr>
          <w:lang w:val="sk-SK"/>
        </w:rPr>
        <w:t>ho bude možné získavať a používať</w:t>
      </w:r>
      <w:r w:rsidR="00715FDF" w:rsidRPr="00EB512D">
        <w:rPr>
          <w:lang w:val="sk-SK"/>
        </w:rPr>
        <w:t xml:space="preserve"> na jednoznačnú identifikáciu osoby </w:t>
      </w:r>
      <w:r w:rsidRPr="00EB512D">
        <w:rPr>
          <w:lang w:val="sk-SK"/>
        </w:rPr>
        <w:t xml:space="preserve">napr. </w:t>
      </w:r>
      <w:r w:rsidR="00715FDF" w:rsidRPr="00EB512D">
        <w:rPr>
          <w:lang w:val="sk-SK"/>
        </w:rPr>
        <w:t xml:space="preserve">pri zriadení schránok a túto väzbu ďalej udržiavať. </w:t>
      </w:r>
    </w:p>
    <w:p w14:paraId="5751887B" w14:textId="27FD0336" w:rsidR="00715FDF" w:rsidRPr="00EB512D" w:rsidRDefault="00715FDF" w:rsidP="00EF6195">
      <w:pPr>
        <w:jc w:val="both"/>
        <w:rPr>
          <w:lang w:val="sk-SK"/>
        </w:rPr>
      </w:pPr>
    </w:p>
    <w:p w14:paraId="526618AE" w14:textId="77777777" w:rsidR="00715FDF" w:rsidRPr="00EB512D" w:rsidRDefault="00715FDF" w:rsidP="00EF6195">
      <w:pPr>
        <w:jc w:val="both"/>
        <w:rPr>
          <w:lang w:val="sk-SK"/>
        </w:rPr>
      </w:pPr>
    </w:p>
    <w:p w14:paraId="1CDC3AD6" w14:textId="2E9D1DB5" w:rsidR="000A41ED" w:rsidRPr="00EB512D" w:rsidRDefault="00715FDF" w:rsidP="00EF6195">
      <w:pPr>
        <w:jc w:val="both"/>
        <w:rPr>
          <w:lang w:val="sk-SK"/>
        </w:rPr>
      </w:pPr>
      <w:r w:rsidRPr="00EB512D">
        <w:rPr>
          <w:lang w:val="sk-SK"/>
        </w:rPr>
        <w:t>K čl. V</w:t>
      </w:r>
      <w:r w:rsidR="00DB4774" w:rsidRPr="00EB512D">
        <w:rPr>
          <w:lang w:val="sk-SK"/>
        </w:rPr>
        <w:t>I</w:t>
      </w:r>
      <w:r w:rsidRPr="00EB512D">
        <w:rPr>
          <w:lang w:val="sk-SK"/>
        </w:rPr>
        <w:t xml:space="preserve"> </w:t>
      </w:r>
      <w:r w:rsidR="000A41ED" w:rsidRPr="00EB512D">
        <w:rPr>
          <w:lang w:val="sk-SK"/>
        </w:rPr>
        <w:t>až</w:t>
      </w:r>
      <w:r w:rsidR="00646BF8" w:rsidRPr="00EB512D">
        <w:rPr>
          <w:lang w:val="sk-SK"/>
        </w:rPr>
        <w:t xml:space="preserve"> X:</w:t>
      </w:r>
    </w:p>
    <w:p w14:paraId="3706487B" w14:textId="0FA9599D" w:rsidR="006C5BCE" w:rsidRPr="00EB512D" w:rsidRDefault="006C5BCE" w:rsidP="006C5BCE">
      <w:pPr>
        <w:jc w:val="both"/>
        <w:rPr>
          <w:color w:val="000000"/>
          <w:lang w:val="sk-SK"/>
        </w:rPr>
      </w:pPr>
      <w:r w:rsidRPr="00EB512D">
        <w:rPr>
          <w:lang w:val="sk-SK"/>
        </w:rPr>
        <w:t xml:space="preserve">Obsahom zmien je </w:t>
      </w:r>
      <w:r w:rsidRPr="00EB512D">
        <w:rPr>
          <w:bCs/>
          <w:color w:val="000000"/>
          <w:lang w:val="sk-SK"/>
        </w:rPr>
        <w:t>rozšírenie možností používania eID a údajov z registra fyzických osôb a evidencie občianskych preukazov pre banky, pobočky zahraničných bánk</w:t>
      </w:r>
      <w:r w:rsidR="00635D96" w:rsidRPr="00EB512D">
        <w:rPr>
          <w:bCs/>
          <w:color w:val="000000"/>
          <w:lang w:val="sk-SK"/>
        </w:rPr>
        <w:t>, poštové podniky</w:t>
      </w:r>
      <w:r w:rsidRPr="00EB512D">
        <w:rPr>
          <w:bCs/>
          <w:color w:val="000000"/>
          <w:lang w:val="sk-SK"/>
        </w:rPr>
        <w:t xml:space="preserve"> a telekomunikačných operátorov.</w:t>
      </w:r>
      <w:r w:rsidRPr="00EB512D">
        <w:rPr>
          <w:color w:val="000000"/>
          <w:lang w:val="sk-SK"/>
        </w:rPr>
        <w:t xml:space="preserve"> Navrhuje sa umožniť získavať údaje z registra fyzických osôb a používať na overenie totožnosti klientov eID (alebo doklad o pobyte) za rovnakých podmienok ako v eGov službách, teda ako pri procese autentifikácie napr. na portáli slovensko.sk.</w:t>
      </w:r>
    </w:p>
    <w:p w14:paraId="6FF19E8B" w14:textId="504C4A4C" w:rsidR="000A41ED" w:rsidRPr="00EB512D" w:rsidRDefault="006C5BCE" w:rsidP="006C5BCE">
      <w:pPr>
        <w:jc w:val="both"/>
        <w:rPr>
          <w:color w:val="000000"/>
          <w:lang w:val="sk-SK"/>
        </w:rPr>
      </w:pPr>
      <w:r w:rsidRPr="00EB512D">
        <w:rPr>
          <w:color w:val="000000"/>
          <w:lang w:val="sk-SK"/>
        </w:rPr>
        <w:t xml:space="preserve">Cieľom týchto úprav je pokračovať vo využívaní výsledkov projektov v oblasti eGov služieb aj na účely kontaktu ich užívateľov, občanov a podnikateľov, so subjektami v súkromnej sfére. </w:t>
      </w:r>
    </w:p>
    <w:p w14:paraId="1827CCCA" w14:textId="259223C2" w:rsidR="00635D96" w:rsidRPr="00EB512D" w:rsidRDefault="00635D96" w:rsidP="006C5BCE">
      <w:pPr>
        <w:jc w:val="both"/>
        <w:rPr>
          <w:color w:val="000000"/>
          <w:lang w:val="sk-SK"/>
        </w:rPr>
      </w:pPr>
      <w:r w:rsidRPr="00EB512D">
        <w:rPr>
          <w:color w:val="000000"/>
          <w:lang w:val="sk-SK"/>
        </w:rPr>
        <w:t>Návrh odzrkadľuje požiadavky jednotného centralizovaného prístupu do relevantných systémov prevádzkovaných ministerstvom vnútra (evidencia občianskych preukazov a register fyzických osôb). Prístup k dátam je centralizovaný a implementácia vychádza z predpokladu čo najširšieho možného využitia už existujúcich komunikačných rozhraní, čo má za následok kratší časový úsek možného nasadenia do prevádzky. Návrh tiež predpokladá možnosť využiť existujúce overovacie mechanizmy a predpokladá aj možnosť využitia existujúcich nástrojov v IT systémoch ministerstva vnútra, poskytujúcich služby overenia osobných dokladov.</w:t>
      </w:r>
    </w:p>
    <w:p w14:paraId="72729E11" w14:textId="19778899" w:rsidR="00B6264E" w:rsidRPr="00EB512D" w:rsidRDefault="00B6264E" w:rsidP="006C5BCE">
      <w:pPr>
        <w:jc w:val="both"/>
        <w:rPr>
          <w:color w:val="000000"/>
          <w:lang w:val="sk-SK"/>
        </w:rPr>
      </w:pPr>
      <w:r w:rsidRPr="00EB512D">
        <w:rPr>
          <w:color w:val="000000"/>
          <w:lang w:val="sk-SK"/>
        </w:rPr>
        <w:t>V nadväznosti na navrhované zmeny sa v prípade poštového podniku tiež navrhuje upraviť rozsah spracúvaných údajov na účely overovania totožnosti pri poskytovaní poštových služieb.</w:t>
      </w:r>
    </w:p>
    <w:p w14:paraId="335526A7" w14:textId="06FA9946" w:rsidR="00E11512" w:rsidRPr="00EB512D" w:rsidRDefault="00E11512" w:rsidP="00EF6195">
      <w:pPr>
        <w:jc w:val="both"/>
        <w:rPr>
          <w:lang w:val="sk-SK"/>
        </w:rPr>
      </w:pPr>
    </w:p>
    <w:p w14:paraId="56D6C36F" w14:textId="77777777" w:rsidR="00C762EA" w:rsidRPr="00EB512D" w:rsidRDefault="00C762EA" w:rsidP="00EF6195">
      <w:pPr>
        <w:jc w:val="both"/>
        <w:rPr>
          <w:lang w:val="sk-SK"/>
        </w:rPr>
      </w:pPr>
    </w:p>
    <w:p w14:paraId="238B7826" w14:textId="3C573D88" w:rsidR="00441ABD" w:rsidRPr="00EB512D" w:rsidRDefault="00441ABD" w:rsidP="00EF6195">
      <w:pPr>
        <w:jc w:val="both"/>
        <w:rPr>
          <w:lang w:val="sk-SK"/>
        </w:rPr>
      </w:pPr>
      <w:r w:rsidRPr="00EB512D">
        <w:rPr>
          <w:lang w:val="sk-SK"/>
        </w:rPr>
        <w:t xml:space="preserve">K čl. </w:t>
      </w:r>
      <w:r w:rsidR="006B290F" w:rsidRPr="00EB512D">
        <w:rPr>
          <w:lang w:val="sk-SK"/>
        </w:rPr>
        <w:t>X</w:t>
      </w:r>
      <w:r w:rsidR="00DB4774" w:rsidRPr="00EB512D">
        <w:rPr>
          <w:lang w:val="sk-SK"/>
        </w:rPr>
        <w:t>I</w:t>
      </w:r>
      <w:r w:rsidR="006B290F" w:rsidRPr="00EB512D">
        <w:rPr>
          <w:lang w:val="sk-SK"/>
        </w:rPr>
        <w:t>:</w:t>
      </w:r>
    </w:p>
    <w:p w14:paraId="51E63487" w14:textId="640FB688" w:rsidR="00C77200" w:rsidRPr="00C77200" w:rsidRDefault="00C77200" w:rsidP="00C77200">
      <w:pPr>
        <w:jc w:val="both"/>
        <w:rPr>
          <w:lang w:val="sk-SK"/>
        </w:rPr>
      </w:pPr>
      <w:r w:rsidRPr="00C77200">
        <w:t xml:space="preserve">Navrhuje </w:t>
      </w:r>
      <w:proofErr w:type="gramStart"/>
      <w:r w:rsidRPr="00C77200">
        <w:t>sa</w:t>
      </w:r>
      <w:proofErr w:type="gramEnd"/>
      <w:r w:rsidRPr="00C77200">
        <w:t xml:space="preserve"> delená účinnosť návrhu zákona, keďže ustanovenie čl. I bod 60 má nadobudnúť účinnosť dňom vyhlásenia, </w:t>
      </w:r>
      <w:proofErr w:type="gramStart"/>
      <w:r w:rsidRPr="00C77200">
        <w:t>vo</w:t>
      </w:r>
      <w:proofErr w:type="gramEnd"/>
      <w:r w:rsidRPr="00C77200">
        <w:t xml:space="preserve"> vzťahu k elektronizácii komunikácie Slovenského pozemkov</w:t>
      </w:r>
      <w:bookmarkStart w:id="1" w:name="_GoBack"/>
      <w:bookmarkEnd w:id="1"/>
      <w:r w:rsidRPr="00C77200">
        <w:t xml:space="preserve">ého fondu a vo vzťahu k povinnosti zverejňovania OpenAPI sa navrhuje ustanoviť potrebnú legisvakančnú lehotu a zvyšné časti návrhu zákona majú nadobudnúť účinnosť 1. </w:t>
      </w:r>
      <w:proofErr w:type="gramStart"/>
      <w:r w:rsidR="00CC6A3B">
        <w:t>júla</w:t>
      </w:r>
      <w:proofErr w:type="gramEnd"/>
      <w:r w:rsidRPr="00C77200">
        <w:t xml:space="preserve"> 2019</w:t>
      </w:r>
      <w:r>
        <w:t>.</w:t>
      </w:r>
    </w:p>
    <w:p w14:paraId="3DE54019" w14:textId="77777777" w:rsidR="007C3F79" w:rsidRPr="00EB512D" w:rsidRDefault="007C3F79" w:rsidP="00EF6195">
      <w:pPr>
        <w:jc w:val="both"/>
        <w:rPr>
          <w:lang w:val="sk-SK"/>
        </w:rPr>
      </w:pPr>
    </w:p>
    <w:p w14:paraId="1BFCB6E8" w14:textId="7BDBE4CB" w:rsidR="007C3F79" w:rsidRPr="00EB512D" w:rsidRDefault="007C3F79" w:rsidP="00EF6195">
      <w:pPr>
        <w:jc w:val="both"/>
        <w:rPr>
          <w:lang w:val="sk-SK"/>
        </w:rPr>
      </w:pPr>
      <w:r w:rsidRPr="00EB512D">
        <w:rPr>
          <w:lang w:val="sk-SK"/>
        </w:rPr>
        <w:lastRenderedPageBreak/>
        <w:t>Bratislava, 17. apríla 2019</w:t>
      </w:r>
    </w:p>
    <w:p w14:paraId="2066F97B" w14:textId="77777777" w:rsidR="007C3F79" w:rsidRPr="00EB512D" w:rsidRDefault="007C3F79" w:rsidP="007C3F79">
      <w:pPr>
        <w:jc w:val="center"/>
        <w:rPr>
          <w:b/>
        </w:rPr>
      </w:pPr>
    </w:p>
    <w:p w14:paraId="297DB43C" w14:textId="77777777" w:rsidR="007C3F79" w:rsidRPr="00EB512D" w:rsidRDefault="007C3F79" w:rsidP="007C3F79">
      <w:pPr>
        <w:jc w:val="center"/>
        <w:rPr>
          <w:b/>
        </w:rPr>
      </w:pPr>
    </w:p>
    <w:p w14:paraId="56781F63" w14:textId="77777777" w:rsidR="007C3F79" w:rsidRPr="00EB512D" w:rsidRDefault="007C3F79" w:rsidP="007C3F79">
      <w:pPr>
        <w:jc w:val="center"/>
        <w:rPr>
          <w:b/>
        </w:rPr>
      </w:pPr>
    </w:p>
    <w:p w14:paraId="5958FEA4" w14:textId="77777777" w:rsidR="007C3F79" w:rsidRPr="00EB512D" w:rsidRDefault="007C3F79" w:rsidP="007C3F79">
      <w:pPr>
        <w:jc w:val="center"/>
        <w:rPr>
          <w:b/>
        </w:rPr>
      </w:pPr>
    </w:p>
    <w:p w14:paraId="462DC613" w14:textId="77777777" w:rsidR="007C3F79" w:rsidRPr="00EB512D" w:rsidRDefault="007C3F79" w:rsidP="007C3F79">
      <w:pPr>
        <w:jc w:val="center"/>
        <w:rPr>
          <w:b/>
        </w:rPr>
      </w:pPr>
    </w:p>
    <w:p w14:paraId="6514A157" w14:textId="77777777" w:rsidR="007C3F79" w:rsidRPr="00EB512D" w:rsidRDefault="007C3F79" w:rsidP="007C3F79">
      <w:pPr>
        <w:jc w:val="center"/>
        <w:rPr>
          <w:b/>
        </w:rPr>
      </w:pPr>
      <w:r w:rsidRPr="00EB512D">
        <w:rPr>
          <w:b/>
        </w:rPr>
        <w:t>Peter Pellegrini v. r.</w:t>
      </w:r>
    </w:p>
    <w:p w14:paraId="637E69A9" w14:textId="77777777" w:rsidR="007C3F79" w:rsidRPr="00EB512D" w:rsidRDefault="007C3F79" w:rsidP="007C3F79">
      <w:pPr>
        <w:jc w:val="center"/>
      </w:pPr>
      <w:proofErr w:type="gramStart"/>
      <w:r w:rsidRPr="00EB512D">
        <w:t>predseda</w:t>
      </w:r>
      <w:proofErr w:type="gramEnd"/>
      <w:r w:rsidRPr="00EB512D">
        <w:t xml:space="preserve"> vlády</w:t>
      </w:r>
    </w:p>
    <w:p w14:paraId="03A8572F" w14:textId="77777777" w:rsidR="007C3F79" w:rsidRPr="00EB512D" w:rsidRDefault="007C3F79" w:rsidP="007C3F79">
      <w:pPr>
        <w:jc w:val="center"/>
      </w:pPr>
      <w:r w:rsidRPr="00EB512D">
        <w:t>Slovenskej republiky</w:t>
      </w:r>
    </w:p>
    <w:p w14:paraId="6C2550EE" w14:textId="77777777" w:rsidR="007C3F79" w:rsidRPr="00EB512D" w:rsidRDefault="007C3F79" w:rsidP="007C3F79">
      <w:pPr>
        <w:spacing w:before="120"/>
      </w:pPr>
    </w:p>
    <w:p w14:paraId="6E9EB6C4" w14:textId="77777777" w:rsidR="007C3F79" w:rsidRPr="00EB512D" w:rsidRDefault="007C3F79" w:rsidP="007C3F79">
      <w:pPr>
        <w:spacing w:before="120"/>
      </w:pPr>
    </w:p>
    <w:p w14:paraId="59D6643A" w14:textId="77777777" w:rsidR="007C3F79" w:rsidRPr="00EB512D" w:rsidRDefault="007C3F79" w:rsidP="007C3F79">
      <w:pPr>
        <w:spacing w:before="120"/>
      </w:pPr>
    </w:p>
    <w:p w14:paraId="10CFFBFC" w14:textId="77777777" w:rsidR="007C3F79" w:rsidRPr="00EB512D" w:rsidRDefault="007C3F79" w:rsidP="007C3F79">
      <w:pPr>
        <w:spacing w:before="120"/>
      </w:pPr>
    </w:p>
    <w:p w14:paraId="1602B024" w14:textId="77777777" w:rsidR="007C3F79" w:rsidRPr="00EB512D" w:rsidRDefault="007C3F79" w:rsidP="007C3F79">
      <w:pPr>
        <w:jc w:val="center"/>
        <w:rPr>
          <w:b/>
        </w:rPr>
      </w:pPr>
      <w:r w:rsidRPr="00EB512D">
        <w:rPr>
          <w:b/>
        </w:rPr>
        <w:t>Richard Raši v. r.</w:t>
      </w:r>
    </w:p>
    <w:p w14:paraId="002C1466" w14:textId="77777777" w:rsidR="007C3F79" w:rsidRPr="00EB512D" w:rsidRDefault="007C3F79" w:rsidP="007C3F79">
      <w:pPr>
        <w:jc w:val="center"/>
      </w:pPr>
      <w:proofErr w:type="gramStart"/>
      <w:r w:rsidRPr="00EB512D">
        <w:t>podpredseda</w:t>
      </w:r>
      <w:proofErr w:type="gramEnd"/>
      <w:r w:rsidRPr="00EB512D">
        <w:t xml:space="preserve"> vlády </w:t>
      </w:r>
    </w:p>
    <w:p w14:paraId="36172CD3" w14:textId="77777777" w:rsidR="007C3F79" w:rsidRPr="00EB512D" w:rsidRDefault="007C3F79" w:rsidP="007C3F79">
      <w:pPr>
        <w:jc w:val="center"/>
      </w:pPr>
      <w:r w:rsidRPr="00EB512D">
        <w:t xml:space="preserve">Slovenskej republiky </w:t>
      </w:r>
    </w:p>
    <w:p w14:paraId="321F7518" w14:textId="77777777" w:rsidR="007C3F79" w:rsidRPr="00EB512D" w:rsidRDefault="007C3F79" w:rsidP="007C3F79">
      <w:pPr>
        <w:jc w:val="center"/>
        <w:rPr>
          <w:b/>
        </w:rPr>
      </w:pPr>
      <w:proofErr w:type="gramStart"/>
      <w:r w:rsidRPr="00EB512D">
        <w:t>pre</w:t>
      </w:r>
      <w:proofErr w:type="gramEnd"/>
      <w:r w:rsidRPr="00EB512D">
        <w:t xml:space="preserve"> investície a informatizáciu</w:t>
      </w:r>
    </w:p>
    <w:p w14:paraId="583FBDF3" w14:textId="77777777" w:rsidR="007C3F79" w:rsidRPr="00EB512D" w:rsidRDefault="007C3F79" w:rsidP="00EF6195">
      <w:pPr>
        <w:jc w:val="both"/>
        <w:rPr>
          <w:lang w:val="sk-SK"/>
        </w:rPr>
      </w:pPr>
    </w:p>
    <w:sectPr w:rsidR="007C3F79" w:rsidRPr="00EB512D" w:rsidSect="007B0A4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72C86" w14:textId="77777777" w:rsidR="003B7E4E" w:rsidRDefault="003B7E4E" w:rsidP="00EE02C0">
      <w:r>
        <w:separator/>
      </w:r>
    </w:p>
  </w:endnote>
  <w:endnote w:type="continuationSeparator" w:id="0">
    <w:p w14:paraId="33797008" w14:textId="77777777" w:rsidR="003B7E4E" w:rsidRDefault="003B7E4E" w:rsidP="00EE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4320" w14:textId="77777777" w:rsidR="00B359C5" w:rsidRDefault="00B359C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1CDF4D2" w14:textId="77777777" w:rsidR="00B359C5" w:rsidRDefault="00B359C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200858"/>
      <w:docPartObj>
        <w:docPartGallery w:val="Page Numbers (Bottom of Page)"/>
        <w:docPartUnique/>
      </w:docPartObj>
    </w:sdtPr>
    <w:sdtEndPr/>
    <w:sdtContent>
      <w:p w14:paraId="7A0C0AAB" w14:textId="677EB1D8" w:rsidR="00EB512D" w:rsidRDefault="00EB512D">
        <w:pPr>
          <w:pStyle w:val="Pta"/>
          <w:jc w:val="center"/>
        </w:pPr>
        <w:r>
          <w:fldChar w:fldCharType="begin"/>
        </w:r>
        <w:r>
          <w:instrText>PAGE   \* MERGEFORMAT</w:instrText>
        </w:r>
        <w:r>
          <w:fldChar w:fldCharType="separate"/>
        </w:r>
        <w:r w:rsidR="00CC6A3B">
          <w:rPr>
            <w:noProof/>
          </w:rPr>
          <w:t>14</w:t>
        </w:r>
        <w:r>
          <w:fldChar w:fldCharType="end"/>
        </w:r>
      </w:p>
    </w:sdtContent>
  </w:sdt>
  <w:p w14:paraId="661D2D3D" w14:textId="77777777" w:rsidR="00B359C5" w:rsidRDefault="00B359C5">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40435"/>
      <w:docPartObj>
        <w:docPartGallery w:val="Page Numbers (Bottom of Page)"/>
        <w:docPartUnique/>
      </w:docPartObj>
    </w:sdtPr>
    <w:sdtEndPr/>
    <w:sdtContent>
      <w:p w14:paraId="7D225274" w14:textId="5451D570" w:rsidR="00EB512D" w:rsidRDefault="00EB512D">
        <w:pPr>
          <w:pStyle w:val="Pta"/>
          <w:jc w:val="center"/>
        </w:pPr>
        <w:r>
          <w:fldChar w:fldCharType="begin"/>
        </w:r>
        <w:r>
          <w:instrText>PAGE   \* MERGEFORMAT</w:instrText>
        </w:r>
        <w:r>
          <w:fldChar w:fldCharType="separate"/>
        </w:r>
        <w:r w:rsidR="00CC6A3B">
          <w:rPr>
            <w:noProof/>
          </w:rPr>
          <w:t>24</w:t>
        </w:r>
        <w:r>
          <w:fldChar w:fldCharType="end"/>
        </w:r>
      </w:p>
    </w:sdtContent>
  </w:sdt>
  <w:p w14:paraId="16F663E3" w14:textId="77777777" w:rsidR="00B359C5" w:rsidRDefault="00B359C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974168"/>
      <w:docPartObj>
        <w:docPartGallery w:val="Page Numbers (Bottom of Page)"/>
        <w:docPartUnique/>
      </w:docPartObj>
    </w:sdtPr>
    <w:sdtEndPr/>
    <w:sdtContent>
      <w:p w14:paraId="282EECD4" w14:textId="25109863" w:rsidR="00EB512D" w:rsidRDefault="00EB512D">
        <w:pPr>
          <w:pStyle w:val="Pta"/>
          <w:jc w:val="center"/>
        </w:pPr>
        <w:r>
          <w:fldChar w:fldCharType="begin"/>
        </w:r>
        <w:r>
          <w:instrText>PAGE   \* MERGEFORMAT</w:instrText>
        </w:r>
        <w:r>
          <w:fldChar w:fldCharType="separate"/>
        </w:r>
        <w:r w:rsidR="00CC6A3B">
          <w:rPr>
            <w:noProof/>
          </w:rPr>
          <w:t>29</w:t>
        </w:r>
        <w:r>
          <w:fldChar w:fldCharType="end"/>
        </w:r>
      </w:p>
    </w:sdtContent>
  </w:sdt>
  <w:p w14:paraId="79FBBB70" w14:textId="77777777" w:rsidR="00B359C5" w:rsidRPr="007C3F79" w:rsidRDefault="00B359C5" w:rsidP="007C3F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E9CC5" w14:textId="77777777" w:rsidR="003B7E4E" w:rsidRDefault="003B7E4E" w:rsidP="00EE02C0">
      <w:r>
        <w:separator/>
      </w:r>
    </w:p>
  </w:footnote>
  <w:footnote w:type="continuationSeparator" w:id="0">
    <w:p w14:paraId="0DBC6BA1" w14:textId="77777777" w:rsidR="003B7E4E" w:rsidRDefault="003B7E4E" w:rsidP="00EE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2CE2" w14:textId="77777777" w:rsidR="00B359C5" w:rsidRDefault="00B359C5" w:rsidP="00B359C5">
    <w:pPr>
      <w:pStyle w:val="Hlavika"/>
      <w:jc w:val="right"/>
      <w:rPr>
        <w:sz w:val="24"/>
        <w:szCs w:val="24"/>
      </w:rPr>
    </w:pPr>
    <w:r>
      <w:rPr>
        <w:sz w:val="24"/>
        <w:szCs w:val="24"/>
      </w:rPr>
      <w:t>Príloha č. 2</w:t>
    </w:r>
  </w:p>
  <w:p w14:paraId="6EEACDDD" w14:textId="77777777" w:rsidR="00B359C5" w:rsidRPr="00EB59C8" w:rsidRDefault="00B359C5" w:rsidP="00B359C5">
    <w:pPr>
      <w:pStyle w:val="Hlavika"/>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4536C3"/>
    <w:multiLevelType w:val="hybridMultilevel"/>
    <w:tmpl w:val="1EE48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E50EC"/>
    <w:multiLevelType w:val="hybridMultilevel"/>
    <w:tmpl w:val="4E94F7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FB3E24"/>
    <w:multiLevelType w:val="hybridMultilevel"/>
    <w:tmpl w:val="71EAA534"/>
    <w:lvl w:ilvl="0" w:tplc="7FE29FD4">
      <w:start w:val="1"/>
      <w:numFmt w:val="bullet"/>
      <w:lvlText w:val="-"/>
      <w:lvlJc w:val="left"/>
      <w:pPr>
        <w:ind w:left="720" w:hanging="360"/>
      </w:pPr>
      <w:rPr>
        <w:rFonts w:ascii="Times New Roman" w:eastAsia="Times New Roman" w:hAnsi="Times New Roman" w:cs="Times New Roman" w:hint="default"/>
      </w:rPr>
    </w:lvl>
    <w:lvl w:ilvl="1" w:tplc="DDE40A2A">
      <w:start w:val="674"/>
      <w:numFmt w:val="bullet"/>
      <w:lvlText w:val="o"/>
      <w:lvlJc w:val="left"/>
      <w:pPr>
        <w:tabs>
          <w:tab w:val="num" w:pos="1440"/>
        </w:tabs>
        <w:ind w:left="1440" w:hanging="360"/>
      </w:pPr>
      <w:rPr>
        <w:rFonts w:ascii="Courier New" w:hAnsi="Courier New" w:hint="default"/>
      </w:rPr>
    </w:lvl>
    <w:lvl w:ilvl="2" w:tplc="4F9C6AF6">
      <w:start w:val="1"/>
      <w:numFmt w:val="bullet"/>
      <w:lvlText w:val="•"/>
      <w:lvlJc w:val="left"/>
      <w:pPr>
        <w:tabs>
          <w:tab w:val="num" w:pos="2160"/>
        </w:tabs>
        <w:ind w:left="2160" w:hanging="360"/>
      </w:pPr>
      <w:rPr>
        <w:rFonts w:ascii="Arial" w:hAnsi="Arial" w:hint="default"/>
      </w:rPr>
    </w:lvl>
    <w:lvl w:ilvl="3" w:tplc="FB661AD8" w:tentative="1">
      <w:start w:val="1"/>
      <w:numFmt w:val="bullet"/>
      <w:lvlText w:val="•"/>
      <w:lvlJc w:val="left"/>
      <w:pPr>
        <w:tabs>
          <w:tab w:val="num" w:pos="2880"/>
        </w:tabs>
        <w:ind w:left="2880" w:hanging="360"/>
      </w:pPr>
      <w:rPr>
        <w:rFonts w:ascii="Arial" w:hAnsi="Arial" w:hint="default"/>
      </w:rPr>
    </w:lvl>
    <w:lvl w:ilvl="4" w:tplc="21F40308" w:tentative="1">
      <w:start w:val="1"/>
      <w:numFmt w:val="bullet"/>
      <w:lvlText w:val="•"/>
      <w:lvlJc w:val="left"/>
      <w:pPr>
        <w:tabs>
          <w:tab w:val="num" w:pos="3600"/>
        </w:tabs>
        <w:ind w:left="3600" w:hanging="360"/>
      </w:pPr>
      <w:rPr>
        <w:rFonts w:ascii="Arial" w:hAnsi="Arial" w:hint="default"/>
      </w:rPr>
    </w:lvl>
    <w:lvl w:ilvl="5" w:tplc="AC28FA04" w:tentative="1">
      <w:start w:val="1"/>
      <w:numFmt w:val="bullet"/>
      <w:lvlText w:val="•"/>
      <w:lvlJc w:val="left"/>
      <w:pPr>
        <w:tabs>
          <w:tab w:val="num" w:pos="4320"/>
        </w:tabs>
        <w:ind w:left="4320" w:hanging="360"/>
      </w:pPr>
      <w:rPr>
        <w:rFonts w:ascii="Arial" w:hAnsi="Arial" w:hint="default"/>
      </w:rPr>
    </w:lvl>
    <w:lvl w:ilvl="6" w:tplc="F6E44C00" w:tentative="1">
      <w:start w:val="1"/>
      <w:numFmt w:val="bullet"/>
      <w:lvlText w:val="•"/>
      <w:lvlJc w:val="left"/>
      <w:pPr>
        <w:tabs>
          <w:tab w:val="num" w:pos="5040"/>
        </w:tabs>
        <w:ind w:left="5040" w:hanging="360"/>
      </w:pPr>
      <w:rPr>
        <w:rFonts w:ascii="Arial" w:hAnsi="Arial" w:hint="default"/>
      </w:rPr>
    </w:lvl>
    <w:lvl w:ilvl="7" w:tplc="0CFC7B52" w:tentative="1">
      <w:start w:val="1"/>
      <w:numFmt w:val="bullet"/>
      <w:lvlText w:val="•"/>
      <w:lvlJc w:val="left"/>
      <w:pPr>
        <w:tabs>
          <w:tab w:val="num" w:pos="5760"/>
        </w:tabs>
        <w:ind w:left="5760" w:hanging="360"/>
      </w:pPr>
      <w:rPr>
        <w:rFonts w:ascii="Arial" w:hAnsi="Arial" w:hint="default"/>
      </w:rPr>
    </w:lvl>
    <w:lvl w:ilvl="8" w:tplc="76E6CE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F30BAD"/>
    <w:multiLevelType w:val="hybridMultilevel"/>
    <w:tmpl w:val="C212CC20"/>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B2C2960"/>
    <w:multiLevelType w:val="hybridMultilevel"/>
    <w:tmpl w:val="025027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31541235"/>
    <w:multiLevelType w:val="hybridMultilevel"/>
    <w:tmpl w:val="69821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663B2D"/>
    <w:multiLevelType w:val="hybridMultilevel"/>
    <w:tmpl w:val="F466B0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5C34946"/>
    <w:multiLevelType w:val="hybridMultilevel"/>
    <w:tmpl w:val="2FE6DD2C"/>
    <w:lvl w:ilvl="0" w:tplc="8C5AF40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FA64795"/>
    <w:multiLevelType w:val="hybridMultilevel"/>
    <w:tmpl w:val="1FE4F8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5BE939EE"/>
    <w:multiLevelType w:val="hybridMultilevel"/>
    <w:tmpl w:val="095C88DE"/>
    <w:lvl w:ilvl="0" w:tplc="7FE29FD4">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95166"/>
    <w:multiLevelType w:val="hybridMultilevel"/>
    <w:tmpl w:val="EC46F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9"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9356BE7"/>
    <w:multiLevelType w:val="hybridMultilevel"/>
    <w:tmpl w:val="D192883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CC2427"/>
    <w:multiLevelType w:val="hybridMultilevel"/>
    <w:tmpl w:val="662C18B2"/>
    <w:lvl w:ilvl="0" w:tplc="BC56A578">
      <w:start w:val="1"/>
      <w:numFmt w:val="decimal"/>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4164FC9"/>
    <w:multiLevelType w:val="hybridMultilevel"/>
    <w:tmpl w:val="7BECA5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47"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hint="default"/>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FE55BA"/>
    <w:multiLevelType w:val="hybridMultilevel"/>
    <w:tmpl w:val="A5F2E1A4"/>
    <w:lvl w:ilvl="0" w:tplc="A9FE02C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10"/>
  </w:num>
  <w:num w:numId="2">
    <w:abstractNumId w:val="27"/>
  </w:num>
  <w:num w:numId="3">
    <w:abstractNumId w:val="40"/>
  </w:num>
  <w:num w:numId="4">
    <w:abstractNumId w:val="42"/>
  </w:num>
  <w:num w:numId="5">
    <w:abstractNumId w:val="3"/>
  </w:num>
  <w:num w:numId="6">
    <w:abstractNumId w:val="20"/>
  </w:num>
  <w:num w:numId="7">
    <w:abstractNumId w:val="1"/>
  </w:num>
  <w:num w:numId="8">
    <w:abstractNumId w:val="37"/>
  </w:num>
  <w:num w:numId="9">
    <w:abstractNumId w:val="46"/>
  </w:num>
  <w:num w:numId="10">
    <w:abstractNumId w:val="4"/>
  </w:num>
  <w:num w:numId="11">
    <w:abstractNumId w:val="47"/>
  </w:num>
  <w:num w:numId="12">
    <w:abstractNumId w:val="43"/>
  </w:num>
  <w:num w:numId="13">
    <w:abstractNumId w:val="48"/>
  </w:num>
  <w:num w:numId="14">
    <w:abstractNumId w:val="33"/>
  </w:num>
  <w:num w:numId="15">
    <w:abstractNumId w:val="14"/>
  </w:num>
  <w:num w:numId="16">
    <w:abstractNumId w:val="8"/>
  </w:num>
  <w:num w:numId="17">
    <w:abstractNumId w:val="15"/>
  </w:num>
  <w:num w:numId="18">
    <w:abstractNumId w:val="22"/>
  </w:num>
  <w:num w:numId="19">
    <w:abstractNumId w:val="5"/>
  </w:num>
  <w:num w:numId="20">
    <w:abstractNumId w:val="18"/>
  </w:num>
  <w:num w:numId="21">
    <w:abstractNumId w:val="12"/>
  </w:num>
  <w:num w:numId="22">
    <w:abstractNumId w:val="19"/>
  </w:num>
  <w:num w:numId="23">
    <w:abstractNumId w:val="13"/>
  </w:num>
  <w:num w:numId="24">
    <w:abstractNumId w:val="31"/>
  </w:num>
  <w:num w:numId="25">
    <w:abstractNumId w:val="30"/>
  </w:num>
  <w:num w:numId="26">
    <w:abstractNumId w:val="2"/>
  </w:num>
  <w:num w:numId="27">
    <w:abstractNumId w:val="25"/>
  </w:num>
  <w:num w:numId="28">
    <w:abstractNumId w:val="34"/>
  </w:num>
  <w:num w:numId="29">
    <w:abstractNumId w:val="24"/>
  </w:num>
  <w:num w:numId="30">
    <w:abstractNumId w:val="36"/>
  </w:num>
  <w:num w:numId="31">
    <w:abstractNumId w:val="35"/>
  </w:num>
  <w:num w:numId="32">
    <w:abstractNumId w:val="11"/>
  </w:num>
  <w:num w:numId="33">
    <w:abstractNumId w:val="28"/>
  </w:num>
  <w:num w:numId="34">
    <w:abstractNumId w:val="39"/>
  </w:num>
  <w:num w:numId="35">
    <w:abstractNumId w:val="17"/>
  </w:num>
  <w:num w:numId="36">
    <w:abstractNumId w:val="0"/>
  </w:num>
  <w:num w:numId="37">
    <w:abstractNumId w:val="45"/>
  </w:num>
  <w:num w:numId="38">
    <w:abstractNumId w:val="32"/>
  </w:num>
  <w:num w:numId="39">
    <w:abstractNumId w:val="23"/>
  </w:num>
  <w:num w:numId="40">
    <w:abstractNumId w:val="41"/>
  </w:num>
  <w:num w:numId="41">
    <w:abstractNumId w:val="9"/>
  </w:num>
  <w:num w:numId="42">
    <w:abstractNumId w:val="7"/>
  </w:num>
  <w:num w:numId="43">
    <w:abstractNumId w:val="44"/>
  </w:num>
  <w:num w:numId="44">
    <w:abstractNumId w:val="16"/>
  </w:num>
  <w:num w:numId="45">
    <w:abstractNumId w:val="29"/>
  </w:num>
  <w:num w:numId="46">
    <w:abstractNumId w:val="6"/>
  </w:num>
  <w:num w:numId="47">
    <w:abstractNumId w:val="21"/>
  </w:num>
  <w:num w:numId="48">
    <w:abstractNumId w:val="2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81"/>
    <w:rsid w:val="0000108F"/>
    <w:rsid w:val="00001BEB"/>
    <w:rsid w:val="00001C9D"/>
    <w:rsid w:val="00002842"/>
    <w:rsid w:val="00003034"/>
    <w:rsid w:val="00004205"/>
    <w:rsid w:val="000043C5"/>
    <w:rsid w:val="000062AE"/>
    <w:rsid w:val="00006469"/>
    <w:rsid w:val="00007445"/>
    <w:rsid w:val="0001084F"/>
    <w:rsid w:val="00012D3C"/>
    <w:rsid w:val="000135B7"/>
    <w:rsid w:val="00014490"/>
    <w:rsid w:val="00015ABA"/>
    <w:rsid w:val="00016003"/>
    <w:rsid w:val="00016611"/>
    <w:rsid w:val="000179B4"/>
    <w:rsid w:val="00020E11"/>
    <w:rsid w:val="00023BF4"/>
    <w:rsid w:val="00027E26"/>
    <w:rsid w:val="0003125E"/>
    <w:rsid w:val="00032787"/>
    <w:rsid w:val="000335D7"/>
    <w:rsid w:val="000345C6"/>
    <w:rsid w:val="00034FEC"/>
    <w:rsid w:val="000361E4"/>
    <w:rsid w:val="00037075"/>
    <w:rsid w:val="000378EE"/>
    <w:rsid w:val="00042BC9"/>
    <w:rsid w:val="00043BD3"/>
    <w:rsid w:val="00047520"/>
    <w:rsid w:val="000501F2"/>
    <w:rsid w:val="000506C4"/>
    <w:rsid w:val="00050D16"/>
    <w:rsid w:val="00051CDC"/>
    <w:rsid w:val="00052E0F"/>
    <w:rsid w:val="00053A00"/>
    <w:rsid w:val="000544E0"/>
    <w:rsid w:val="0005594B"/>
    <w:rsid w:val="00057538"/>
    <w:rsid w:val="000617F5"/>
    <w:rsid w:val="00061DCC"/>
    <w:rsid w:val="000635C6"/>
    <w:rsid w:val="000724D7"/>
    <w:rsid w:val="0007348C"/>
    <w:rsid w:val="0007442A"/>
    <w:rsid w:val="00074738"/>
    <w:rsid w:val="0007518E"/>
    <w:rsid w:val="00076A66"/>
    <w:rsid w:val="00077608"/>
    <w:rsid w:val="00080FF7"/>
    <w:rsid w:val="00084ADF"/>
    <w:rsid w:val="000870C1"/>
    <w:rsid w:val="000875BB"/>
    <w:rsid w:val="00087DA5"/>
    <w:rsid w:val="00091BD9"/>
    <w:rsid w:val="00093700"/>
    <w:rsid w:val="0009438C"/>
    <w:rsid w:val="000947C1"/>
    <w:rsid w:val="000955FE"/>
    <w:rsid w:val="000959B0"/>
    <w:rsid w:val="000969B0"/>
    <w:rsid w:val="00096F89"/>
    <w:rsid w:val="000A2BF1"/>
    <w:rsid w:val="000A2D64"/>
    <w:rsid w:val="000A41ED"/>
    <w:rsid w:val="000A58A2"/>
    <w:rsid w:val="000A5CC3"/>
    <w:rsid w:val="000B01FA"/>
    <w:rsid w:val="000B0C38"/>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130"/>
    <w:rsid w:val="000D5511"/>
    <w:rsid w:val="000D5C6D"/>
    <w:rsid w:val="000E1D63"/>
    <w:rsid w:val="000E2558"/>
    <w:rsid w:val="000E3ABB"/>
    <w:rsid w:val="000E4455"/>
    <w:rsid w:val="000E4E1E"/>
    <w:rsid w:val="000E5138"/>
    <w:rsid w:val="000E5C5F"/>
    <w:rsid w:val="000E7FEC"/>
    <w:rsid w:val="000F13A1"/>
    <w:rsid w:val="000F5028"/>
    <w:rsid w:val="000F6196"/>
    <w:rsid w:val="000F62E5"/>
    <w:rsid w:val="000F6B14"/>
    <w:rsid w:val="000F73EB"/>
    <w:rsid w:val="000F7A08"/>
    <w:rsid w:val="00100088"/>
    <w:rsid w:val="0010051D"/>
    <w:rsid w:val="00105A8C"/>
    <w:rsid w:val="00106388"/>
    <w:rsid w:val="00106817"/>
    <w:rsid w:val="001068CE"/>
    <w:rsid w:val="00106E84"/>
    <w:rsid w:val="00107969"/>
    <w:rsid w:val="001109C5"/>
    <w:rsid w:val="001111B5"/>
    <w:rsid w:val="00113C38"/>
    <w:rsid w:val="00113CAC"/>
    <w:rsid w:val="001177B2"/>
    <w:rsid w:val="00120DAD"/>
    <w:rsid w:val="001215E3"/>
    <w:rsid w:val="00121FC4"/>
    <w:rsid w:val="00123AFE"/>
    <w:rsid w:val="00126AAF"/>
    <w:rsid w:val="00131C61"/>
    <w:rsid w:val="001329D8"/>
    <w:rsid w:val="00133113"/>
    <w:rsid w:val="00133A16"/>
    <w:rsid w:val="0013464C"/>
    <w:rsid w:val="001353B6"/>
    <w:rsid w:val="00137472"/>
    <w:rsid w:val="001430EC"/>
    <w:rsid w:val="00143B0D"/>
    <w:rsid w:val="00147031"/>
    <w:rsid w:val="0014728D"/>
    <w:rsid w:val="001521CE"/>
    <w:rsid w:val="001522DB"/>
    <w:rsid w:val="001528E7"/>
    <w:rsid w:val="001530C8"/>
    <w:rsid w:val="001541CA"/>
    <w:rsid w:val="001572E6"/>
    <w:rsid w:val="00160F16"/>
    <w:rsid w:val="001619A4"/>
    <w:rsid w:val="0016571D"/>
    <w:rsid w:val="00171FF3"/>
    <w:rsid w:val="00172A2C"/>
    <w:rsid w:val="00172D07"/>
    <w:rsid w:val="001735C6"/>
    <w:rsid w:val="00177C55"/>
    <w:rsid w:val="001802F0"/>
    <w:rsid w:val="00183C38"/>
    <w:rsid w:val="00185034"/>
    <w:rsid w:val="00185293"/>
    <w:rsid w:val="001853DD"/>
    <w:rsid w:val="00186D15"/>
    <w:rsid w:val="001877FF"/>
    <w:rsid w:val="001947EF"/>
    <w:rsid w:val="001949D2"/>
    <w:rsid w:val="0019511B"/>
    <w:rsid w:val="0019680B"/>
    <w:rsid w:val="00196E24"/>
    <w:rsid w:val="00197638"/>
    <w:rsid w:val="00197681"/>
    <w:rsid w:val="001A15B9"/>
    <w:rsid w:val="001A24A5"/>
    <w:rsid w:val="001A2527"/>
    <w:rsid w:val="001A2848"/>
    <w:rsid w:val="001A3713"/>
    <w:rsid w:val="001A3C3D"/>
    <w:rsid w:val="001A4C78"/>
    <w:rsid w:val="001A637D"/>
    <w:rsid w:val="001A66C5"/>
    <w:rsid w:val="001A6F42"/>
    <w:rsid w:val="001A7A85"/>
    <w:rsid w:val="001B169F"/>
    <w:rsid w:val="001B2C06"/>
    <w:rsid w:val="001B37D5"/>
    <w:rsid w:val="001B4A64"/>
    <w:rsid w:val="001B5717"/>
    <w:rsid w:val="001C1518"/>
    <w:rsid w:val="001C361F"/>
    <w:rsid w:val="001C54CD"/>
    <w:rsid w:val="001C55D3"/>
    <w:rsid w:val="001C6F0C"/>
    <w:rsid w:val="001D0780"/>
    <w:rsid w:val="001D1E06"/>
    <w:rsid w:val="001D5FB4"/>
    <w:rsid w:val="001D6153"/>
    <w:rsid w:val="001E0A7A"/>
    <w:rsid w:val="001E43C8"/>
    <w:rsid w:val="001E45F7"/>
    <w:rsid w:val="001E638B"/>
    <w:rsid w:val="001E737A"/>
    <w:rsid w:val="001F020B"/>
    <w:rsid w:val="001F172A"/>
    <w:rsid w:val="001F188D"/>
    <w:rsid w:val="001F2852"/>
    <w:rsid w:val="001F41A7"/>
    <w:rsid w:val="001F437A"/>
    <w:rsid w:val="001F7EE5"/>
    <w:rsid w:val="00201585"/>
    <w:rsid w:val="00201A61"/>
    <w:rsid w:val="002020F8"/>
    <w:rsid w:val="00204640"/>
    <w:rsid w:val="00205738"/>
    <w:rsid w:val="002059C5"/>
    <w:rsid w:val="00205FCD"/>
    <w:rsid w:val="00206006"/>
    <w:rsid w:val="002108CD"/>
    <w:rsid w:val="00211ABF"/>
    <w:rsid w:val="00211FE4"/>
    <w:rsid w:val="002121FC"/>
    <w:rsid w:val="0021339C"/>
    <w:rsid w:val="0021373C"/>
    <w:rsid w:val="00213D9A"/>
    <w:rsid w:val="00214EA0"/>
    <w:rsid w:val="00216323"/>
    <w:rsid w:val="00220363"/>
    <w:rsid w:val="00224BEC"/>
    <w:rsid w:val="002301EE"/>
    <w:rsid w:val="002303C5"/>
    <w:rsid w:val="00231FF1"/>
    <w:rsid w:val="0023385A"/>
    <w:rsid w:val="00234229"/>
    <w:rsid w:val="00234552"/>
    <w:rsid w:val="00234D6C"/>
    <w:rsid w:val="00235C3E"/>
    <w:rsid w:val="00236397"/>
    <w:rsid w:val="0024220D"/>
    <w:rsid w:val="0024388D"/>
    <w:rsid w:val="0024625E"/>
    <w:rsid w:val="002469F9"/>
    <w:rsid w:val="00246FA3"/>
    <w:rsid w:val="00247821"/>
    <w:rsid w:val="002511C0"/>
    <w:rsid w:val="002511FF"/>
    <w:rsid w:val="002516D3"/>
    <w:rsid w:val="00253F25"/>
    <w:rsid w:val="0025517C"/>
    <w:rsid w:val="00256A6B"/>
    <w:rsid w:val="00256C06"/>
    <w:rsid w:val="00260AE8"/>
    <w:rsid w:val="00261075"/>
    <w:rsid w:val="0026119B"/>
    <w:rsid w:val="00261400"/>
    <w:rsid w:val="002618DE"/>
    <w:rsid w:val="00264D09"/>
    <w:rsid w:val="00265F31"/>
    <w:rsid w:val="00267B2E"/>
    <w:rsid w:val="002725A2"/>
    <w:rsid w:val="002725BA"/>
    <w:rsid w:val="0027289A"/>
    <w:rsid w:val="0027381A"/>
    <w:rsid w:val="0028308D"/>
    <w:rsid w:val="00283ACF"/>
    <w:rsid w:val="002856BF"/>
    <w:rsid w:val="0028591C"/>
    <w:rsid w:val="002861AD"/>
    <w:rsid w:val="002867A9"/>
    <w:rsid w:val="0029027A"/>
    <w:rsid w:val="0029103E"/>
    <w:rsid w:val="00293ECC"/>
    <w:rsid w:val="00295E81"/>
    <w:rsid w:val="00296924"/>
    <w:rsid w:val="002A0627"/>
    <w:rsid w:val="002A1889"/>
    <w:rsid w:val="002A39FA"/>
    <w:rsid w:val="002A54DB"/>
    <w:rsid w:val="002A7188"/>
    <w:rsid w:val="002B2B63"/>
    <w:rsid w:val="002B43B2"/>
    <w:rsid w:val="002B5B09"/>
    <w:rsid w:val="002B5E32"/>
    <w:rsid w:val="002B78A3"/>
    <w:rsid w:val="002C4E93"/>
    <w:rsid w:val="002C6C70"/>
    <w:rsid w:val="002D0C1C"/>
    <w:rsid w:val="002D26CA"/>
    <w:rsid w:val="002D376B"/>
    <w:rsid w:val="002D5C1A"/>
    <w:rsid w:val="002D64FB"/>
    <w:rsid w:val="002D6D80"/>
    <w:rsid w:val="002E03A2"/>
    <w:rsid w:val="002E0848"/>
    <w:rsid w:val="002E0E07"/>
    <w:rsid w:val="002E1FB0"/>
    <w:rsid w:val="002E3020"/>
    <w:rsid w:val="002E37DB"/>
    <w:rsid w:val="002E3A76"/>
    <w:rsid w:val="002E4854"/>
    <w:rsid w:val="002E6CEE"/>
    <w:rsid w:val="002E784A"/>
    <w:rsid w:val="002F0C67"/>
    <w:rsid w:val="002F12B1"/>
    <w:rsid w:val="002F227B"/>
    <w:rsid w:val="002F29A2"/>
    <w:rsid w:val="002F349B"/>
    <w:rsid w:val="002F4BF5"/>
    <w:rsid w:val="002F66D3"/>
    <w:rsid w:val="002F66E3"/>
    <w:rsid w:val="002F736E"/>
    <w:rsid w:val="003013C0"/>
    <w:rsid w:val="00304825"/>
    <w:rsid w:val="003050B9"/>
    <w:rsid w:val="003073CD"/>
    <w:rsid w:val="003073F4"/>
    <w:rsid w:val="003106D7"/>
    <w:rsid w:val="00313258"/>
    <w:rsid w:val="00314234"/>
    <w:rsid w:val="00314A6D"/>
    <w:rsid w:val="00314CA8"/>
    <w:rsid w:val="00315671"/>
    <w:rsid w:val="00315F8C"/>
    <w:rsid w:val="003220E7"/>
    <w:rsid w:val="0032416F"/>
    <w:rsid w:val="00327B67"/>
    <w:rsid w:val="00327E80"/>
    <w:rsid w:val="00331648"/>
    <w:rsid w:val="00332C68"/>
    <w:rsid w:val="00333FD5"/>
    <w:rsid w:val="00334CB2"/>
    <w:rsid w:val="003368AE"/>
    <w:rsid w:val="00341B01"/>
    <w:rsid w:val="0034522D"/>
    <w:rsid w:val="00350971"/>
    <w:rsid w:val="00351579"/>
    <w:rsid w:val="003521B4"/>
    <w:rsid w:val="00353BEE"/>
    <w:rsid w:val="00353EF8"/>
    <w:rsid w:val="0035404E"/>
    <w:rsid w:val="00355E90"/>
    <w:rsid w:val="003561B8"/>
    <w:rsid w:val="00356C32"/>
    <w:rsid w:val="00362421"/>
    <w:rsid w:val="003665BE"/>
    <w:rsid w:val="00367996"/>
    <w:rsid w:val="003679F0"/>
    <w:rsid w:val="003711F4"/>
    <w:rsid w:val="00371655"/>
    <w:rsid w:val="0037194E"/>
    <w:rsid w:val="0037251F"/>
    <w:rsid w:val="00372999"/>
    <w:rsid w:val="00373A76"/>
    <w:rsid w:val="00373F31"/>
    <w:rsid w:val="0037489A"/>
    <w:rsid w:val="00374D51"/>
    <w:rsid w:val="003765FD"/>
    <w:rsid w:val="00376714"/>
    <w:rsid w:val="003773C7"/>
    <w:rsid w:val="00382FC3"/>
    <w:rsid w:val="003842A0"/>
    <w:rsid w:val="00385432"/>
    <w:rsid w:val="0038600F"/>
    <w:rsid w:val="00386515"/>
    <w:rsid w:val="00386553"/>
    <w:rsid w:val="0039098C"/>
    <w:rsid w:val="00390A84"/>
    <w:rsid w:val="00390E58"/>
    <w:rsid w:val="00390F84"/>
    <w:rsid w:val="0039276B"/>
    <w:rsid w:val="0039276E"/>
    <w:rsid w:val="00392FC9"/>
    <w:rsid w:val="00393949"/>
    <w:rsid w:val="003939B6"/>
    <w:rsid w:val="00394D21"/>
    <w:rsid w:val="0039504E"/>
    <w:rsid w:val="003953E9"/>
    <w:rsid w:val="00397F46"/>
    <w:rsid w:val="003A008F"/>
    <w:rsid w:val="003A00AB"/>
    <w:rsid w:val="003A0820"/>
    <w:rsid w:val="003A0AA0"/>
    <w:rsid w:val="003A0FA9"/>
    <w:rsid w:val="003A1C8C"/>
    <w:rsid w:val="003A34D1"/>
    <w:rsid w:val="003A6089"/>
    <w:rsid w:val="003B057F"/>
    <w:rsid w:val="003B05EC"/>
    <w:rsid w:val="003B181A"/>
    <w:rsid w:val="003B2369"/>
    <w:rsid w:val="003B2894"/>
    <w:rsid w:val="003B2BA3"/>
    <w:rsid w:val="003B2CEF"/>
    <w:rsid w:val="003B31F7"/>
    <w:rsid w:val="003B487F"/>
    <w:rsid w:val="003B70FB"/>
    <w:rsid w:val="003B7222"/>
    <w:rsid w:val="003B7E4E"/>
    <w:rsid w:val="003C047D"/>
    <w:rsid w:val="003C1757"/>
    <w:rsid w:val="003C1C3D"/>
    <w:rsid w:val="003C2FFD"/>
    <w:rsid w:val="003C4BE6"/>
    <w:rsid w:val="003C6F88"/>
    <w:rsid w:val="003D2BC6"/>
    <w:rsid w:val="003D30BD"/>
    <w:rsid w:val="003D5035"/>
    <w:rsid w:val="003D539D"/>
    <w:rsid w:val="003D5A76"/>
    <w:rsid w:val="003D7B55"/>
    <w:rsid w:val="003E17F2"/>
    <w:rsid w:val="003E491E"/>
    <w:rsid w:val="003E6703"/>
    <w:rsid w:val="003F0236"/>
    <w:rsid w:val="003F1070"/>
    <w:rsid w:val="003F4D15"/>
    <w:rsid w:val="003F520E"/>
    <w:rsid w:val="003F6A62"/>
    <w:rsid w:val="003F7D6A"/>
    <w:rsid w:val="003F7F0C"/>
    <w:rsid w:val="004005EE"/>
    <w:rsid w:val="0040072D"/>
    <w:rsid w:val="004054DF"/>
    <w:rsid w:val="00405D79"/>
    <w:rsid w:val="00406C07"/>
    <w:rsid w:val="0041092A"/>
    <w:rsid w:val="004116B4"/>
    <w:rsid w:val="00413E49"/>
    <w:rsid w:val="0041521E"/>
    <w:rsid w:val="00417488"/>
    <w:rsid w:val="0042197B"/>
    <w:rsid w:val="0042283E"/>
    <w:rsid w:val="00422A51"/>
    <w:rsid w:val="00423650"/>
    <w:rsid w:val="00423B1F"/>
    <w:rsid w:val="00423D72"/>
    <w:rsid w:val="00426BFE"/>
    <w:rsid w:val="00427BFE"/>
    <w:rsid w:val="004319D8"/>
    <w:rsid w:val="004320B9"/>
    <w:rsid w:val="00433925"/>
    <w:rsid w:val="00435BF7"/>
    <w:rsid w:val="00440097"/>
    <w:rsid w:val="0044082C"/>
    <w:rsid w:val="00441502"/>
    <w:rsid w:val="0044164B"/>
    <w:rsid w:val="00441846"/>
    <w:rsid w:val="00441ABD"/>
    <w:rsid w:val="004421E4"/>
    <w:rsid w:val="00442FF0"/>
    <w:rsid w:val="00445BFB"/>
    <w:rsid w:val="00446258"/>
    <w:rsid w:val="004510BC"/>
    <w:rsid w:val="00452F6D"/>
    <w:rsid w:val="004549C0"/>
    <w:rsid w:val="00454F2A"/>
    <w:rsid w:val="00455CCA"/>
    <w:rsid w:val="004567D2"/>
    <w:rsid w:val="004577FD"/>
    <w:rsid w:val="00460FDE"/>
    <w:rsid w:val="0046167F"/>
    <w:rsid w:val="00461A6A"/>
    <w:rsid w:val="00465332"/>
    <w:rsid w:val="00466208"/>
    <w:rsid w:val="00467E68"/>
    <w:rsid w:val="004771B4"/>
    <w:rsid w:val="00477AB6"/>
    <w:rsid w:val="00477AB9"/>
    <w:rsid w:val="00477F24"/>
    <w:rsid w:val="004803BF"/>
    <w:rsid w:val="00483674"/>
    <w:rsid w:val="00486772"/>
    <w:rsid w:val="00486828"/>
    <w:rsid w:val="0049039C"/>
    <w:rsid w:val="004903F4"/>
    <w:rsid w:val="00492AD7"/>
    <w:rsid w:val="004947B0"/>
    <w:rsid w:val="00495464"/>
    <w:rsid w:val="0049678D"/>
    <w:rsid w:val="00496B64"/>
    <w:rsid w:val="004A13CF"/>
    <w:rsid w:val="004A1B67"/>
    <w:rsid w:val="004A1BB3"/>
    <w:rsid w:val="004A24BF"/>
    <w:rsid w:val="004A27E3"/>
    <w:rsid w:val="004A4566"/>
    <w:rsid w:val="004A490B"/>
    <w:rsid w:val="004A4FAF"/>
    <w:rsid w:val="004A7247"/>
    <w:rsid w:val="004A757C"/>
    <w:rsid w:val="004B1D8B"/>
    <w:rsid w:val="004B501D"/>
    <w:rsid w:val="004B5675"/>
    <w:rsid w:val="004B7EF4"/>
    <w:rsid w:val="004C19E7"/>
    <w:rsid w:val="004C243C"/>
    <w:rsid w:val="004C2A31"/>
    <w:rsid w:val="004C47CB"/>
    <w:rsid w:val="004C4841"/>
    <w:rsid w:val="004C6AD9"/>
    <w:rsid w:val="004C7F86"/>
    <w:rsid w:val="004D0BEF"/>
    <w:rsid w:val="004D0FB4"/>
    <w:rsid w:val="004D1644"/>
    <w:rsid w:val="004D197C"/>
    <w:rsid w:val="004D2C55"/>
    <w:rsid w:val="004D37AE"/>
    <w:rsid w:val="004D56B7"/>
    <w:rsid w:val="004D5ED7"/>
    <w:rsid w:val="004E2B9D"/>
    <w:rsid w:val="004E2F55"/>
    <w:rsid w:val="004E3E25"/>
    <w:rsid w:val="004E561B"/>
    <w:rsid w:val="004E59C2"/>
    <w:rsid w:val="004E5A78"/>
    <w:rsid w:val="004E7145"/>
    <w:rsid w:val="004F21B2"/>
    <w:rsid w:val="004F54C0"/>
    <w:rsid w:val="004F577A"/>
    <w:rsid w:val="0050109A"/>
    <w:rsid w:val="0050214A"/>
    <w:rsid w:val="00504AE7"/>
    <w:rsid w:val="00504E2E"/>
    <w:rsid w:val="0051042F"/>
    <w:rsid w:val="00512892"/>
    <w:rsid w:val="005130A4"/>
    <w:rsid w:val="005159FE"/>
    <w:rsid w:val="005162C4"/>
    <w:rsid w:val="005163E3"/>
    <w:rsid w:val="005166B0"/>
    <w:rsid w:val="0052146D"/>
    <w:rsid w:val="0052196F"/>
    <w:rsid w:val="00521E05"/>
    <w:rsid w:val="00522C65"/>
    <w:rsid w:val="00524286"/>
    <w:rsid w:val="00524586"/>
    <w:rsid w:val="00525519"/>
    <w:rsid w:val="005264A2"/>
    <w:rsid w:val="00530EF4"/>
    <w:rsid w:val="0053302E"/>
    <w:rsid w:val="00533974"/>
    <w:rsid w:val="0053479F"/>
    <w:rsid w:val="00534F31"/>
    <w:rsid w:val="00535E9D"/>
    <w:rsid w:val="005376C8"/>
    <w:rsid w:val="0054613B"/>
    <w:rsid w:val="00546EAB"/>
    <w:rsid w:val="005550D9"/>
    <w:rsid w:val="00555B31"/>
    <w:rsid w:val="0055705A"/>
    <w:rsid w:val="00563763"/>
    <w:rsid w:val="005637B3"/>
    <w:rsid w:val="005647F5"/>
    <w:rsid w:val="00564DD7"/>
    <w:rsid w:val="005716FB"/>
    <w:rsid w:val="00571A41"/>
    <w:rsid w:val="00571BC8"/>
    <w:rsid w:val="00573F04"/>
    <w:rsid w:val="00574D98"/>
    <w:rsid w:val="00575952"/>
    <w:rsid w:val="00577BE3"/>
    <w:rsid w:val="005804BE"/>
    <w:rsid w:val="00580548"/>
    <w:rsid w:val="005825B0"/>
    <w:rsid w:val="00582B5C"/>
    <w:rsid w:val="00582D22"/>
    <w:rsid w:val="00585555"/>
    <w:rsid w:val="005878B7"/>
    <w:rsid w:val="00587CD5"/>
    <w:rsid w:val="00590C0C"/>
    <w:rsid w:val="00590C14"/>
    <w:rsid w:val="00592E02"/>
    <w:rsid w:val="00594CF1"/>
    <w:rsid w:val="00595A08"/>
    <w:rsid w:val="0059620D"/>
    <w:rsid w:val="00596681"/>
    <w:rsid w:val="00597B8C"/>
    <w:rsid w:val="005A38A3"/>
    <w:rsid w:val="005A45B1"/>
    <w:rsid w:val="005A4CEC"/>
    <w:rsid w:val="005A63B7"/>
    <w:rsid w:val="005B232C"/>
    <w:rsid w:val="005B26F0"/>
    <w:rsid w:val="005B445F"/>
    <w:rsid w:val="005B517A"/>
    <w:rsid w:val="005B551F"/>
    <w:rsid w:val="005C0B6C"/>
    <w:rsid w:val="005C145B"/>
    <w:rsid w:val="005C621B"/>
    <w:rsid w:val="005C6511"/>
    <w:rsid w:val="005D12C5"/>
    <w:rsid w:val="005D244B"/>
    <w:rsid w:val="005D3066"/>
    <w:rsid w:val="005D4A03"/>
    <w:rsid w:val="005D7B4F"/>
    <w:rsid w:val="005D7F64"/>
    <w:rsid w:val="005E016A"/>
    <w:rsid w:val="005E0CB1"/>
    <w:rsid w:val="005E2421"/>
    <w:rsid w:val="005E2888"/>
    <w:rsid w:val="005E3460"/>
    <w:rsid w:val="005E4400"/>
    <w:rsid w:val="005E4C97"/>
    <w:rsid w:val="005E6B40"/>
    <w:rsid w:val="005E7EC5"/>
    <w:rsid w:val="005F0296"/>
    <w:rsid w:val="005F0F68"/>
    <w:rsid w:val="005F2072"/>
    <w:rsid w:val="005F2702"/>
    <w:rsid w:val="005F2C4F"/>
    <w:rsid w:val="005F32F5"/>
    <w:rsid w:val="005F5D02"/>
    <w:rsid w:val="006001F2"/>
    <w:rsid w:val="00600B5F"/>
    <w:rsid w:val="006011D5"/>
    <w:rsid w:val="00601D4A"/>
    <w:rsid w:val="00602CAF"/>
    <w:rsid w:val="0060314B"/>
    <w:rsid w:val="00603654"/>
    <w:rsid w:val="00603E6E"/>
    <w:rsid w:val="00604874"/>
    <w:rsid w:val="006049B2"/>
    <w:rsid w:val="006065C8"/>
    <w:rsid w:val="00607C79"/>
    <w:rsid w:val="0061040B"/>
    <w:rsid w:val="00610692"/>
    <w:rsid w:val="00611029"/>
    <w:rsid w:val="00612266"/>
    <w:rsid w:val="006134E6"/>
    <w:rsid w:val="00613ED3"/>
    <w:rsid w:val="006165A1"/>
    <w:rsid w:val="00617111"/>
    <w:rsid w:val="00617A8C"/>
    <w:rsid w:val="006231AC"/>
    <w:rsid w:val="00630D4A"/>
    <w:rsid w:val="00631019"/>
    <w:rsid w:val="00631AF0"/>
    <w:rsid w:val="00631F93"/>
    <w:rsid w:val="00633D2E"/>
    <w:rsid w:val="00635D96"/>
    <w:rsid w:val="00637D08"/>
    <w:rsid w:val="00637F0B"/>
    <w:rsid w:val="00643302"/>
    <w:rsid w:val="00643AA7"/>
    <w:rsid w:val="0064577D"/>
    <w:rsid w:val="00646BF8"/>
    <w:rsid w:val="00651442"/>
    <w:rsid w:val="00651C05"/>
    <w:rsid w:val="00652E04"/>
    <w:rsid w:val="00654D70"/>
    <w:rsid w:val="00660D61"/>
    <w:rsid w:val="00663BAA"/>
    <w:rsid w:val="00664352"/>
    <w:rsid w:val="00664848"/>
    <w:rsid w:val="00665FD0"/>
    <w:rsid w:val="00676F3F"/>
    <w:rsid w:val="00680A5A"/>
    <w:rsid w:val="00681CCB"/>
    <w:rsid w:val="00682549"/>
    <w:rsid w:val="00683C4C"/>
    <w:rsid w:val="006859F3"/>
    <w:rsid w:val="00685EF0"/>
    <w:rsid w:val="00687F19"/>
    <w:rsid w:val="00691133"/>
    <w:rsid w:val="006937A5"/>
    <w:rsid w:val="006A209F"/>
    <w:rsid w:val="006A2D0F"/>
    <w:rsid w:val="006A6639"/>
    <w:rsid w:val="006A7873"/>
    <w:rsid w:val="006B0200"/>
    <w:rsid w:val="006B111C"/>
    <w:rsid w:val="006B1C1A"/>
    <w:rsid w:val="006B1DF9"/>
    <w:rsid w:val="006B290F"/>
    <w:rsid w:val="006B3140"/>
    <w:rsid w:val="006B4232"/>
    <w:rsid w:val="006B5157"/>
    <w:rsid w:val="006C0DF7"/>
    <w:rsid w:val="006C3559"/>
    <w:rsid w:val="006C58F4"/>
    <w:rsid w:val="006C5BCE"/>
    <w:rsid w:val="006D1030"/>
    <w:rsid w:val="006D1410"/>
    <w:rsid w:val="006D1DFE"/>
    <w:rsid w:val="006D2672"/>
    <w:rsid w:val="006D5375"/>
    <w:rsid w:val="006D5F42"/>
    <w:rsid w:val="006E19B0"/>
    <w:rsid w:val="006E4EE7"/>
    <w:rsid w:val="006E53F2"/>
    <w:rsid w:val="006E611C"/>
    <w:rsid w:val="006E79C3"/>
    <w:rsid w:val="006E79C5"/>
    <w:rsid w:val="006F4AF0"/>
    <w:rsid w:val="006F60A7"/>
    <w:rsid w:val="006F6EAC"/>
    <w:rsid w:val="00700B45"/>
    <w:rsid w:val="007055D9"/>
    <w:rsid w:val="00705B33"/>
    <w:rsid w:val="00707C13"/>
    <w:rsid w:val="00711098"/>
    <w:rsid w:val="00711E40"/>
    <w:rsid w:val="00712CF9"/>
    <w:rsid w:val="00712D3A"/>
    <w:rsid w:val="00714B19"/>
    <w:rsid w:val="00715FDF"/>
    <w:rsid w:val="00722450"/>
    <w:rsid w:val="00724782"/>
    <w:rsid w:val="00725EA2"/>
    <w:rsid w:val="00727127"/>
    <w:rsid w:val="007312DE"/>
    <w:rsid w:val="00733A82"/>
    <w:rsid w:val="00733C2A"/>
    <w:rsid w:val="00737A93"/>
    <w:rsid w:val="00740C99"/>
    <w:rsid w:val="00741C8A"/>
    <w:rsid w:val="00743922"/>
    <w:rsid w:val="00745252"/>
    <w:rsid w:val="007477CF"/>
    <w:rsid w:val="0075330C"/>
    <w:rsid w:val="00756714"/>
    <w:rsid w:val="00756D71"/>
    <w:rsid w:val="00760426"/>
    <w:rsid w:val="0076048A"/>
    <w:rsid w:val="0076076B"/>
    <w:rsid w:val="0076133D"/>
    <w:rsid w:val="0076160A"/>
    <w:rsid w:val="007617A0"/>
    <w:rsid w:val="00761B61"/>
    <w:rsid w:val="00762D04"/>
    <w:rsid w:val="00771358"/>
    <w:rsid w:val="00772966"/>
    <w:rsid w:val="00772A5C"/>
    <w:rsid w:val="00774D85"/>
    <w:rsid w:val="0077763B"/>
    <w:rsid w:val="007819CC"/>
    <w:rsid w:val="00782227"/>
    <w:rsid w:val="00782D50"/>
    <w:rsid w:val="0078380D"/>
    <w:rsid w:val="00784A57"/>
    <w:rsid w:val="00786C9E"/>
    <w:rsid w:val="007911CC"/>
    <w:rsid w:val="0079145B"/>
    <w:rsid w:val="0079358F"/>
    <w:rsid w:val="00794195"/>
    <w:rsid w:val="00794F66"/>
    <w:rsid w:val="00797520"/>
    <w:rsid w:val="00797EDA"/>
    <w:rsid w:val="007A0B2F"/>
    <w:rsid w:val="007A12AB"/>
    <w:rsid w:val="007A244C"/>
    <w:rsid w:val="007A247A"/>
    <w:rsid w:val="007A2EB6"/>
    <w:rsid w:val="007A300D"/>
    <w:rsid w:val="007A37B0"/>
    <w:rsid w:val="007A3C6A"/>
    <w:rsid w:val="007A3F24"/>
    <w:rsid w:val="007A454E"/>
    <w:rsid w:val="007A4AC9"/>
    <w:rsid w:val="007A5E32"/>
    <w:rsid w:val="007A695D"/>
    <w:rsid w:val="007A6B1D"/>
    <w:rsid w:val="007A71D5"/>
    <w:rsid w:val="007B00DE"/>
    <w:rsid w:val="007B074A"/>
    <w:rsid w:val="007B0A46"/>
    <w:rsid w:val="007B24AB"/>
    <w:rsid w:val="007B67A9"/>
    <w:rsid w:val="007C169B"/>
    <w:rsid w:val="007C2628"/>
    <w:rsid w:val="007C3F79"/>
    <w:rsid w:val="007C46C7"/>
    <w:rsid w:val="007C48F7"/>
    <w:rsid w:val="007C508D"/>
    <w:rsid w:val="007C5C12"/>
    <w:rsid w:val="007D07C2"/>
    <w:rsid w:val="007D1836"/>
    <w:rsid w:val="007D1EC9"/>
    <w:rsid w:val="007D2287"/>
    <w:rsid w:val="007D24F0"/>
    <w:rsid w:val="007D3F06"/>
    <w:rsid w:val="007D54CC"/>
    <w:rsid w:val="007D7951"/>
    <w:rsid w:val="007E1C8A"/>
    <w:rsid w:val="007E3041"/>
    <w:rsid w:val="007E3E2B"/>
    <w:rsid w:val="007E40B6"/>
    <w:rsid w:val="007E52A4"/>
    <w:rsid w:val="007E5D58"/>
    <w:rsid w:val="007E7EBE"/>
    <w:rsid w:val="007E7F2D"/>
    <w:rsid w:val="007F0EA0"/>
    <w:rsid w:val="007F4A3A"/>
    <w:rsid w:val="007F551A"/>
    <w:rsid w:val="007F6BB7"/>
    <w:rsid w:val="007F72EC"/>
    <w:rsid w:val="007F7F1D"/>
    <w:rsid w:val="00800FDB"/>
    <w:rsid w:val="00807113"/>
    <w:rsid w:val="008078CF"/>
    <w:rsid w:val="00807D28"/>
    <w:rsid w:val="008112B3"/>
    <w:rsid w:val="00811E82"/>
    <w:rsid w:val="00814505"/>
    <w:rsid w:val="0081480E"/>
    <w:rsid w:val="00817DA4"/>
    <w:rsid w:val="00817E97"/>
    <w:rsid w:val="00821D31"/>
    <w:rsid w:val="008230E0"/>
    <w:rsid w:val="00823FBC"/>
    <w:rsid w:val="00824EEB"/>
    <w:rsid w:val="00825926"/>
    <w:rsid w:val="00825988"/>
    <w:rsid w:val="008260D8"/>
    <w:rsid w:val="0082615F"/>
    <w:rsid w:val="008353D2"/>
    <w:rsid w:val="008363C6"/>
    <w:rsid w:val="00836A75"/>
    <w:rsid w:val="00836F0C"/>
    <w:rsid w:val="00836FEA"/>
    <w:rsid w:val="00837B37"/>
    <w:rsid w:val="008425B5"/>
    <w:rsid w:val="008427B7"/>
    <w:rsid w:val="008430FD"/>
    <w:rsid w:val="0084469B"/>
    <w:rsid w:val="008456CA"/>
    <w:rsid w:val="00846079"/>
    <w:rsid w:val="00847E36"/>
    <w:rsid w:val="00850848"/>
    <w:rsid w:val="00855E8A"/>
    <w:rsid w:val="00856C46"/>
    <w:rsid w:val="0086314B"/>
    <w:rsid w:val="00864884"/>
    <w:rsid w:val="00865A13"/>
    <w:rsid w:val="00866C2B"/>
    <w:rsid w:val="00866D88"/>
    <w:rsid w:val="00870FEB"/>
    <w:rsid w:val="008733A4"/>
    <w:rsid w:val="00873D60"/>
    <w:rsid w:val="00874D8F"/>
    <w:rsid w:val="008768A4"/>
    <w:rsid w:val="008771A4"/>
    <w:rsid w:val="008773B6"/>
    <w:rsid w:val="00880879"/>
    <w:rsid w:val="00881446"/>
    <w:rsid w:val="00882C1A"/>
    <w:rsid w:val="0088434F"/>
    <w:rsid w:val="00885D87"/>
    <w:rsid w:val="00887C74"/>
    <w:rsid w:val="00892417"/>
    <w:rsid w:val="00895A05"/>
    <w:rsid w:val="008A0399"/>
    <w:rsid w:val="008A111B"/>
    <w:rsid w:val="008A1567"/>
    <w:rsid w:val="008A1937"/>
    <w:rsid w:val="008A2830"/>
    <w:rsid w:val="008A3E2A"/>
    <w:rsid w:val="008A5186"/>
    <w:rsid w:val="008A5A39"/>
    <w:rsid w:val="008A5E8C"/>
    <w:rsid w:val="008A6282"/>
    <w:rsid w:val="008B0BBC"/>
    <w:rsid w:val="008B30FE"/>
    <w:rsid w:val="008B37D7"/>
    <w:rsid w:val="008B4301"/>
    <w:rsid w:val="008B567F"/>
    <w:rsid w:val="008B6620"/>
    <w:rsid w:val="008B7D2F"/>
    <w:rsid w:val="008C0089"/>
    <w:rsid w:val="008C045C"/>
    <w:rsid w:val="008C15C6"/>
    <w:rsid w:val="008C2B1D"/>
    <w:rsid w:val="008C3ABF"/>
    <w:rsid w:val="008C47DF"/>
    <w:rsid w:val="008C48EF"/>
    <w:rsid w:val="008D2218"/>
    <w:rsid w:val="008D403C"/>
    <w:rsid w:val="008D42FA"/>
    <w:rsid w:val="008D5C2F"/>
    <w:rsid w:val="008D77A2"/>
    <w:rsid w:val="008E054C"/>
    <w:rsid w:val="008E142B"/>
    <w:rsid w:val="008E1CE1"/>
    <w:rsid w:val="008E21E2"/>
    <w:rsid w:val="008E2ACE"/>
    <w:rsid w:val="008E4B0D"/>
    <w:rsid w:val="008E6008"/>
    <w:rsid w:val="008F03CF"/>
    <w:rsid w:val="008F082F"/>
    <w:rsid w:val="008F4D14"/>
    <w:rsid w:val="008F4D3C"/>
    <w:rsid w:val="008F73BE"/>
    <w:rsid w:val="008F7C4D"/>
    <w:rsid w:val="008F7C4E"/>
    <w:rsid w:val="00900561"/>
    <w:rsid w:val="009023BD"/>
    <w:rsid w:val="00902702"/>
    <w:rsid w:val="00905B7C"/>
    <w:rsid w:val="00906495"/>
    <w:rsid w:val="0090756E"/>
    <w:rsid w:val="00907C85"/>
    <w:rsid w:val="0091136B"/>
    <w:rsid w:val="00914781"/>
    <w:rsid w:val="00915FEA"/>
    <w:rsid w:val="0091631B"/>
    <w:rsid w:val="0091705C"/>
    <w:rsid w:val="0092039D"/>
    <w:rsid w:val="00922906"/>
    <w:rsid w:val="00924152"/>
    <w:rsid w:val="00926628"/>
    <w:rsid w:val="00926F8F"/>
    <w:rsid w:val="00930682"/>
    <w:rsid w:val="00931EB8"/>
    <w:rsid w:val="009325B5"/>
    <w:rsid w:val="0093347E"/>
    <w:rsid w:val="009345FD"/>
    <w:rsid w:val="00934F7A"/>
    <w:rsid w:val="00935AD9"/>
    <w:rsid w:val="00937E1C"/>
    <w:rsid w:val="00940C0F"/>
    <w:rsid w:val="00941D26"/>
    <w:rsid w:val="00943FFA"/>
    <w:rsid w:val="0094453B"/>
    <w:rsid w:val="00944952"/>
    <w:rsid w:val="00945E0D"/>
    <w:rsid w:val="009526BB"/>
    <w:rsid w:val="00953D88"/>
    <w:rsid w:val="00954AAD"/>
    <w:rsid w:val="00955CA2"/>
    <w:rsid w:val="00956260"/>
    <w:rsid w:val="009616BA"/>
    <w:rsid w:val="0096226B"/>
    <w:rsid w:val="0096353E"/>
    <w:rsid w:val="00966B4A"/>
    <w:rsid w:val="00966DB7"/>
    <w:rsid w:val="00967E88"/>
    <w:rsid w:val="00970B7B"/>
    <w:rsid w:val="0097129E"/>
    <w:rsid w:val="009715B6"/>
    <w:rsid w:val="00973DCA"/>
    <w:rsid w:val="00974396"/>
    <w:rsid w:val="0097439B"/>
    <w:rsid w:val="00974D2F"/>
    <w:rsid w:val="00976BE2"/>
    <w:rsid w:val="00977929"/>
    <w:rsid w:val="0098118E"/>
    <w:rsid w:val="009835AD"/>
    <w:rsid w:val="00984273"/>
    <w:rsid w:val="009854F3"/>
    <w:rsid w:val="00985A04"/>
    <w:rsid w:val="00986A12"/>
    <w:rsid w:val="00986DBB"/>
    <w:rsid w:val="00987FD2"/>
    <w:rsid w:val="00990A51"/>
    <w:rsid w:val="00991269"/>
    <w:rsid w:val="00992223"/>
    <w:rsid w:val="00995AB4"/>
    <w:rsid w:val="009A0C9F"/>
    <w:rsid w:val="009A429D"/>
    <w:rsid w:val="009A48AB"/>
    <w:rsid w:val="009A76B1"/>
    <w:rsid w:val="009B1293"/>
    <w:rsid w:val="009B1608"/>
    <w:rsid w:val="009B3269"/>
    <w:rsid w:val="009B3487"/>
    <w:rsid w:val="009B5AF6"/>
    <w:rsid w:val="009C0931"/>
    <w:rsid w:val="009D15E1"/>
    <w:rsid w:val="009D42D2"/>
    <w:rsid w:val="009E06F1"/>
    <w:rsid w:val="009E11A0"/>
    <w:rsid w:val="009E4B23"/>
    <w:rsid w:val="009E59AB"/>
    <w:rsid w:val="009E5D87"/>
    <w:rsid w:val="009E5E32"/>
    <w:rsid w:val="009E6161"/>
    <w:rsid w:val="009E64FC"/>
    <w:rsid w:val="009E6DAE"/>
    <w:rsid w:val="009F103D"/>
    <w:rsid w:val="009F1E3D"/>
    <w:rsid w:val="009F22B2"/>
    <w:rsid w:val="009F2B0D"/>
    <w:rsid w:val="009F5538"/>
    <w:rsid w:val="009F588F"/>
    <w:rsid w:val="009F7A30"/>
    <w:rsid w:val="00A02C3B"/>
    <w:rsid w:val="00A04E25"/>
    <w:rsid w:val="00A062A1"/>
    <w:rsid w:val="00A06690"/>
    <w:rsid w:val="00A06B1F"/>
    <w:rsid w:val="00A10685"/>
    <w:rsid w:val="00A12A49"/>
    <w:rsid w:val="00A12AB9"/>
    <w:rsid w:val="00A132EF"/>
    <w:rsid w:val="00A16010"/>
    <w:rsid w:val="00A16021"/>
    <w:rsid w:val="00A172DF"/>
    <w:rsid w:val="00A20273"/>
    <w:rsid w:val="00A27A82"/>
    <w:rsid w:val="00A3065F"/>
    <w:rsid w:val="00A3107E"/>
    <w:rsid w:val="00A321CA"/>
    <w:rsid w:val="00A33499"/>
    <w:rsid w:val="00A343AD"/>
    <w:rsid w:val="00A34A29"/>
    <w:rsid w:val="00A34B72"/>
    <w:rsid w:val="00A35729"/>
    <w:rsid w:val="00A36379"/>
    <w:rsid w:val="00A36970"/>
    <w:rsid w:val="00A374CC"/>
    <w:rsid w:val="00A402C1"/>
    <w:rsid w:val="00A402F4"/>
    <w:rsid w:val="00A40B52"/>
    <w:rsid w:val="00A41B92"/>
    <w:rsid w:val="00A41CD7"/>
    <w:rsid w:val="00A43EA4"/>
    <w:rsid w:val="00A43F53"/>
    <w:rsid w:val="00A44312"/>
    <w:rsid w:val="00A44EE9"/>
    <w:rsid w:val="00A45D7A"/>
    <w:rsid w:val="00A4627C"/>
    <w:rsid w:val="00A46574"/>
    <w:rsid w:val="00A5049D"/>
    <w:rsid w:val="00A50C4E"/>
    <w:rsid w:val="00A521EE"/>
    <w:rsid w:val="00A528BD"/>
    <w:rsid w:val="00A53D87"/>
    <w:rsid w:val="00A54431"/>
    <w:rsid w:val="00A54720"/>
    <w:rsid w:val="00A54B75"/>
    <w:rsid w:val="00A54DF1"/>
    <w:rsid w:val="00A5561D"/>
    <w:rsid w:val="00A57FBA"/>
    <w:rsid w:val="00A6034D"/>
    <w:rsid w:val="00A6083D"/>
    <w:rsid w:val="00A62819"/>
    <w:rsid w:val="00A62A4E"/>
    <w:rsid w:val="00A62AE9"/>
    <w:rsid w:val="00A62F7F"/>
    <w:rsid w:val="00A62F9F"/>
    <w:rsid w:val="00A63C83"/>
    <w:rsid w:val="00A63E2B"/>
    <w:rsid w:val="00A65DC8"/>
    <w:rsid w:val="00A672F3"/>
    <w:rsid w:val="00A70CAF"/>
    <w:rsid w:val="00A72657"/>
    <w:rsid w:val="00A72B32"/>
    <w:rsid w:val="00A760FE"/>
    <w:rsid w:val="00A76A3C"/>
    <w:rsid w:val="00A801FE"/>
    <w:rsid w:val="00A80490"/>
    <w:rsid w:val="00A826AE"/>
    <w:rsid w:val="00A85353"/>
    <w:rsid w:val="00A91A5C"/>
    <w:rsid w:val="00A92F17"/>
    <w:rsid w:val="00A94A3A"/>
    <w:rsid w:val="00A94DBD"/>
    <w:rsid w:val="00A95C8C"/>
    <w:rsid w:val="00AA0F1B"/>
    <w:rsid w:val="00AA1139"/>
    <w:rsid w:val="00AA1FD9"/>
    <w:rsid w:val="00AA295D"/>
    <w:rsid w:val="00AA44FB"/>
    <w:rsid w:val="00AA5EC4"/>
    <w:rsid w:val="00AB6BF8"/>
    <w:rsid w:val="00AC003A"/>
    <w:rsid w:val="00AC2A15"/>
    <w:rsid w:val="00AC52C3"/>
    <w:rsid w:val="00AC7364"/>
    <w:rsid w:val="00AD1FFC"/>
    <w:rsid w:val="00AD2434"/>
    <w:rsid w:val="00AD3C0B"/>
    <w:rsid w:val="00AD3F5E"/>
    <w:rsid w:val="00AD4455"/>
    <w:rsid w:val="00AD5F91"/>
    <w:rsid w:val="00AD6C72"/>
    <w:rsid w:val="00AD73D4"/>
    <w:rsid w:val="00AD79AE"/>
    <w:rsid w:val="00AE1397"/>
    <w:rsid w:val="00AE245E"/>
    <w:rsid w:val="00AE4836"/>
    <w:rsid w:val="00AF140E"/>
    <w:rsid w:val="00AF1718"/>
    <w:rsid w:val="00AF2BA2"/>
    <w:rsid w:val="00AF7156"/>
    <w:rsid w:val="00AF722C"/>
    <w:rsid w:val="00B00140"/>
    <w:rsid w:val="00B00BD9"/>
    <w:rsid w:val="00B049EB"/>
    <w:rsid w:val="00B04CF8"/>
    <w:rsid w:val="00B05110"/>
    <w:rsid w:val="00B0513F"/>
    <w:rsid w:val="00B05FF7"/>
    <w:rsid w:val="00B10435"/>
    <w:rsid w:val="00B10EF2"/>
    <w:rsid w:val="00B11D9B"/>
    <w:rsid w:val="00B1299C"/>
    <w:rsid w:val="00B12BCD"/>
    <w:rsid w:val="00B16268"/>
    <w:rsid w:val="00B2024B"/>
    <w:rsid w:val="00B230D5"/>
    <w:rsid w:val="00B24E82"/>
    <w:rsid w:val="00B256ED"/>
    <w:rsid w:val="00B25A0F"/>
    <w:rsid w:val="00B2654A"/>
    <w:rsid w:val="00B27BF9"/>
    <w:rsid w:val="00B30BE1"/>
    <w:rsid w:val="00B31C84"/>
    <w:rsid w:val="00B342AA"/>
    <w:rsid w:val="00B34A89"/>
    <w:rsid w:val="00B359C5"/>
    <w:rsid w:val="00B35AEA"/>
    <w:rsid w:val="00B36CF8"/>
    <w:rsid w:val="00B40454"/>
    <w:rsid w:val="00B41E85"/>
    <w:rsid w:val="00B42D33"/>
    <w:rsid w:val="00B4460A"/>
    <w:rsid w:val="00B45615"/>
    <w:rsid w:val="00B4625F"/>
    <w:rsid w:val="00B4649F"/>
    <w:rsid w:val="00B466E3"/>
    <w:rsid w:val="00B51C5E"/>
    <w:rsid w:val="00B5415C"/>
    <w:rsid w:val="00B55880"/>
    <w:rsid w:val="00B56098"/>
    <w:rsid w:val="00B60CE4"/>
    <w:rsid w:val="00B6137F"/>
    <w:rsid w:val="00B61A06"/>
    <w:rsid w:val="00B6264E"/>
    <w:rsid w:val="00B626E4"/>
    <w:rsid w:val="00B63E91"/>
    <w:rsid w:val="00B643D9"/>
    <w:rsid w:val="00B64641"/>
    <w:rsid w:val="00B65963"/>
    <w:rsid w:val="00B66F4C"/>
    <w:rsid w:val="00B71C99"/>
    <w:rsid w:val="00B75A62"/>
    <w:rsid w:val="00B77DBE"/>
    <w:rsid w:val="00B8063B"/>
    <w:rsid w:val="00B80B11"/>
    <w:rsid w:val="00B83E8F"/>
    <w:rsid w:val="00B840F3"/>
    <w:rsid w:val="00B84B09"/>
    <w:rsid w:val="00B864E9"/>
    <w:rsid w:val="00B8712E"/>
    <w:rsid w:val="00B8734C"/>
    <w:rsid w:val="00B93DDC"/>
    <w:rsid w:val="00B93FCD"/>
    <w:rsid w:val="00B942B0"/>
    <w:rsid w:val="00B964F7"/>
    <w:rsid w:val="00B968F2"/>
    <w:rsid w:val="00BA02C1"/>
    <w:rsid w:val="00BA3073"/>
    <w:rsid w:val="00BA434D"/>
    <w:rsid w:val="00BA6E68"/>
    <w:rsid w:val="00BA7330"/>
    <w:rsid w:val="00BA77FF"/>
    <w:rsid w:val="00BA7F89"/>
    <w:rsid w:val="00BB27DE"/>
    <w:rsid w:val="00BB31FD"/>
    <w:rsid w:val="00BB6F82"/>
    <w:rsid w:val="00BB76FE"/>
    <w:rsid w:val="00BB7E97"/>
    <w:rsid w:val="00BC23D2"/>
    <w:rsid w:val="00BC2509"/>
    <w:rsid w:val="00BC378A"/>
    <w:rsid w:val="00BC4805"/>
    <w:rsid w:val="00BC538F"/>
    <w:rsid w:val="00BC6696"/>
    <w:rsid w:val="00BC70DE"/>
    <w:rsid w:val="00BD10FE"/>
    <w:rsid w:val="00BD1E80"/>
    <w:rsid w:val="00BD264E"/>
    <w:rsid w:val="00BD7B18"/>
    <w:rsid w:val="00BE038C"/>
    <w:rsid w:val="00BE73F0"/>
    <w:rsid w:val="00BE74D2"/>
    <w:rsid w:val="00BF0008"/>
    <w:rsid w:val="00BF07E9"/>
    <w:rsid w:val="00BF148D"/>
    <w:rsid w:val="00BF1A67"/>
    <w:rsid w:val="00BF1BE5"/>
    <w:rsid w:val="00BF2F1C"/>
    <w:rsid w:val="00BF3078"/>
    <w:rsid w:val="00BF597F"/>
    <w:rsid w:val="00BF6AAE"/>
    <w:rsid w:val="00BF6B8E"/>
    <w:rsid w:val="00BF7448"/>
    <w:rsid w:val="00C008AF"/>
    <w:rsid w:val="00C00C8B"/>
    <w:rsid w:val="00C049F6"/>
    <w:rsid w:val="00C10153"/>
    <w:rsid w:val="00C108DB"/>
    <w:rsid w:val="00C136D7"/>
    <w:rsid w:val="00C13C25"/>
    <w:rsid w:val="00C13E56"/>
    <w:rsid w:val="00C21E51"/>
    <w:rsid w:val="00C27B41"/>
    <w:rsid w:val="00C3264F"/>
    <w:rsid w:val="00C32B32"/>
    <w:rsid w:val="00C339DE"/>
    <w:rsid w:val="00C36ED0"/>
    <w:rsid w:val="00C3715C"/>
    <w:rsid w:val="00C379B0"/>
    <w:rsid w:val="00C41BF4"/>
    <w:rsid w:val="00C43276"/>
    <w:rsid w:val="00C44EAE"/>
    <w:rsid w:val="00C472F0"/>
    <w:rsid w:val="00C5048A"/>
    <w:rsid w:val="00C51BE7"/>
    <w:rsid w:val="00C51DEF"/>
    <w:rsid w:val="00C5315C"/>
    <w:rsid w:val="00C53BCA"/>
    <w:rsid w:val="00C53D2F"/>
    <w:rsid w:val="00C53EB1"/>
    <w:rsid w:val="00C57A1F"/>
    <w:rsid w:val="00C57D24"/>
    <w:rsid w:val="00C60946"/>
    <w:rsid w:val="00C60C79"/>
    <w:rsid w:val="00C611F4"/>
    <w:rsid w:val="00C64F07"/>
    <w:rsid w:val="00C652E1"/>
    <w:rsid w:val="00C6613A"/>
    <w:rsid w:val="00C67F01"/>
    <w:rsid w:val="00C702A8"/>
    <w:rsid w:val="00C70625"/>
    <w:rsid w:val="00C71959"/>
    <w:rsid w:val="00C71BA4"/>
    <w:rsid w:val="00C72A4D"/>
    <w:rsid w:val="00C730AD"/>
    <w:rsid w:val="00C73114"/>
    <w:rsid w:val="00C75028"/>
    <w:rsid w:val="00C762EA"/>
    <w:rsid w:val="00C77200"/>
    <w:rsid w:val="00C823A6"/>
    <w:rsid w:val="00C83827"/>
    <w:rsid w:val="00C847B9"/>
    <w:rsid w:val="00C84D77"/>
    <w:rsid w:val="00C858F0"/>
    <w:rsid w:val="00C85E9F"/>
    <w:rsid w:val="00C861B0"/>
    <w:rsid w:val="00C867C9"/>
    <w:rsid w:val="00C87224"/>
    <w:rsid w:val="00C92E77"/>
    <w:rsid w:val="00C9497E"/>
    <w:rsid w:val="00CA069C"/>
    <w:rsid w:val="00CA1CEB"/>
    <w:rsid w:val="00CA1D6D"/>
    <w:rsid w:val="00CA255E"/>
    <w:rsid w:val="00CA2E53"/>
    <w:rsid w:val="00CA626D"/>
    <w:rsid w:val="00CA76A4"/>
    <w:rsid w:val="00CA7FF6"/>
    <w:rsid w:val="00CB02B5"/>
    <w:rsid w:val="00CB0688"/>
    <w:rsid w:val="00CB44E7"/>
    <w:rsid w:val="00CB497E"/>
    <w:rsid w:val="00CB4F41"/>
    <w:rsid w:val="00CB4FBF"/>
    <w:rsid w:val="00CB55B6"/>
    <w:rsid w:val="00CB59F7"/>
    <w:rsid w:val="00CB5E24"/>
    <w:rsid w:val="00CB7871"/>
    <w:rsid w:val="00CC0D87"/>
    <w:rsid w:val="00CC27F7"/>
    <w:rsid w:val="00CC385B"/>
    <w:rsid w:val="00CC5B42"/>
    <w:rsid w:val="00CC6A3B"/>
    <w:rsid w:val="00CC75DE"/>
    <w:rsid w:val="00CD0A06"/>
    <w:rsid w:val="00CD2467"/>
    <w:rsid w:val="00CD65BD"/>
    <w:rsid w:val="00CE0854"/>
    <w:rsid w:val="00CE1026"/>
    <w:rsid w:val="00CE147E"/>
    <w:rsid w:val="00CE1730"/>
    <w:rsid w:val="00CE1C1C"/>
    <w:rsid w:val="00CE1F5A"/>
    <w:rsid w:val="00CE2D27"/>
    <w:rsid w:val="00CE3860"/>
    <w:rsid w:val="00CE7BB7"/>
    <w:rsid w:val="00CF01A9"/>
    <w:rsid w:val="00CF0F08"/>
    <w:rsid w:val="00CF1B74"/>
    <w:rsid w:val="00CF2AF3"/>
    <w:rsid w:val="00CF3194"/>
    <w:rsid w:val="00CF3E51"/>
    <w:rsid w:val="00CF40C7"/>
    <w:rsid w:val="00CF45E0"/>
    <w:rsid w:val="00CF5683"/>
    <w:rsid w:val="00CF57BF"/>
    <w:rsid w:val="00CF5D7D"/>
    <w:rsid w:val="00CF5F00"/>
    <w:rsid w:val="00CF7F86"/>
    <w:rsid w:val="00D0340C"/>
    <w:rsid w:val="00D0358F"/>
    <w:rsid w:val="00D03630"/>
    <w:rsid w:val="00D04629"/>
    <w:rsid w:val="00D04D20"/>
    <w:rsid w:val="00D04DA7"/>
    <w:rsid w:val="00D0566F"/>
    <w:rsid w:val="00D071FD"/>
    <w:rsid w:val="00D1093E"/>
    <w:rsid w:val="00D123B0"/>
    <w:rsid w:val="00D134BC"/>
    <w:rsid w:val="00D142FE"/>
    <w:rsid w:val="00D1578C"/>
    <w:rsid w:val="00D21D6C"/>
    <w:rsid w:val="00D22361"/>
    <w:rsid w:val="00D228A0"/>
    <w:rsid w:val="00D230E1"/>
    <w:rsid w:val="00D2418E"/>
    <w:rsid w:val="00D247B9"/>
    <w:rsid w:val="00D301FA"/>
    <w:rsid w:val="00D322D7"/>
    <w:rsid w:val="00D33CB2"/>
    <w:rsid w:val="00D40851"/>
    <w:rsid w:val="00D40C7B"/>
    <w:rsid w:val="00D45BFB"/>
    <w:rsid w:val="00D46DCB"/>
    <w:rsid w:val="00D47CD5"/>
    <w:rsid w:val="00D52FD8"/>
    <w:rsid w:val="00D5325F"/>
    <w:rsid w:val="00D53C63"/>
    <w:rsid w:val="00D5555E"/>
    <w:rsid w:val="00D55A4A"/>
    <w:rsid w:val="00D561E5"/>
    <w:rsid w:val="00D571B7"/>
    <w:rsid w:val="00D60CD4"/>
    <w:rsid w:val="00D63533"/>
    <w:rsid w:val="00D65576"/>
    <w:rsid w:val="00D66880"/>
    <w:rsid w:val="00D6701F"/>
    <w:rsid w:val="00D70769"/>
    <w:rsid w:val="00D7142D"/>
    <w:rsid w:val="00D71C79"/>
    <w:rsid w:val="00D71D90"/>
    <w:rsid w:val="00D73005"/>
    <w:rsid w:val="00D73439"/>
    <w:rsid w:val="00D73716"/>
    <w:rsid w:val="00D73B26"/>
    <w:rsid w:val="00D7465C"/>
    <w:rsid w:val="00D75BDE"/>
    <w:rsid w:val="00D764B9"/>
    <w:rsid w:val="00D816E4"/>
    <w:rsid w:val="00D824FB"/>
    <w:rsid w:val="00D855E6"/>
    <w:rsid w:val="00D91B1E"/>
    <w:rsid w:val="00D9406D"/>
    <w:rsid w:val="00D95DDB"/>
    <w:rsid w:val="00DA0DCD"/>
    <w:rsid w:val="00DA379F"/>
    <w:rsid w:val="00DA3F06"/>
    <w:rsid w:val="00DB02AB"/>
    <w:rsid w:val="00DB0331"/>
    <w:rsid w:val="00DB06D1"/>
    <w:rsid w:val="00DB1B29"/>
    <w:rsid w:val="00DB4774"/>
    <w:rsid w:val="00DB5655"/>
    <w:rsid w:val="00DC0514"/>
    <w:rsid w:val="00DC0F2E"/>
    <w:rsid w:val="00DC2DCD"/>
    <w:rsid w:val="00DC4E9C"/>
    <w:rsid w:val="00DC6C00"/>
    <w:rsid w:val="00DD0D5F"/>
    <w:rsid w:val="00DD13A6"/>
    <w:rsid w:val="00DD27AF"/>
    <w:rsid w:val="00DD3950"/>
    <w:rsid w:val="00DD4A96"/>
    <w:rsid w:val="00DD7388"/>
    <w:rsid w:val="00DE08D1"/>
    <w:rsid w:val="00DE1351"/>
    <w:rsid w:val="00DE1BB4"/>
    <w:rsid w:val="00DE2FDA"/>
    <w:rsid w:val="00DE5550"/>
    <w:rsid w:val="00DE78F7"/>
    <w:rsid w:val="00DF00E4"/>
    <w:rsid w:val="00DF21D3"/>
    <w:rsid w:val="00DF2BF9"/>
    <w:rsid w:val="00DF2EE2"/>
    <w:rsid w:val="00DF30EE"/>
    <w:rsid w:val="00DF3169"/>
    <w:rsid w:val="00DF3E20"/>
    <w:rsid w:val="00DF5960"/>
    <w:rsid w:val="00DF67E6"/>
    <w:rsid w:val="00DF7267"/>
    <w:rsid w:val="00DF7335"/>
    <w:rsid w:val="00DF7FEC"/>
    <w:rsid w:val="00E0008E"/>
    <w:rsid w:val="00E03BA2"/>
    <w:rsid w:val="00E04B02"/>
    <w:rsid w:val="00E06281"/>
    <w:rsid w:val="00E07114"/>
    <w:rsid w:val="00E07FA4"/>
    <w:rsid w:val="00E106A5"/>
    <w:rsid w:val="00E11284"/>
    <w:rsid w:val="00E11512"/>
    <w:rsid w:val="00E12879"/>
    <w:rsid w:val="00E12B70"/>
    <w:rsid w:val="00E12D89"/>
    <w:rsid w:val="00E135E6"/>
    <w:rsid w:val="00E137EA"/>
    <w:rsid w:val="00E16F6C"/>
    <w:rsid w:val="00E211F3"/>
    <w:rsid w:val="00E222E2"/>
    <w:rsid w:val="00E3303D"/>
    <w:rsid w:val="00E33A69"/>
    <w:rsid w:val="00E34F94"/>
    <w:rsid w:val="00E40C0F"/>
    <w:rsid w:val="00E414C6"/>
    <w:rsid w:val="00E4711C"/>
    <w:rsid w:val="00E50CD4"/>
    <w:rsid w:val="00E51B9F"/>
    <w:rsid w:val="00E51E55"/>
    <w:rsid w:val="00E524F2"/>
    <w:rsid w:val="00E52674"/>
    <w:rsid w:val="00E532E2"/>
    <w:rsid w:val="00E5416E"/>
    <w:rsid w:val="00E55CC0"/>
    <w:rsid w:val="00E634AD"/>
    <w:rsid w:val="00E6481E"/>
    <w:rsid w:val="00E66B4A"/>
    <w:rsid w:val="00E70335"/>
    <w:rsid w:val="00E70F1C"/>
    <w:rsid w:val="00E7502D"/>
    <w:rsid w:val="00E80419"/>
    <w:rsid w:val="00E8113F"/>
    <w:rsid w:val="00E8415C"/>
    <w:rsid w:val="00E855C4"/>
    <w:rsid w:val="00E85939"/>
    <w:rsid w:val="00E86C49"/>
    <w:rsid w:val="00E87D3D"/>
    <w:rsid w:val="00E90996"/>
    <w:rsid w:val="00E90ABF"/>
    <w:rsid w:val="00E90B27"/>
    <w:rsid w:val="00E939AD"/>
    <w:rsid w:val="00E9586B"/>
    <w:rsid w:val="00E95B64"/>
    <w:rsid w:val="00E95FCE"/>
    <w:rsid w:val="00EA019E"/>
    <w:rsid w:val="00EA0C17"/>
    <w:rsid w:val="00EA0E6D"/>
    <w:rsid w:val="00EA46F1"/>
    <w:rsid w:val="00EA4EF6"/>
    <w:rsid w:val="00EA635D"/>
    <w:rsid w:val="00EA6EA1"/>
    <w:rsid w:val="00EA7A28"/>
    <w:rsid w:val="00EA7CDB"/>
    <w:rsid w:val="00EB08DD"/>
    <w:rsid w:val="00EB0AEB"/>
    <w:rsid w:val="00EB1E56"/>
    <w:rsid w:val="00EB2F66"/>
    <w:rsid w:val="00EB2F97"/>
    <w:rsid w:val="00EB512D"/>
    <w:rsid w:val="00EB6C43"/>
    <w:rsid w:val="00EB6E18"/>
    <w:rsid w:val="00EC2A3E"/>
    <w:rsid w:val="00EC2A45"/>
    <w:rsid w:val="00EC442C"/>
    <w:rsid w:val="00EC7EBC"/>
    <w:rsid w:val="00ED18A8"/>
    <w:rsid w:val="00ED1DB2"/>
    <w:rsid w:val="00ED1F52"/>
    <w:rsid w:val="00ED1FCF"/>
    <w:rsid w:val="00ED205B"/>
    <w:rsid w:val="00ED5D41"/>
    <w:rsid w:val="00ED7451"/>
    <w:rsid w:val="00ED7CB3"/>
    <w:rsid w:val="00EE0296"/>
    <w:rsid w:val="00EE02C0"/>
    <w:rsid w:val="00EE17BB"/>
    <w:rsid w:val="00EE1804"/>
    <w:rsid w:val="00EE3684"/>
    <w:rsid w:val="00EE5EA4"/>
    <w:rsid w:val="00EE6863"/>
    <w:rsid w:val="00EF2CB9"/>
    <w:rsid w:val="00EF6091"/>
    <w:rsid w:val="00EF6195"/>
    <w:rsid w:val="00F0278B"/>
    <w:rsid w:val="00F040B8"/>
    <w:rsid w:val="00F05662"/>
    <w:rsid w:val="00F07AA9"/>
    <w:rsid w:val="00F12638"/>
    <w:rsid w:val="00F13D8C"/>
    <w:rsid w:val="00F148BF"/>
    <w:rsid w:val="00F15564"/>
    <w:rsid w:val="00F16CEE"/>
    <w:rsid w:val="00F17110"/>
    <w:rsid w:val="00F20D67"/>
    <w:rsid w:val="00F23125"/>
    <w:rsid w:val="00F23F0C"/>
    <w:rsid w:val="00F25221"/>
    <w:rsid w:val="00F25DE6"/>
    <w:rsid w:val="00F266A1"/>
    <w:rsid w:val="00F269BF"/>
    <w:rsid w:val="00F27AF0"/>
    <w:rsid w:val="00F30072"/>
    <w:rsid w:val="00F319BA"/>
    <w:rsid w:val="00F31ADD"/>
    <w:rsid w:val="00F31E82"/>
    <w:rsid w:val="00F32EDF"/>
    <w:rsid w:val="00F33346"/>
    <w:rsid w:val="00F33897"/>
    <w:rsid w:val="00F34288"/>
    <w:rsid w:val="00F34383"/>
    <w:rsid w:val="00F34D8B"/>
    <w:rsid w:val="00F41637"/>
    <w:rsid w:val="00F43273"/>
    <w:rsid w:val="00F45149"/>
    <w:rsid w:val="00F469D8"/>
    <w:rsid w:val="00F4724A"/>
    <w:rsid w:val="00F47A40"/>
    <w:rsid w:val="00F51C76"/>
    <w:rsid w:val="00F53EFD"/>
    <w:rsid w:val="00F56748"/>
    <w:rsid w:val="00F609DF"/>
    <w:rsid w:val="00F615BB"/>
    <w:rsid w:val="00F61B5E"/>
    <w:rsid w:val="00F62C66"/>
    <w:rsid w:val="00F63339"/>
    <w:rsid w:val="00F63A09"/>
    <w:rsid w:val="00F651EC"/>
    <w:rsid w:val="00F67B90"/>
    <w:rsid w:val="00F67F19"/>
    <w:rsid w:val="00F712F7"/>
    <w:rsid w:val="00F7267F"/>
    <w:rsid w:val="00F73681"/>
    <w:rsid w:val="00F744F3"/>
    <w:rsid w:val="00F74C60"/>
    <w:rsid w:val="00F74DA6"/>
    <w:rsid w:val="00F75106"/>
    <w:rsid w:val="00F77E36"/>
    <w:rsid w:val="00F80B59"/>
    <w:rsid w:val="00F84639"/>
    <w:rsid w:val="00F861EB"/>
    <w:rsid w:val="00F863E2"/>
    <w:rsid w:val="00F9485A"/>
    <w:rsid w:val="00F94913"/>
    <w:rsid w:val="00F96A1A"/>
    <w:rsid w:val="00F9765C"/>
    <w:rsid w:val="00FA0CBF"/>
    <w:rsid w:val="00FA3492"/>
    <w:rsid w:val="00FA4257"/>
    <w:rsid w:val="00FA5A08"/>
    <w:rsid w:val="00FA66E1"/>
    <w:rsid w:val="00FA6799"/>
    <w:rsid w:val="00FA6F2B"/>
    <w:rsid w:val="00FA7773"/>
    <w:rsid w:val="00FB0225"/>
    <w:rsid w:val="00FB2D54"/>
    <w:rsid w:val="00FC01DD"/>
    <w:rsid w:val="00FC0B87"/>
    <w:rsid w:val="00FC1E1D"/>
    <w:rsid w:val="00FC3381"/>
    <w:rsid w:val="00FC7E2E"/>
    <w:rsid w:val="00FD0020"/>
    <w:rsid w:val="00FD00E3"/>
    <w:rsid w:val="00FD26E3"/>
    <w:rsid w:val="00FD3E73"/>
    <w:rsid w:val="00FD4387"/>
    <w:rsid w:val="00FD4ABF"/>
    <w:rsid w:val="00FE15D4"/>
    <w:rsid w:val="00FE1E0D"/>
    <w:rsid w:val="00FE37AA"/>
    <w:rsid w:val="00FE391D"/>
    <w:rsid w:val="00FE620E"/>
    <w:rsid w:val="00FE76B8"/>
    <w:rsid w:val="00FE77F7"/>
    <w:rsid w:val="00FF1A4B"/>
    <w:rsid w:val="00FF2A2B"/>
    <w:rsid w:val="00FF5A2A"/>
    <w:rsid w:val="00FF72EA"/>
    <w:rsid w:val="00FF7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locked="1" w:semiHidden="1" w:unhideWhenUsed="1"/>
    <w:lsdException w:name="List 4" w:locked="1"/>
    <w:lsdException w:name="List 5" w:lock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4505"/>
    <w:rPr>
      <w:rFonts w:ascii="Times New Roman" w:hAnsi="Times New Roman" w:cs="Times New Roman"/>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14781"/>
    <w:pPr>
      <w:spacing w:after="200" w:line="276" w:lineRule="auto"/>
      <w:ind w:left="720"/>
      <w:contextualSpacing/>
    </w:pPr>
    <w:rPr>
      <w:rFonts w:ascii="Calibri" w:hAnsi="Calibri"/>
      <w:sz w:val="22"/>
      <w:szCs w:val="22"/>
      <w:lang w:val="sk-SK"/>
    </w:rPr>
  </w:style>
  <w:style w:type="paragraph" w:styleId="Zkladntext">
    <w:name w:val="Body Text"/>
    <w:basedOn w:val="Normlny"/>
    <w:link w:val="ZkladntextChar"/>
    <w:rsid w:val="00914781"/>
    <w:pPr>
      <w:jc w:val="both"/>
    </w:pPr>
    <w:rPr>
      <w:rFonts w:ascii="Verdana" w:hAnsi="Verdana" w:cs="Verdana"/>
      <w:lang w:val="sk-SK" w:eastAsia="sk-SK"/>
    </w:rPr>
  </w:style>
  <w:style w:type="character" w:customStyle="1" w:styleId="ZkladntextChar">
    <w:name w:val="Základný text Char"/>
    <w:link w:val="Zkladntext"/>
    <w:locked/>
    <w:rsid w:val="00914781"/>
    <w:rPr>
      <w:rFonts w:ascii="Verdana" w:hAnsi="Verdana" w:cs="Verdana"/>
      <w:sz w:val="24"/>
      <w:szCs w:val="24"/>
      <w:lang w:val="x-none" w:eastAsia="sk-SK"/>
    </w:rPr>
  </w:style>
  <w:style w:type="paragraph" w:customStyle="1" w:styleId="CharCharCharCharCharChar">
    <w:name w:val="Char Char Char Char Char Char"/>
    <w:basedOn w:val="Normlny"/>
    <w:rsid w:val="00FE391D"/>
    <w:pPr>
      <w:spacing w:after="160" w:line="240" w:lineRule="exact"/>
    </w:pPr>
    <w:rPr>
      <w:rFonts w:ascii="Tahoma" w:hAnsi="Tahoma"/>
      <w:sz w:val="20"/>
      <w:szCs w:val="20"/>
    </w:rPr>
  </w:style>
  <w:style w:type="paragraph" w:styleId="Hlavika">
    <w:name w:val="header"/>
    <w:basedOn w:val="Normlny"/>
    <w:link w:val="HlavikaChar"/>
    <w:uiPriority w:val="99"/>
    <w:rsid w:val="00EE02C0"/>
    <w:pPr>
      <w:tabs>
        <w:tab w:val="center" w:pos="4536"/>
        <w:tab w:val="right" w:pos="9072"/>
      </w:tabs>
    </w:pPr>
    <w:rPr>
      <w:rFonts w:ascii="Calibri" w:hAnsi="Calibri"/>
      <w:sz w:val="22"/>
      <w:szCs w:val="22"/>
      <w:lang w:val="sk-SK"/>
    </w:rPr>
  </w:style>
  <w:style w:type="character" w:customStyle="1" w:styleId="HlavikaChar">
    <w:name w:val="Hlavička Char"/>
    <w:link w:val="Hlavika"/>
    <w:uiPriority w:val="99"/>
    <w:locked/>
    <w:rsid w:val="00EE02C0"/>
    <w:rPr>
      <w:rFonts w:cs="Times New Roman"/>
    </w:rPr>
  </w:style>
  <w:style w:type="paragraph" w:styleId="Pta">
    <w:name w:val="footer"/>
    <w:basedOn w:val="Normlny"/>
    <w:link w:val="PtaChar"/>
    <w:uiPriority w:val="99"/>
    <w:rsid w:val="00EE02C0"/>
    <w:pPr>
      <w:tabs>
        <w:tab w:val="center" w:pos="4536"/>
        <w:tab w:val="right" w:pos="9072"/>
      </w:tabs>
    </w:pPr>
    <w:rPr>
      <w:rFonts w:ascii="Calibri" w:hAnsi="Calibri"/>
      <w:sz w:val="22"/>
      <w:szCs w:val="22"/>
      <w:lang w:val="sk-SK"/>
    </w:rPr>
  </w:style>
  <w:style w:type="character" w:customStyle="1" w:styleId="PtaChar">
    <w:name w:val="Päta Char"/>
    <w:link w:val="Pta"/>
    <w:uiPriority w:val="99"/>
    <w:locked/>
    <w:rsid w:val="00EE02C0"/>
    <w:rPr>
      <w:rFonts w:cs="Times New Roman"/>
    </w:rPr>
  </w:style>
  <w:style w:type="paragraph" w:styleId="Textbubliny">
    <w:name w:val="Balloon Text"/>
    <w:basedOn w:val="Normlny"/>
    <w:link w:val="TextbublinyChar"/>
    <w:rsid w:val="00F62C66"/>
    <w:rPr>
      <w:rFonts w:ascii="Tahoma" w:hAnsi="Tahoma" w:cs="Tahoma"/>
      <w:sz w:val="16"/>
      <w:szCs w:val="16"/>
      <w:lang w:val="sk-SK"/>
    </w:rPr>
  </w:style>
  <w:style w:type="character" w:customStyle="1" w:styleId="TextbublinyChar">
    <w:name w:val="Text bubliny Char"/>
    <w:link w:val="Textbubliny"/>
    <w:locked/>
    <w:rsid w:val="00F62C66"/>
    <w:rPr>
      <w:rFonts w:ascii="Tahoma" w:hAnsi="Tahoma" w:cs="Tahoma"/>
      <w:sz w:val="16"/>
      <w:szCs w:val="16"/>
    </w:rPr>
  </w:style>
  <w:style w:type="paragraph" w:styleId="Textpoznmkypodiarou">
    <w:name w:val="footnote text"/>
    <w:aliases w:val="Text poznámky pod čiarou 007"/>
    <w:basedOn w:val="Normlny"/>
    <w:link w:val="TextpoznmkypodiarouChar"/>
    <w:uiPriority w:val="99"/>
    <w:rsid w:val="00B2024B"/>
    <w:rPr>
      <w:rFonts w:ascii="Calibri" w:hAnsi="Calibri"/>
      <w:sz w:val="20"/>
      <w:szCs w:val="20"/>
      <w:lang w:val="sk-SK"/>
    </w:rPr>
  </w:style>
  <w:style w:type="character" w:customStyle="1" w:styleId="TextpoznmkypodiarouChar">
    <w:name w:val="Text poznámky pod čiarou Char"/>
    <w:aliases w:val="Text poznámky pod čiarou 007 Char"/>
    <w:link w:val="Textpoznmkypodiarou"/>
    <w:uiPriority w:val="99"/>
    <w:locked/>
    <w:rsid w:val="00B2024B"/>
    <w:rPr>
      <w:rFonts w:cs="Times New Roman"/>
      <w:sz w:val="20"/>
      <w:szCs w:val="20"/>
    </w:rPr>
  </w:style>
  <w:style w:type="character" w:styleId="Odkaznapoznmkupodiarou">
    <w:name w:val="footnote reference"/>
    <w:uiPriority w:val="99"/>
    <w:rsid w:val="00B2024B"/>
    <w:rPr>
      <w:rFonts w:cs="Times New Roman"/>
      <w:vertAlign w:val="superscript"/>
    </w:rPr>
  </w:style>
  <w:style w:type="table" w:styleId="Mriekatabuky">
    <w:name w:val="Table Grid"/>
    <w:basedOn w:val="Normlnatabuka"/>
    <w:uiPriority w:val="5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rPr>
      <w:rFonts w:cs="Times New Roman"/>
      <w:sz w:val="22"/>
      <w:szCs w:val="22"/>
      <w:lang w:eastAsia="en-US"/>
    </w:rPr>
  </w:style>
  <w:style w:type="character" w:styleId="Odkaznakomentr">
    <w:name w:val="annotation reference"/>
    <w:uiPriority w:val="99"/>
    <w:rsid w:val="00EE1804"/>
    <w:rPr>
      <w:rFonts w:cs="Times New Roman"/>
      <w:sz w:val="16"/>
      <w:szCs w:val="16"/>
    </w:rPr>
  </w:style>
  <w:style w:type="paragraph" w:styleId="Textkomentra">
    <w:name w:val="annotation text"/>
    <w:basedOn w:val="Normlny"/>
    <w:link w:val="TextkomentraChar"/>
    <w:uiPriority w:val="99"/>
    <w:rsid w:val="00EE1804"/>
    <w:pPr>
      <w:spacing w:after="200"/>
    </w:pPr>
    <w:rPr>
      <w:rFonts w:ascii="Calibri" w:hAnsi="Calibri"/>
      <w:sz w:val="20"/>
      <w:szCs w:val="20"/>
      <w:lang w:val="sk-SK"/>
    </w:rPr>
  </w:style>
  <w:style w:type="character" w:customStyle="1" w:styleId="TextkomentraChar">
    <w:name w:val="Text komentára Char"/>
    <w:link w:val="Textkomentra"/>
    <w:uiPriority w:val="99"/>
    <w:locked/>
    <w:rsid w:val="00EE1804"/>
    <w:rPr>
      <w:rFonts w:cs="Times New Roman"/>
      <w:sz w:val="20"/>
      <w:szCs w:val="20"/>
    </w:rPr>
  </w:style>
  <w:style w:type="paragraph" w:styleId="Predmetkomentra">
    <w:name w:val="annotation subject"/>
    <w:basedOn w:val="Textkomentra"/>
    <w:next w:val="Textkomentra"/>
    <w:link w:val="PredmetkomentraChar"/>
    <w:rsid w:val="00EE1804"/>
    <w:rPr>
      <w:b/>
      <w:bCs/>
    </w:rPr>
  </w:style>
  <w:style w:type="character" w:customStyle="1" w:styleId="PredmetkomentraChar">
    <w:name w:val="Predmet komentára Char"/>
    <w:link w:val="Predmetkomentra"/>
    <w:locked/>
    <w:rsid w:val="00EE1804"/>
    <w:rPr>
      <w:rFonts w:cs="Times New Roman"/>
      <w:b/>
      <w:bCs/>
      <w:sz w:val="20"/>
      <w:szCs w:val="20"/>
    </w:rPr>
  </w:style>
  <w:style w:type="character" w:styleId="Zstupntext">
    <w:name w:val="Placeholder Text"/>
    <w:basedOn w:val="Predvolenpsmoodseku"/>
    <w:uiPriority w:val="99"/>
    <w:semiHidden/>
    <w:rsid w:val="00AA1139"/>
    <w:rPr>
      <w:rFonts w:ascii="Times New Roman" w:hAnsi="Times New Roman"/>
      <w:color w:val="808080"/>
    </w:rPr>
  </w:style>
  <w:style w:type="paragraph" w:styleId="Odsekzoznamu">
    <w:name w:val="List Paragraph"/>
    <w:basedOn w:val="Normlny"/>
    <w:uiPriority w:val="34"/>
    <w:qFormat/>
    <w:rsid w:val="00C72A4D"/>
    <w:pPr>
      <w:spacing w:after="200" w:line="276" w:lineRule="auto"/>
      <w:ind w:left="720"/>
      <w:contextualSpacing/>
    </w:pPr>
    <w:rPr>
      <w:rFonts w:ascii="Calibri" w:eastAsia="Calibri" w:hAnsi="Calibri"/>
      <w:sz w:val="22"/>
      <w:szCs w:val="22"/>
      <w:lang w:val="sk-SK"/>
    </w:rPr>
  </w:style>
  <w:style w:type="paragraph" w:customStyle="1" w:styleId="Default">
    <w:name w:val="Default"/>
    <w:rsid w:val="00814505"/>
    <w:pPr>
      <w:autoSpaceDE w:val="0"/>
      <w:autoSpaceDN w:val="0"/>
      <w:adjustRightInd w:val="0"/>
    </w:pPr>
    <w:rPr>
      <w:rFonts w:ascii="Cambria" w:hAnsi="Cambria" w:cs="Cambria"/>
      <w:color w:val="000000"/>
      <w:sz w:val="24"/>
      <w:szCs w:val="24"/>
      <w:lang w:val="en-US"/>
    </w:rPr>
  </w:style>
  <w:style w:type="character" w:styleId="slostrany">
    <w:name w:val="page number"/>
    <w:uiPriority w:val="99"/>
    <w:rsid w:val="007C3F79"/>
    <w:rPr>
      <w:rFonts w:cs="Times New Roman"/>
    </w:rPr>
  </w:style>
  <w:style w:type="paragraph" w:customStyle="1" w:styleId="p3">
    <w:name w:val="p3"/>
    <w:basedOn w:val="Normlny"/>
    <w:rsid w:val="007C3F79"/>
    <w:pPr>
      <w:jc w:val="both"/>
    </w:pPr>
    <w:rPr>
      <w:rFonts w:eastAsia="Calibri"/>
      <w:sz w:val="17"/>
      <w:szCs w:val="17"/>
      <w:lang w:val="en-GB" w:eastAsia="en-GB"/>
    </w:rPr>
  </w:style>
  <w:style w:type="paragraph" w:customStyle="1" w:styleId="BodyText1">
    <w:name w:val="Body Text1"/>
    <w:qFormat/>
    <w:rsid w:val="007C3F79"/>
    <w:pPr>
      <w:spacing w:after="120"/>
    </w:pPr>
    <w:rPr>
      <w:rFonts w:ascii="Arial" w:hAnsi="Arial" w:cs="Times New Roman"/>
      <w:color w:val="000000"/>
      <w:sz w:val="19"/>
      <w:szCs w:val="48"/>
      <w:lang w:eastAsia="en-US"/>
    </w:rPr>
  </w:style>
  <w:style w:type="paragraph" w:styleId="Normlnywebov">
    <w:name w:val="Normal (Web)"/>
    <w:basedOn w:val="Normlny"/>
    <w:uiPriority w:val="99"/>
    <w:unhideWhenUsed/>
    <w:rsid w:val="007C3F79"/>
    <w:pPr>
      <w:spacing w:before="100" w:beforeAutospacing="1" w:after="100" w:afterAutospacing="1"/>
    </w:pPr>
    <w:rPr>
      <w:rFonts w:eastAsiaTheme="minorEastAsia"/>
    </w:rPr>
  </w:style>
  <w:style w:type="paragraph" w:customStyle="1" w:styleId="Deloittebodytext">
    <w:name w:val="Deloitte body text"/>
    <w:qFormat/>
    <w:rsid w:val="007C3F79"/>
    <w:pPr>
      <w:spacing w:after="240" w:line="280" w:lineRule="exact"/>
      <w:jc w:val="both"/>
    </w:pPr>
    <w:rPr>
      <w:rFonts w:ascii="Arial" w:hAnsi="Arial" w:cs="Times New Roman"/>
      <w:color w:val="000000"/>
      <w:sz w:val="22"/>
      <w:szCs w:val="48"/>
      <w:lang w:eastAsia="en-US"/>
    </w:rPr>
  </w:style>
  <w:style w:type="paragraph" w:customStyle="1" w:styleId="TableColumnheader">
    <w:name w:val="Table Column header"/>
    <w:basedOn w:val="Normlny"/>
    <w:rsid w:val="007C3F79"/>
    <w:pPr>
      <w:spacing w:before="80" w:after="80"/>
    </w:pPr>
    <w:rPr>
      <w:rFonts w:ascii="Arial" w:eastAsia="Times" w:hAnsi="Arial"/>
      <w:b/>
      <w:noProof/>
      <w:color w:val="FFFFFF"/>
      <w:sz w:val="18"/>
    </w:rPr>
  </w:style>
  <w:style w:type="character" w:styleId="Hypertextovprepojenie">
    <w:name w:val="Hyperlink"/>
    <w:basedOn w:val="Predvolenpsmoodseku"/>
    <w:uiPriority w:val="99"/>
    <w:unhideWhenUsed/>
    <w:rsid w:val="007C3F79"/>
    <w:rPr>
      <w:color w:val="0000FF" w:themeColor="hyperlink"/>
      <w:u w:val="single"/>
    </w:rPr>
  </w:style>
  <w:style w:type="character" w:customStyle="1" w:styleId="allowtextselection">
    <w:name w:val="allowtextselection"/>
    <w:basedOn w:val="Predvolenpsmoodseku"/>
    <w:rsid w:val="007C3F79"/>
  </w:style>
  <w:style w:type="character" w:styleId="Siln">
    <w:name w:val="Strong"/>
    <w:basedOn w:val="Predvolenpsmoodseku"/>
    <w:uiPriority w:val="22"/>
    <w:qFormat/>
    <w:locked/>
    <w:rsid w:val="007C3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5280">
      <w:bodyDiv w:val="1"/>
      <w:marLeft w:val="0"/>
      <w:marRight w:val="0"/>
      <w:marTop w:val="0"/>
      <w:marBottom w:val="0"/>
      <w:divBdr>
        <w:top w:val="none" w:sz="0" w:space="0" w:color="auto"/>
        <w:left w:val="none" w:sz="0" w:space="0" w:color="auto"/>
        <w:bottom w:val="none" w:sz="0" w:space="0" w:color="auto"/>
        <w:right w:val="none" w:sz="0" w:space="0" w:color="auto"/>
      </w:divBdr>
    </w:div>
    <w:div w:id="482159792">
      <w:bodyDiv w:val="1"/>
      <w:marLeft w:val="0"/>
      <w:marRight w:val="0"/>
      <w:marTop w:val="0"/>
      <w:marBottom w:val="0"/>
      <w:divBdr>
        <w:top w:val="none" w:sz="0" w:space="0" w:color="auto"/>
        <w:left w:val="none" w:sz="0" w:space="0" w:color="auto"/>
        <w:bottom w:val="none" w:sz="0" w:space="0" w:color="auto"/>
        <w:right w:val="none" w:sz="0" w:space="0" w:color="auto"/>
      </w:divBdr>
    </w:div>
    <w:div w:id="559370147">
      <w:bodyDiv w:val="1"/>
      <w:marLeft w:val="0"/>
      <w:marRight w:val="0"/>
      <w:marTop w:val="0"/>
      <w:marBottom w:val="0"/>
      <w:divBdr>
        <w:top w:val="none" w:sz="0" w:space="0" w:color="auto"/>
        <w:left w:val="none" w:sz="0" w:space="0" w:color="auto"/>
        <w:bottom w:val="none" w:sz="0" w:space="0" w:color="auto"/>
        <w:right w:val="none" w:sz="0" w:space="0" w:color="auto"/>
      </w:divBdr>
    </w:div>
    <w:div w:id="1053770887">
      <w:bodyDiv w:val="1"/>
      <w:marLeft w:val="0"/>
      <w:marRight w:val="0"/>
      <w:marTop w:val="0"/>
      <w:marBottom w:val="0"/>
      <w:divBdr>
        <w:top w:val="none" w:sz="0" w:space="0" w:color="auto"/>
        <w:left w:val="none" w:sz="0" w:space="0" w:color="auto"/>
        <w:bottom w:val="none" w:sz="0" w:space="0" w:color="auto"/>
        <w:right w:val="none" w:sz="0" w:space="0" w:color="auto"/>
      </w:divBdr>
    </w:div>
    <w:div w:id="1244098364">
      <w:bodyDiv w:val="1"/>
      <w:marLeft w:val="0"/>
      <w:marRight w:val="0"/>
      <w:marTop w:val="0"/>
      <w:marBottom w:val="0"/>
      <w:divBdr>
        <w:top w:val="none" w:sz="0" w:space="0" w:color="auto"/>
        <w:left w:val="none" w:sz="0" w:space="0" w:color="auto"/>
        <w:bottom w:val="none" w:sz="0" w:space="0" w:color="auto"/>
        <w:right w:val="none" w:sz="0" w:space="0" w:color="auto"/>
      </w:divBdr>
      <w:divsChild>
        <w:div w:id="1709529123">
          <w:marLeft w:val="0"/>
          <w:marRight w:val="0"/>
          <w:marTop w:val="0"/>
          <w:marBottom w:val="0"/>
          <w:divBdr>
            <w:top w:val="none" w:sz="0" w:space="0" w:color="auto"/>
            <w:left w:val="none" w:sz="0" w:space="0" w:color="auto"/>
            <w:bottom w:val="none" w:sz="0" w:space="0" w:color="auto"/>
            <w:right w:val="none" w:sz="0" w:space="0" w:color="auto"/>
          </w:divBdr>
        </w:div>
        <w:div w:id="130569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lov-lex.sk/legislativne-procesy/SK/PI/2018/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government@vicepremier.gov.s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leoff.gov.sk/zoznam-podnik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AD2D4-EFAD-422A-A681-3CAD2889B971}">
  <ds:schemaRefs>
    <ds:schemaRef ds:uri="http://schemas.microsoft.com/office/2006/metadata/properties"/>
  </ds:schemaRefs>
</ds:datastoreItem>
</file>

<file path=customXml/itemProps2.xml><?xml version="1.0" encoding="utf-8"?>
<ds:datastoreItem xmlns:ds="http://schemas.openxmlformats.org/officeDocument/2006/customXml" ds:itemID="{10DB6379-5FBC-4014-A037-2506D34C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DA74A2-4BC1-490A-BA1B-39139202E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9737</Words>
  <Characters>55507</Characters>
  <Application>Microsoft Office Word</Application>
  <DocSecurity>0</DocSecurity>
  <Lines>462</Lines>
  <Paragraphs>130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DÔVODOVÁ SPRÁVA</vt:lpstr>
      <vt:lpstr>DÔVODOVÁ SPRÁVA</vt:lpstr>
    </vt:vector>
  </TitlesOfParts>
  <LinksUpToDate>false</LinksUpToDate>
  <CharactersWithSpaces>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
  <cp:lastModifiedBy/>
  <cp:revision>1</cp:revision>
  <dcterms:created xsi:type="dcterms:W3CDTF">2019-04-17T09:01:00Z</dcterms:created>
  <dcterms:modified xsi:type="dcterms:W3CDTF">2019-04-17T12:50:00Z</dcterms:modified>
</cp:coreProperties>
</file>