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253C" w:rsidP="003E253C">
      <w:pPr>
        <w:keepNext/>
        <w:keepLines/>
        <w:widowControl w:val="0"/>
        <w:bidi w:val="0"/>
        <w:spacing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520A2" w:rsidR="0039426C">
        <w:rPr>
          <w:rFonts w:ascii="Times New Roman" w:hAnsi="Times New Roman"/>
          <w:b/>
          <w:bCs/>
          <w:caps/>
          <w:sz w:val="24"/>
          <w:szCs w:val="24"/>
        </w:rPr>
        <w:t>T a b u ľ k a   z h o d y</w:t>
      </w:r>
    </w:p>
    <w:p w:rsidR="0039426C" w:rsidRPr="003E253C" w:rsidP="00B8569E">
      <w:pPr>
        <w:keepNext/>
        <w:keepLines/>
        <w:widowControl w:val="0"/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E253C" w:rsidR="003E253C">
        <w:rPr>
          <w:rFonts w:ascii="Times New Roman" w:hAnsi="Times New Roman"/>
          <w:b/>
          <w:sz w:val="24"/>
          <w:szCs w:val="24"/>
        </w:rPr>
        <w:t xml:space="preserve">k návrhu zákona, ktorým sa mení a dopĺňa zákon č. 218/2013 Z.z. o núdzových zásobách ropy a ropných výrobkov a o riešení stavu ropnej núdze a o zmene a doplnení niektorých </w:t>
      </w:r>
      <w:r w:rsidRPr="00B8569E" w:rsidR="003E253C">
        <w:rPr>
          <w:rFonts w:ascii="Times New Roman" w:hAnsi="Times New Roman"/>
          <w:b/>
          <w:sz w:val="24"/>
          <w:szCs w:val="24"/>
        </w:rPr>
        <w:t>zákonov</w:t>
      </w:r>
    </w:p>
    <w:p w:rsidR="0039426C" w:rsidRPr="007520A2" w:rsidP="0039426C">
      <w:pPr>
        <w:pStyle w:val="Header"/>
        <w:keepNext/>
        <w:keepLines/>
        <w:widowControl w:val="0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tbl>
      <w:tblPr>
        <w:tblStyle w:val="TableNormal"/>
        <w:tblW w:w="15944" w:type="dxa"/>
        <w:tblInd w:w="-2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4"/>
        <w:gridCol w:w="5040"/>
        <w:gridCol w:w="1170"/>
        <w:gridCol w:w="900"/>
        <w:gridCol w:w="900"/>
        <w:gridCol w:w="4770"/>
        <w:gridCol w:w="720"/>
        <w:gridCol w:w="1440"/>
      </w:tblGrid>
      <w:tr>
        <w:tblPrEx>
          <w:tblW w:w="15944" w:type="dxa"/>
          <w:tblInd w:w="-214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78"/>
          <w:tblHeader/>
        </w:trPr>
        <w:tc>
          <w:tcPr>
            <w:tcW w:w="7214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F43998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b/>
              </w:rPr>
            </w:pPr>
            <w:r w:rsidRPr="003D5BF0" w:rsidR="003D5BF0">
              <w:rPr>
                <w:rFonts w:ascii="Times New Roman" w:hAnsi="Times New Roman"/>
                <w:b/>
                <w:color w:val="000000"/>
              </w:rPr>
              <w:t>Vykonávacia smernica Komisie (EÚ) 2018/1581 z 19. októbra 2018, ktorou sa mení smernica Rady 2009/119/ES, pokiaľ ide o metódy výpočtu povinností udržiavať zásoby (Ú. v. EÚ L 263, 22.10.2018)</w:t>
            </w:r>
          </w:p>
        </w:tc>
        <w:tc>
          <w:tcPr>
            <w:tcW w:w="8730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textDirection w:val="lrTb"/>
            <w:vAlign w:val="top"/>
          </w:tcPr>
          <w:p w:rsidR="00AD4623" w:rsidP="00B8569E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  <w:b/>
              </w:rPr>
            </w:pPr>
            <w:r w:rsidRPr="00A51974" w:rsidR="00A51974">
              <w:rPr>
                <w:rFonts w:ascii="Times New Roman" w:hAnsi="Times New Roman"/>
                <w:b/>
              </w:rPr>
              <w:t>1.</w:t>
            </w:r>
            <w:r w:rsidR="00A51974">
              <w:rPr>
                <w:rFonts w:ascii="Times New Roman" w:hAnsi="Times New Roman"/>
                <w:b/>
              </w:rPr>
              <w:t xml:space="preserve"> </w:t>
            </w:r>
            <w:r w:rsidR="00F609FC">
              <w:rPr>
                <w:rFonts w:ascii="Times New Roman" w:hAnsi="Times New Roman"/>
                <w:b/>
              </w:rPr>
              <w:t>Z</w:t>
            </w:r>
            <w:r w:rsidRPr="00F43998" w:rsidR="00F43998">
              <w:rPr>
                <w:rFonts w:ascii="Times New Roman" w:hAnsi="Times New Roman"/>
                <w:b/>
              </w:rPr>
              <w:t>ákon č. 218/2013 Z.z. o núdzových zásobách ropy a ropných výrobkov a o riešení stavu ropnej núdze a o zmene a doplnení niektorých zákonov</w:t>
            </w:r>
          </w:p>
          <w:p w:rsidR="009566E8" w:rsidP="009566E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  <w:b/>
              </w:rPr>
            </w:pPr>
            <w:r w:rsidR="00A51974">
              <w:rPr>
                <w:rFonts w:ascii="Times New Roman" w:hAnsi="Times New Roman"/>
                <w:b/>
              </w:rPr>
              <w:t xml:space="preserve">2. </w:t>
            </w:r>
            <w:r w:rsidR="00AD4623">
              <w:rPr>
                <w:rFonts w:ascii="Times New Roman" w:hAnsi="Times New Roman"/>
                <w:b/>
              </w:rPr>
              <w:t>Návrh</w:t>
            </w:r>
            <w:r w:rsidRPr="00F43998" w:rsidR="00F609FC">
              <w:rPr>
                <w:rFonts w:ascii="Times New Roman" w:hAnsi="Times New Roman"/>
                <w:b/>
              </w:rPr>
              <w:t xml:space="preserve"> zákona, ktorým sa mení a dopĺňa</w:t>
            </w:r>
            <w:r w:rsidR="00F609FC">
              <w:rPr>
                <w:rFonts w:ascii="Times New Roman" w:hAnsi="Times New Roman"/>
                <w:b/>
              </w:rPr>
              <w:t xml:space="preserve"> z</w:t>
            </w:r>
            <w:r w:rsidRPr="00F43998" w:rsidR="00F609FC">
              <w:rPr>
                <w:rFonts w:ascii="Times New Roman" w:hAnsi="Times New Roman"/>
                <w:b/>
              </w:rPr>
              <w:t xml:space="preserve">ákon č. 218/2013 Z.z. o núdzových zásobách ropy a ropných výrobkov a o riešení stavu ropnej núdze a o zmene a doplnení niektorých </w:t>
            </w:r>
            <w:r w:rsidRPr="00B8569E" w:rsidR="00F609FC">
              <w:rPr>
                <w:rFonts w:ascii="Times New Roman" w:hAnsi="Times New Roman"/>
                <w:b/>
              </w:rPr>
              <w:t>zákonov</w:t>
            </w:r>
            <w:r w:rsidRPr="00B8569E" w:rsidR="00B8569E">
              <w:rPr>
                <w:rFonts w:ascii="Times New Roman" w:hAnsi="Times New Roman"/>
                <w:b/>
              </w:rPr>
              <w:t xml:space="preserve"> </w:t>
            </w:r>
          </w:p>
          <w:p w:rsidR="00261020" w:rsidRPr="007520A2" w:rsidP="009566E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="00A51974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 xml:space="preserve">Zákon č. 575/2001 Z.z. </w:t>
            </w:r>
            <w:r w:rsidRPr="00261020">
              <w:rPr>
                <w:rFonts w:ascii="Times New Roman" w:hAnsi="Times New Roman"/>
                <w:b/>
              </w:rPr>
              <w:t>o organizácii činnosti vlády a organizácii ústrednej štátnej správy</w:t>
            </w:r>
            <w:r>
              <w:rPr>
                <w:rFonts w:ascii="Times New Roman" w:hAnsi="Times New Roman"/>
                <w:b/>
              </w:rPr>
              <w:t xml:space="preserve"> v znení neskorších predpisov</w:t>
            </w: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20"/>
          <w:tblHeader/>
        </w:trPr>
        <w:tc>
          <w:tcPr>
            <w:tcW w:w="100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bCs/>
              </w:rPr>
            </w:pPr>
            <w:r w:rsidRPr="00336DE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bCs/>
              </w:rPr>
            </w:pPr>
            <w:r w:rsidRPr="00336DE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bCs/>
              </w:rPr>
            </w:pPr>
            <w:r w:rsidRPr="00336DE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caps/>
              </w:rPr>
            </w:pPr>
            <w:r w:rsidRPr="00336DE3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caps/>
              </w:rPr>
            </w:pPr>
            <w:r w:rsidRPr="00336DE3"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caps/>
              </w:rPr>
            </w:pPr>
            <w:r w:rsidRPr="00336DE3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caps/>
              </w:rPr>
            </w:pPr>
            <w:r w:rsidRPr="00336DE3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  <w:bCs/>
                <w:caps/>
              </w:rPr>
            </w:pPr>
            <w:r w:rsidRPr="00336DE3">
              <w:rPr>
                <w:rFonts w:ascii="Times New Roman" w:hAnsi="Times New Roman"/>
                <w:bCs/>
                <w:caps/>
              </w:rPr>
              <w:t>8</w:t>
            </w: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69"/>
          <w:tblHeader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  <w:b/>
                <w:bCs/>
              </w:rPr>
            </w:pPr>
          </w:p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Článok(Č, O, V, P)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Text</w:t>
            </w:r>
          </w:p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 Spôsob  transpozície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 Číslo</w:t>
            </w:r>
            <w:r w:rsidRPr="00336DE3" w:rsidR="00F46E6D">
              <w:rPr>
                <w:rFonts w:ascii="Times New Roman" w:hAnsi="Times New Roman"/>
              </w:rPr>
              <w:t xml:space="preserve"> predpisu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Článok(Č,</w:t>
            </w:r>
            <w:r w:rsidRPr="00336DE3" w:rsidR="00D11F4D">
              <w:rPr>
                <w:rFonts w:ascii="Times New Roman" w:hAnsi="Times New Roman"/>
              </w:rPr>
              <w:t xml:space="preserve"> §,</w:t>
            </w:r>
            <w:r w:rsidRPr="00336DE3">
              <w:rPr>
                <w:rFonts w:ascii="Times New Roman" w:hAnsi="Times New Roman"/>
              </w:rPr>
              <w:t xml:space="preserve"> O, V, P)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jc w:val="center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Text</w:t>
            </w:r>
          </w:p>
          <w:p w:rsidR="0039426C" w:rsidRPr="00336DE3" w:rsidP="00467BFB">
            <w:pPr>
              <w:pStyle w:val="Textodstavce"/>
              <w:keepNext/>
              <w:keepLines/>
              <w:widowControl w:val="0"/>
              <w:bidi w:val="0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 Zhoda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textDirection w:val="lrTb"/>
            <w:vAlign w:val="top"/>
          </w:tcPr>
          <w:p w:rsidR="00D11F4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39426C">
              <w:rPr>
                <w:rFonts w:ascii="Times New Roman" w:hAnsi="Times New Roman"/>
              </w:rPr>
              <w:t xml:space="preserve"> 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69"/>
        </w:trPr>
        <w:tc>
          <w:tcPr>
            <w:tcW w:w="1004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  <w:bCs/>
              </w:rPr>
            </w:pPr>
            <w:r w:rsidRPr="00336DE3" w:rsidR="008F08C4">
              <w:rPr>
                <w:rFonts w:ascii="Times New Roman" w:hAnsi="Times New Roman"/>
                <w:bCs/>
              </w:rPr>
              <w:t>Č:1</w:t>
            </w:r>
          </w:p>
          <w:p w:rsidR="007F67E6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  <w:bCs/>
              </w:rPr>
            </w:pPr>
            <w:r w:rsidRPr="00336DE3">
              <w:rPr>
                <w:rFonts w:ascii="Times New Roman" w:hAnsi="Times New Roman"/>
                <w:bCs/>
              </w:rPr>
              <w:t>O:1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39426C" w:rsidRPr="00336DE3" w:rsidP="004B1881">
            <w:pPr>
              <w:pStyle w:val="tlCM4TimesNewRoman10pt"/>
              <w:bidi w:val="0"/>
              <w:rPr>
                <w:rFonts w:ascii="Times New Roman" w:hAnsi="Times New Roman"/>
                <w:szCs w:val="20"/>
              </w:rPr>
            </w:pPr>
            <w:r w:rsidRPr="00336DE3" w:rsidR="007F67E6">
              <w:rPr>
                <w:rFonts w:ascii="Times New Roman" w:hAnsi="Times New Roman"/>
                <w:szCs w:val="20"/>
              </w:rPr>
              <w:t>Smernica 2009/119/ES sa mení takto:</w:t>
            </w:r>
          </w:p>
          <w:p w:rsidR="007F67E6" w:rsidRPr="00336DE3" w:rsidP="004B1881">
            <w:pPr>
              <w:pStyle w:val="tlCM4TimesNewRoman10pt"/>
              <w:bidi w:val="0"/>
              <w:rPr>
                <w:rFonts w:ascii="Times New Roman" w:hAnsi="Times New Roman"/>
                <w:szCs w:val="20"/>
              </w:rPr>
            </w:pPr>
            <w:r w:rsidRPr="00336DE3">
              <w:rPr>
                <w:rFonts w:ascii="Times New Roman" w:hAnsi="Times New Roman"/>
                <w:szCs w:val="20"/>
              </w:rPr>
              <w:t>V článku 2 sa písmeno i) nahrádza takto: „i) „ropné zásoby“ sú zásoby energetických výrobkov uvedených v kapitole 3.4 prílohy A k nariadeniu (ES) č. 1099/2008.“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2979F8" w:rsidRPr="00336DE3" w:rsidP="002979F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N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2979F8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2979F8" w:rsidRPr="00336DE3" w:rsidP="002979F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2979F8" w:rsidRPr="00336DE3" w:rsidP="002979F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§:2</w:t>
            </w:r>
          </w:p>
          <w:p w:rsidR="002979F8" w:rsidRPr="00336DE3" w:rsidP="002979F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P:b</w:t>
            </w:r>
          </w:p>
          <w:p w:rsidR="0039426C" w:rsidRPr="00336DE3" w:rsidP="00467BFB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39426C" w:rsidRPr="00336DE3" w:rsidP="002979F8">
            <w:pPr>
              <w:pStyle w:val="Textodstavce"/>
              <w:keepNext/>
              <w:keepLines/>
              <w:widowControl w:val="0"/>
              <w:bidi w:val="0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6DE3" w:rsidR="002979F8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2979F8" w:rsidRPr="00336DE3" w:rsidP="00336DE3">
            <w:pPr>
              <w:bidi w:val="0"/>
              <w:adjustRightInd w:val="0"/>
              <w:rPr>
                <w:rFonts w:ascii="Times New Roman" w:hAnsi="Times New Roman"/>
                <w:color w:val="231F20"/>
                <w:lang w:eastAsia="en-GB"/>
              </w:rPr>
            </w:pPr>
            <w:r w:rsidRPr="00336DE3">
              <w:rPr>
                <w:rFonts w:ascii="Times New Roman" w:hAnsi="Times New Roman"/>
                <w:color w:val="231F20"/>
                <w:lang w:eastAsia="en-GB"/>
              </w:rPr>
              <w:t>b) ropnými výrobkami výrobky z ropy uvedené v</w:t>
            </w:r>
            <w:r w:rsidR="00336DE3">
              <w:rPr>
                <w:rFonts w:ascii="Times New Roman" w:hAnsi="Times New Roman"/>
                <w:color w:val="231F20"/>
                <w:lang w:eastAsia="en-GB"/>
              </w:rPr>
              <w:t> </w:t>
            </w:r>
            <w:r w:rsidRPr="00336DE3">
              <w:rPr>
                <w:rFonts w:ascii="Times New Roman" w:hAnsi="Times New Roman"/>
                <w:color w:val="231F20"/>
                <w:lang w:eastAsia="en-GB"/>
              </w:rPr>
              <w:t>osobitnom</w:t>
            </w:r>
            <w:r w:rsidR="00336DE3">
              <w:rPr>
                <w:rFonts w:ascii="Times New Roman" w:hAnsi="Times New Roman"/>
                <w:color w:val="231F20"/>
                <w:lang w:eastAsia="en-GB"/>
              </w:rPr>
              <w:t xml:space="preserve"> </w:t>
            </w:r>
            <w:r w:rsidRPr="00336DE3">
              <w:rPr>
                <w:rFonts w:ascii="Times New Roman" w:hAnsi="Times New Roman"/>
                <w:color w:val="231F20"/>
                <w:lang w:eastAsia="en-GB"/>
              </w:rPr>
              <w:t>predpise,</w:t>
            </w:r>
            <w:r>
              <w:rPr>
                <w:rStyle w:val="FootnoteReference"/>
                <w:rFonts w:ascii="Times New Roman" w:hAnsi="Times New Roman"/>
                <w:color w:val="231F20"/>
                <w:rtl w:val="0"/>
              </w:rPr>
              <w:footnoteReference w:id="2"/>
            </w:r>
            <w:r w:rsidRPr="00336DE3" w:rsidR="009414CF">
              <w:rPr>
                <w:rFonts w:ascii="Times New Roman" w:hAnsi="Times New Roman"/>
                <w:color w:val="231F20"/>
                <w:lang w:eastAsia="en-GB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27466F" w:rsidRPr="00336DE3" w:rsidP="0027466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Ú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textDirection w:val="lrTb"/>
            <w:vAlign w:val="top"/>
          </w:tcPr>
          <w:p w:rsidR="0039426C" w:rsidRPr="00336DE3" w:rsidP="0027466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2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F92932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814FC3">
              <w:rPr>
                <w:rFonts w:ascii="Times New Roman" w:hAnsi="Times New Roman"/>
              </w:rPr>
              <w:t>Č:1</w:t>
            </w:r>
          </w:p>
          <w:p w:rsidR="00814FC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O:2</w:t>
            </w:r>
          </w:p>
          <w:p w:rsidR="00D11388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D11388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D11388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D11388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95C13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D11388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F04234" w:rsidRPr="00336DE3" w:rsidP="0008096B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F609FC">
              <w:rPr>
                <w:rFonts w:ascii="Times New Roman" w:hAnsi="Times New Roman"/>
              </w:rPr>
              <w:t>Smernica 2009/119/ES sa mení takto:</w:t>
            </w:r>
          </w:p>
          <w:p w:rsidR="00F609FC" w:rsidRPr="00336DE3" w:rsidP="0008096B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V článku 3 sa odsek 3 sa nahrádza takto: „3.Bez ohľadu na odsek 2 sa však, čo sa týka obdobia od 1. januára do 30. júna každého kalendárneho roku, denné priemery čistého dovozu a domácej spotreby uvedené v odseku 2 určujú na základe množstiev dovezených a spotrebovaných v predposlednom kalendárnom roku pred príslušným kalendárnym rokom.“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46177F" w:rsidRPr="00336DE3" w:rsidP="0046177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F609FC">
              <w:rPr>
                <w:rFonts w:ascii="Times New Roman" w:hAnsi="Times New Roman"/>
              </w:rPr>
              <w:t>N</w:t>
            </w:r>
          </w:p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extDirection w:val="lrTb"/>
            <w:vAlign w:val="top"/>
          </w:tcPr>
          <w:p w:rsidR="0039426C" w:rsidRPr="00336DE3" w:rsidP="0046177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811CB8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extDirection w:val="lrTb"/>
            <w:vAlign w:val="top"/>
          </w:tcPr>
          <w:p w:rsidR="00195C13" w:rsidRPr="00336DE3" w:rsidP="0082796C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82796C" w:rsidRPr="00336DE3" w:rsidP="0082796C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4350FF">
              <w:rPr>
                <w:rFonts w:ascii="Times New Roman" w:hAnsi="Times New Roman"/>
              </w:rPr>
              <w:t>§:</w:t>
            </w:r>
            <w:r w:rsidRPr="00336DE3" w:rsidR="00F609FC">
              <w:rPr>
                <w:rFonts w:ascii="Times New Roman" w:hAnsi="Times New Roman"/>
              </w:rPr>
              <w:t>7</w:t>
            </w:r>
          </w:p>
          <w:p w:rsidR="00F609FC" w:rsidRPr="00336DE3" w:rsidP="0082796C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O:1</w:t>
            </w:r>
          </w:p>
          <w:p w:rsidR="00F609FC" w:rsidRPr="00336DE3" w:rsidP="0082796C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653AEF" w:rsidRPr="00336DE3" w:rsidP="00336DE3">
            <w:pPr>
              <w:bidi w:val="0"/>
              <w:jc w:val="both"/>
              <w:rPr>
                <w:rFonts w:ascii="Times New Roman" w:hAnsi="Times New Roman"/>
              </w:rPr>
            </w:pPr>
            <w:r w:rsidRPr="00336DE3" w:rsidR="00195C13">
              <w:rPr>
                <w:rFonts w:ascii="Times New Roman" w:hAnsi="Times New Roman"/>
              </w:rPr>
              <w:t>Minimálny limit núdzových zásob na príslušný rok začína platiť 1. júla na obdobie nasledujúcich 12 kalendárnych mesiacov a predstavuje množstvo núdzových zásob, ktoré zodpovedá 90 dňom priemerného denného čistého dovozu ropy a ropných výrobkov za kalendárny rok predchádzajúci začiatku platnosti minimálneho limitu alebo 61 dňom priemernej dennej domácej spotreby, podľa toho, ktorá z hodnôt je vyššia. Priemerný denný čistý dovoz sa vypočíta na základe ropného ekvivalentu dovozu v predchádzajúcom kalendárnom roku, ktorý sa určuje podľa prílohy č. 3. Priemerná denná domáca spotreba sa vypočíta na základe ropného ekvivalentu domácej spotreby v predchádzajúcom kalendárnom roku, ktorý sa určuje podľa prílohy č. 4.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46177F" w:rsidRPr="00336DE3" w:rsidP="0046177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195C13">
              <w:rPr>
                <w:rFonts w:ascii="Times New Roman" w:hAnsi="Times New Roman"/>
              </w:rPr>
              <w:t>Ú</w:t>
            </w:r>
          </w:p>
          <w:p w:rsidR="00326E1B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double" w:sz="6" w:space="0" w:color="000000"/>
            </w:tcBorders>
            <w:textDirection w:val="lrTb"/>
            <w:vAlign w:val="top"/>
          </w:tcPr>
          <w:p w:rsidR="0039426C" w:rsidRPr="00336DE3" w:rsidP="00467BFB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39426C" w:rsidRPr="00336DE3" w:rsidP="00467BFB">
            <w:pPr>
              <w:pStyle w:val="BodyText"/>
              <w:keepNext/>
              <w:keepLines/>
              <w:widowControl w:val="0"/>
              <w:bidi w:val="0"/>
              <w:jc w:val="left"/>
              <w:rPr>
                <w:rFonts w:ascii="Times New Roman" w:hAnsi="Times New Roman"/>
              </w:rPr>
            </w:pPr>
          </w:p>
        </w:tc>
      </w:tr>
    </w:tbl>
    <w:p w:rsidR="0054733F" w:rsidRPr="00336DE3" w:rsidP="00695AB7">
      <w:pPr>
        <w:pStyle w:val="BodyText"/>
        <w:keepNext/>
        <w:keepLines/>
        <w:widowControl w:val="0"/>
        <w:bidi w:val="0"/>
        <w:rPr>
          <w:rFonts w:ascii="Times New Roman" w:hAnsi="Times New Roman"/>
        </w:rPr>
        <w:sectPr w:rsidSect="007F45A3">
          <w:footerReference w:type="default" r:id="rId6"/>
          <w:footerReference w:type="first" r:id="rId7"/>
          <w:footnotePr>
            <w:numStart w:val="3"/>
          </w:footnotePr>
          <w:pgSz w:w="16840" w:h="11907" w:orient="landscape" w:code="9"/>
          <w:pgMar w:top="851" w:right="0" w:bottom="709" w:left="992" w:header="709" w:footer="709" w:gutter="0"/>
          <w:lnNumType w:distance="0"/>
          <w:cols w:space="709"/>
          <w:noEndnote w:val="0"/>
          <w:bidi w:val="0"/>
          <w:docGrid w:linePitch="272"/>
        </w:sectPr>
      </w:pPr>
    </w:p>
    <w:p w:rsidR="0054733F" w:rsidRPr="00336DE3" w:rsidP="00695AB7">
      <w:pPr>
        <w:pStyle w:val="BodyText"/>
        <w:keepNext/>
        <w:keepLines/>
        <w:widowControl w:val="0"/>
        <w:bidi w:val="0"/>
        <w:rPr>
          <w:rFonts w:ascii="Times New Roman" w:hAnsi="Times New Roman"/>
        </w:rPr>
        <w:sectPr w:rsidSect="0054733F">
          <w:footnotePr>
            <w:numStart w:val="3"/>
          </w:footnotePr>
          <w:type w:val="continuous"/>
          <w:pgSz w:w="16840" w:h="11907" w:orient="landscape" w:code="9"/>
          <w:pgMar w:top="851" w:right="0" w:bottom="709" w:left="992" w:header="709" w:footer="709" w:gutter="0"/>
          <w:lnNumType w:distance="0"/>
          <w:cols w:space="709"/>
          <w:noEndnote w:val="0"/>
          <w:bidi w:val="0"/>
          <w:docGrid w:linePitch="272"/>
        </w:sectPr>
      </w:pPr>
    </w:p>
    <w:tbl>
      <w:tblPr>
        <w:tblStyle w:val="TableNormal"/>
        <w:tblW w:w="15944" w:type="dxa"/>
        <w:tblInd w:w="-2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4"/>
        <w:gridCol w:w="5040"/>
        <w:gridCol w:w="1170"/>
        <w:gridCol w:w="900"/>
        <w:gridCol w:w="900"/>
        <w:gridCol w:w="4770"/>
        <w:gridCol w:w="720"/>
        <w:gridCol w:w="1440"/>
      </w:tblGrid>
      <w:tr>
        <w:tblPrEx>
          <w:tblW w:w="15944" w:type="dxa"/>
          <w:tblInd w:w="-214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9"/>
        </w:trPr>
        <w:tc>
          <w:tcPr>
            <w:tcW w:w="1004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695AB7" w:rsidRPr="00336DE3" w:rsidP="00695AB7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695AB7" w:rsidRPr="00336DE3" w:rsidP="00695AB7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O:3</w:t>
            </w:r>
          </w:p>
          <w:p w:rsidR="004B6B7D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695AB7" w:rsidRPr="00336DE3" w:rsidP="00695AB7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82215D" w:rsidRPr="00336DE3" w:rsidP="00363080">
            <w:pPr>
              <w:bidi w:val="0"/>
              <w:adjustRightInd w:val="0"/>
              <w:rPr>
                <w:rFonts w:ascii="Times New Roman" w:eastAsia="EUAlbertina-Regu-Identity-H" w:hAnsi="Times New Roman"/>
              </w:rPr>
            </w:pPr>
            <w:r w:rsidRPr="00336DE3" w:rsidR="00695AB7">
              <w:rPr>
                <w:rFonts w:ascii="Times New Roman" w:hAnsi="Times New Roman"/>
              </w:rPr>
              <w:t>V článku 6 ods. 1 sa druhá veta nahrádza takto: „Táto evidencia obsahuje najmä informácie na presné určenie skladiska, rafinérie alebo skladovacieho zariadenia, kde sa dané zásoby nachádzajú, ako aj príslušné množstvá, vlastníka zásob a ich druh odkazom na kategórie uvedené v kapitole 3.4 prílohy A k nariadeniu (ES) č. 1099/2008.“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695AB7" w:rsidRPr="00336DE3" w:rsidP="00695AB7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811CB8">
              <w:rPr>
                <w:rFonts w:ascii="Times New Roman" w:hAnsi="Times New Roman"/>
              </w:rPr>
              <w:t>N</w:t>
            </w:r>
          </w:p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nil"/>
              <w:right w:val="single" w:sz="4" w:space="0" w:color="auto"/>
            </w:tcBorders>
            <w:textDirection w:val="lrTb"/>
            <w:vAlign w:val="top"/>
          </w:tcPr>
          <w:p w:rsidR="0082215D" w:rsidRPr="00336DE3" w:rsidP="006117A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811CB8">
              <w:rPr>
                <w:rFonts w:ascii="Times New Roman" w:hAnsi="Times New Roman"/>
              </w:rPr>
              <w:t>Zákon č. 218/2013 Z.z.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4" w:space="0" w:color="auto"/>
              <w:bottom w:val="nil"/>
              <w:right w:val="single" w:sz="6" w:space="0" w:color="000000"/>
            </w:tcBorders>
            <w:textDirection w:val="lrTb"/>
            <w:vAlign w:val="top"/>
          </w:tcPr>
          <w:p w:rsidR="00811CB8" w:rsidRPr="00336DE3" w:rsidP="00811CB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811CB8" w:rsidRPr="00336DE3" w:rsidP="00811CB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§:21</w:t>
            </w:r>
          </w:p>
          <w:p w:rsidR="00811CB8" w:rsidRPr="00336DE3" w:rsidP="00811CB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O:6</w:t>
            </w:r>
          </w:p>
          <w:p w:rsidR="00811CB8" w:rsidRPr="00336DE3" w:rsidP="00811CB8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V:2</w:t>
            </w:r>
          </w:p>
          <w:p w:rsidR="00B93AFE" w:rsidRPr="00336DE3" w:rsidP="00695AB7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C21F03" w:rsidRPr="00336DE3" w:rsidP="0054733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 w:rsidR="0000708A">
              <w:rPr>
                <w:rFonts w:ascii="Times New Roman" w:hAnsi="Times New Roman"/>
              </w:rPr>
              <w:t>Táto evidencia obsahuje najmä informácie potrebné na presné určenie miesta uskladnenia núdzových zásob alebo skladovacieho zariadenia núdzových zásob, vlastníka, množstva a druhu núdzových zásob s uvedením kategórie núdzových zásob podľa osobitného predpisu.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3"/>
              <w:t xml:space="preserve">2</w:t>
            </w:r>
            <w:r w:rsidRPr="00336DE3" w:rsidR="0054733F">
              <w:rPr>
                <w:rStyle w:val="FootnoteReference"/>
                <w:rFonts w:ascii="Times New Roman" w:hAnsi="Times New Roman"/>
              </w:rPr>
              <w:t>9</w:t>
            </w:r>
            <w:r w:rsidRPr="00336DE3" w:rsidR="0054733F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00708A" w:rsidRPr="00336DE3" w:rsidP="0000708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Ú</w:t>
            </w:r>
          </w:p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uble" w:sz="6" w:space="0" w:color="000000"/>
              <w:left w:val="single" w:sz="4" w:space="0" w:color="auto"/>
              <w:bottom w:val="nil"/>
              <w:right w:val="double" w:sz="6" w:space="0" w:color="000000"/>
            </w:tcBorders>
            <w:textDirection w:val="lrTb"/>
            <w:vAlign w:val="top"/>
          </w:tcPr>
          <w:p w:rsidR="0082215D" w:rsidRPr="00336DE3" w:rsidP="00336DE3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4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EA42B1" w:rsidRPr="00336DE3" w:rsidP="00EA42B1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EA42B1" w:rsidRPr="00336DE3" w:rsidP="00EA42B1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O:4</w:t>
            </w:r>
          </w:p>
          <w:p w:rsidR="0008324D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EA42B1" w:rsidRPr="00336DE3" w:rsidP="00467BFB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EA42B1" w:rsidRPr="00336DE3" w:rsidP="00EA42B1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82215D" w:rsidRPr="00336DE3" w:rsidP="00363080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EA42B1">
              <w:rPr>
                <w:rFonts w:ascii="Times New Roman" w:hAnsi="Times New Roman"/>
              </w:rPr>
              <w:t>V článku 9 ods. 2 sa prvá veta nahrádza takto: „2.Osobitné zásoby môže tvoriť len jedna alebo viacero kategórií nasledujúcich výrobkov, ktoré sú vymedzené v kapitole 3.4 prílohy A k nariadeniu (ES) č. 1099/2008:“.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EA42B1" w:rsidRPr="00336DE3" w:rsidP="00EA42B1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3E74EF">
              <w:rPr>
                <w:rFonts w:ascii="Times New Roman" w:hAnsi="Times New Roman"/>
              </w:rPr>
              <w:t>N</w:t>
            </w:r>
          </w:p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extDirection w:val="lrTb"/>
            <w:vAlign w:val="top"/>
          </w:tcPr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3E74EF">
              <w:rPr>
                <w:rFonts w:ascii="Times New Roman" w:hAnsi="Times New Roman"/>
              </w:rPr>
              <w:t>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extDirection w:val="lrTb"/>
            <w:vAlign w:val="top"/>
          </w:tcPr>
          <w:p w:rsidR="003E74EF" w:rsidRPr="00336DE3" w:rsidP="003E74E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3E74EF" w:rsidRPr="00336DE3" w:rsidP="003E74E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§:</w:t>
            </w:r>
            <w:r>
              <w:rPr>
                <w:rFonts w:ascii="Times New Roman" w:hAnsi="Times New Roman"/>
              </w:rPr>
              <w:t>12</w:t>
            </w:r>
          </w:p>
          <w:p w:rsidR="003E74EF" w:rsidRPr="00336DE3" w:rsidP="003E74E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3E74EF" w:rsidRPr="00336DE3" w:rsidP="003E74E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V:1</w:t>
            </w:r>
          </w:p>
          <w:p w:rsidR="0082215D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52560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152560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82215D" w:rsidP="003E74E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="003E74EF">
              <w:rPr>
                <w:rFonts w:ascii="Times New Roman" w:hAnsi="Times New Roman"/>
              </w:rPr>
              <w:t>Správa rezerv môže rozhodnúť, že agentúra bude počas najmenej jedného roka udržiavať osobitné zásoby vo forme ropných výrobkov podľa prílohy č. 2 v minimálnom limite vypočítanom podľa prílohy č. 4 na základe počtu dní priemernej dennej domácej spotreby.</w:t>
            </w:r>
          </w:p>
          <w:p w:rsidR="00152560" w:rsidP="003E74E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152560" w:rsidP="00152560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osobitných zásob</w:t>
            </w:r>
            <w:r w:rsidR="00FE5E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možno zaradiť ropné výrobky patriace do jednej alebo do viacerých z nasledujúcich kategórií:</w:t>
            </w:r>
          </w:p>
          <w:p w:rsidR="00152560" w:rsidRPr="00336DE3" w:rsidP="00152560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etán, skvapalnený ropný plyn (LPG), automobilový benzín, letecký benzín, tryskové palivo benzínového typu (na báze ťažkého benzínu alebo JP4), letecký petrolej, ostatný petrolej, plynový olej/nafta (destilovaný vykurovací olej), ťažký vykurovací olej (s nízkym aj vysokým obsahom síry), lakový benzín, lubrikanty (mazivá), bitúmen, parafínové vosky, ropný koks.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4"/>
              <w:t xml:space="preserve">3</w:t>
            </w:r>
            <w:r w:rsidR="005C05F8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3E74EF" w:rsidRPr="00336DE3" w:rsidP="003E74E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Ú</w:t>
            </w:r>
          </w:p>
          <w:p w:rsidR="0082215D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double" w:sz="6" w:space="0" w:color="000000"/>
            </w:tcBorders>
            <w:textDirection w:val="lrTb"/>
            <w:vAlign w:val="top"/>
          </w:tcPr>
          <w:p w:rsidR="0082215D" w:rsidRPr="00336DE3" w:rsidP="00EA42B1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1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E40583" w:rsidRPr="00336DE3" w:rsidP="00E40583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E40583" w:rsidRPr="00336DE3" w:rsidP="00E40583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O:5</w:t>
            </w:r>
          </w:p>
          <w:p w:rsidR="0008324D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E40583" w:rsidRPr="00336DE3" w:rsidP="00E40583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39426C" w:rsidRPr="00336DE3" w:rsidP="0008324D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E40583">
              <w:rPr>
                <w:rFonts w:ascii="Times New Roman" w:hAnsi="Times New Roman"/>
              </w:rPr>
              <w:t>V článku 9 ods. 3 sa tretí pododsek nahrádza takto: „Ropné ekvivalenty uvedené v prvom a druhom pododseku sa vypočítajú vynásobením sumy agregátu „zistené hrubé domáce dodávky“ koeficientom 1,2, ako je vymedzené v oddiele 3.2.2.11 prílohy C k nariadeniu (ES) č. 1099/2008 pre výrobky zahrnuté do používaných alebo príslušných kategórií. Medzinárodné námorné zásobníky sa nezahŕňajú do výpočtu.“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7D2096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extDirection w:val="lrTb"/>
            <w:vAlign w:val="top"/>
          </w:tcPr>
          <w:p w:rsidR="0039426C" w:rsidRPr="00336DE3" w:rsidP="006117A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3F1DFA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extDirection w:val="lrTb"/>
            <w:vAlign w:val="top"/>
          </w:tcPr>
          <w:p w:rsidR="005C77AC" w:rsidP="00DE5D10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7C6644">
              <w:rPr>
                <w:rFonts w:ascii="Times New Roman" w:hAnsi="Times New Roman"/>
              </w:rPr>
              <w:t>Príloha č. 4</w:t>
            </w:r>
          </w:p>
          <w:p w:rsidR="007C6644" w:rsidRPr="00336DE3" w:rsidP="00DE5D10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2F4973">
              <w:rPr>
                <w:rFonts w:ascii="Times New Roman" w:hAnsi="Times New Roman"/>
              </w:rPr>
              <w:t>Kapitola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Ropný ekvivalent domácej spotreby sa musí vypočítať podľa tejto metódy:</w:t>
            </w:r>
          </w:p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Domáca spotreba predstavuje súčet agregátu „zistené hrubé domáce dodávky“,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5"/>
              <w:t xml:space="preserve">3</w:t>
            </w:r>
            <w:r>
              <w:rPr>
                <w:rStyle w:val="FootnoteReference"/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) do ktorého sa zahŕňajú len tieto výrobky: automobilový benzín, letecký benzín, tryskové palivo benzínového typu (na báze ťažkého benzínu alebo JP4), letecký petrolej, ostatný petrolej, plynový olej/nafta (destilovaný vykurovací olej) a ťažký vykurovací olej (s nízkym aj vysokým obsahom síry).</w:t>
            </w:r>
            <w:r w:rsidRPr="007C6644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Medzinárodné námorné zásobníky sa nezahŕňajú do výpočtu.</w:t>
            </w:r>
          </w:p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Ropný ekvivalent domácej spotreby sa vypočíta vynásobením koeficientom 1,2. </w:t>
            </w:r>
          </w:p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Domáca spotreba určitej kategórie ropných výrobkov uvedených v prílohe č. 2 sa vypočíta ako „zistené hrubé domáce dodávky“</w:t>
            </w:r>
            <w:r w:rsidRPr="007C6644">
              <w:rPr>
                <w:rFonts w:ascii="Times New Roman" w:hAnsi="Times New Roman"/>
                <w:vertAlign w:val="superscript"/>
              </w:rPr>
              <w:t>39</w:t>
            </w:r>
            <w:r>
              <w:rPr>
                <w:rFonts w:ascii="Times New Roman" w:hAnsi="Times New Roman"/>
              </w:rPr>
              <w:t>) tejto kategórie výrobkov v predchádzajúcom kalendárnom roku.</w:t>
            </w:r>
          </w:p>
          <w:p w:rsidR="007C6644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Domáca spotreba ťažkého benzínu pre účel výpočtu čistého dovozu ropy a ropných polotovarov podľa prílohy č. 3 sa vypočíta ako „zistené hrubé domáce dodávky“</w:t>
            </w:r>
            <w:r w:rsidRPr="007C6644">
              <w:rPr>
                <w:rFonts w:ascii="Times New Roman" w:hAnsi="Times New Roman"/>
                <w:vertAlign w:val="superscript"/>
              </w:rPr>
              <w:t>39</w:t>
            </w:r>
            <w:r>
              <w:rPr>
                <w:rFonts w:ascii="Times New Roman" w:hAnsi="Times New Roman"/>
              </w:rPr>
              <w:t>) ťažkého benzínu v predchádzajúcom kalendárnom roku. Ropný ekvivalent domácej spotreby ťažkého benzínu sa vypočíta vynásobením koeficientom 1,065.</w:t>
            </w:r>
          </w:p>
          <w:p w:rsidR="008B2D00" w:rsidRPr="00336DE3" w:rsidP="007C6644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="007C6644">
              <w:rPr>
                <w:rFonts w:ascii="Times New Roman" w:hAnsi="Times New Roman"/>
              </w:rPr>
              <w:t>6. Domáca spotreba sa počíta v tisícoch ton.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9A7D97" w:rsidRPr="00336DE3" w:rsidP="009A7D97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Ú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double" w:sz="6" w:space="0" w:color="000000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36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802FA3" w:rsidRPr="00336DE3" w:rsidP="00802FA3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802FA3" w:rsidRPr="00336DE3" w:rsidP="00802FA3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O:6</w:t>
            </w:r>
          </w:p>
          <w:p w:rsidR="00C87E4F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802FA3" w:rsidRPr="00336DE3" w:rsidP="00467BF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802FA3" w:rsidRPr="00336DE3" w:rsidP="00802FA3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39426C" w:rsidRPr="00336DE3" w:rsidP="00C87E4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802FA3">
              <w:rPr>
                <w:rFonts w:ascii="Times New Roman" w:hAnsi="Times New Roman"/>
              </w:rPr>
              <w:t>V prílohe II sa druhý pododsek nahrádza takto: „Domáca spotreba predstavuje súčet agregátu „zistené hrubé domáce dodávky“, ako sa vymedzuje v oddiele 3.2.2.11 prílohy C k nariadeniu (ES) č. 1099/2008, do ktorého sa zahŕňajú len tieto výrobky: automobilový benzín, letecký benzín, dýzové palivo benzínového typu (na báze ťažkého benzínu alebo JP4), letecký petrolej, ostatný petrolej, plynový olej/nafta (destilovaný vykurovací olej) a ťažký vykurovací olej (s nízkym aj vysokým obsahom síry), ako sú vymedzené v kapitole 3.4 prílohy A k nariadeniu (ES) č. 1099/2008.“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13578E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13578E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13578E" w:rsidP="0013578E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4</w:t>
            </w:r>
          </w:p>
          <w:p w:rsidR="008F133C" w:rsidP="0013578E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2F4973">
              <w:rPr>
                <w:rFonts w:ascii="Times New Roman" w:hAnsi="Times New Roman"/>
              </w:rPr>
              <w:t>Kapitola</w:t>
            </w:r>
            <w:r w:rsidR="0013578E">
              <w:rPr>
                <w:rFonts w:ascii="Times New Roman" w:hAnsi="Times New Roman"/>
              </w:rPr>
              <w:t xml:space="preserve"> I</w:t>
            </w:r>
          </w:p>
          <w:p w:rsidR="0013578E" w:rsidRPr="0013578E" w:rsidP="0013578E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2F4973">
              <w:rPr>
                <w:rFonts w:ascii="Times New Roman" w:hAnsi="Times New Roman"/>
              </w:rPr>
              <w:t>Bod</w:t>
            </w:r>
            <w:r>
              <w:rPr>
                <w:rFonts w:ascii="Times New Roman" w:hAnsi="Times New Roman"/>
              </w:rPr>
              <w:t>:1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13578E" w:rsidP="0013578E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Ropný ekvivalent domácej spotreby sa musí vypočítať podľa tejto metódy:</w:t>
            </w:r>
          </w:p>
          <w:p w:rsidR="0039426C" w:rsidRPr="00336DE3" w:rsidP="00452F0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="0013578E">
              <w:rPr>
                <w:rFonts w:ascii="Times New Roman" w:hAnsi="Times New Roman"/>
              </w:rPr>
              <w:t>Domáca spotreba predstavuje súčet agregátu „zistené hrubé domáce dodávky“,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6"/>
              <w:t xml:space="preserve">3</w:t>
            </w:r>
            <w:r w:rsidR="0013578E">
              <w:rPr>
                <w:rStyle w:val="FootnoteReference"/>
                <w:rFonts w:ascii="Times New Roman" w:hAnsi="Times New Roman"/>
              </w:rPr>
              <w:t>9</w:t>
            </w:r>
            <w:r w:rsidR="0013578E">
              <w:rPr>
                <w:rFonts w:ascii="Times New Roman" w:hAnsi="Times New Roman"/>
              </w:rPr>
              <w:t>) do ktorého sa zahŕňajú len tieto výrobky: automobilový benzín, letecký benzín, tryskové palivo benzínového typu (na báze ťažkého benzínu alebo JP4), letecký petrolej, ostatný petrolej, plynový olej/nafta (destilovaný vykurovací olej) a ťažký vykurovací olej (s nízkym aj vysokým obsahom síry).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7"/>
              <w:t xml:space="preserve">3</w:t>
            </w:r>
            <w:r w:rsidR="0013578E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13578E" w:rsidRPr="00336DE3" w:rsidP="0013578E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Ú</w:t>
            </w:r>
          </w:p>
          <w:p w:rsidR="0039426C" w:rsidRPr="00336DE3" w:rsidP="00467BFB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textDirection w:val="lrTb"/>
            <w:vAlign w:val="top"/>
          </w:tcPr>
          <w:p w:rsidR="0039426C" w:rsidRPr="00336DE3" w:rsidP="00802FA3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6"/>
        </w:trPr>
        <w:tc>
          <w:tcPr>
            <w:tcW w:w="100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992BBF" w:rsidRPr="00336DE3" w:rsidP="00992BBF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O:7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V prílohe III šiestom pododseku sa písmeno a) nahrádza takto: „a) zahrnúť všetky ostatné zásoby ropných výrobkov stanovených v kapitole 3.4 prílohy A k nariadeniu (ES) č. 1099/2008 a prepočítať ich na ropný ekvivalent tak, že množstvá vynásobia koeficientom 1,065, alebo“.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D724C8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92BBF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D724C8">
              <w:rPr>
                <w:rFonts w:ascii="Times New Roman" w:hAnsi="Times New Roman"/>
              </w:rPr>
              <w:t>Zákon č. 218/2013 Z.z.</w:t>
            </w: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F93EFA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D724C8">
              <w:rPr>
                <w:rFonts w:ascii="Times New Roman" w:hAnsi="Times New Roman"/>
              </w:rPr>
              <w:t>Príloha č. 3</w:t>
            </w:r>
          </w:p>
          <w:p w:rsidR="00D724C8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A82544">
              <w:rPr>
                <w:rFonts w:ascii="Times New Roman" w:hAnsi="Times New Roman"/>
              </w:rPr>
              <w:t>Kapitola</w:t>
            </w:r>
            <w:r>
              <w:rPr>
                <w:rFonts w:ascii="Times New Roman" w:hAnsi="Times New Roman"/>
              </w:rPr>
              <w:t xml:space="preserve"> III</w:t>
            </w:r>
          </w:p>
          <w:p w:rsidR="00D724C8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A82544">
              <w:rPr>
                <w:rFonts w:ascii="Times New Roman" w:hAnsi="Times New Roman"/>
              </w:rPr>
              <w:t>Bod</w:t>
            </w:r>
            <w:r>
              <w:rPr>
                <w:rFonts w:ascii="Times New Roman" w:hAnsi="Times New Roman"/>
              </w:rPr>
              <w:t>:2</w:t>
            </w: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F93EFA" w:rsidRPr="00336DE3" w:rsidP="00F93EF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F93EFA" w:rsidRPr="00336DE3" w:rsidP="00F93EF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§:2</w:t>
            </w:r>
          </w:p>
          <w:p w:rsidR="00F93EFA" w:rsidRPr="00336DE3" w:rsidP="00F93EF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P:b</w:t>
            </w:r>
          </w:p>
          <w:p w:rsidR="00F93EFA" w:rsidRPr="00336DE3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Zásoby ropných výrobkov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Zásoby ropných výrobkov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Zásoby primárneho benzínu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Zásoby ropných výrobkov znížené o zásoby primárneho benzínu = C - D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Zásoby ropných výrobkov znížené o zásoby primárneho benzínu prerátané koeficientom na ropný ekvivalent = E</w:t>
            </w:r>
            <w:r w:rsidR="00F93EFA">
              <w:rPr>
                <w:rFonts w:ascii="Times New Roman" w:hAnsi="Times New Roman"/>
              </w:rPr>
              <w:t xml:space="preserve"> x </w:t>
            </w:r>
            <w:r>
              <w:rPr>
                <w:rFonts w:ascii="Times New Roman" w:hAnsi="Times New Roman"/>
              </w:rPr>
              <w:t>1,065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Zásoby benzínov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Zásoby petrolejov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Zásoby plynových olejov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Zásoby vykurovacích olejov</w:t>
            </w:r>
          </w:p>
          <w:p w:rsidR="00D724C8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Celkové zásoby ropných výrobkov = (G + H + I + J)</w:t>
            </w:r>
          </w:p>
          <w:p w:rsidR="00992BBF" w:rsidP="00D724C8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="00D724C8">
              <w:rPr>
                <w:rFonts w:ascii="Times New Roman" w:hAnsi="Times New Roman"/>
              </w:rPr>
              <w:t>L. Celkové zásoby ropných výrobkov prerátané koefic</w:t>
            </w:r>
            <w:r w:rsidR="00F93EFA">
              <w:rPr>
                <w:rFonts w:ascii="Times New Roman" w:hAnsi="Times New Roman"/>
              </w:rPr>
              <w:t>ientom na ropný ekvivalent = K x</w:t>
            </w:r>
            <w:r w:rsidR="00D724C8">
              <w:rPr>
                <w:rFonts w:ascii="Times New Roman" w:hAnsi="Times New Roman"/>
              </w:rPr>
              <w:t xml:space="preserve"> 1,2</w:t>
            </w:r>
          </w:p>
          <w:p w:rsidR="00F93EFA" w:rsidRPr="00336DE3" w:rsidP="00F93EFA">
            <w:pPr>
              <w:pStyle w:val="Textodstavce"/>
              <w:keepNext/>
              <w:keepLines/>
              <w:widowControl w:val="0"/>
              <w:bidi w:val="0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F93EFA" w:rsidRPr="00336DE3" w:rsidP="00F93EFA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  <w:color w:val="231F20"/>
                <w:lang w:eastAsia="en-GB"/>
              </w:rPr>
              <w:t>b) ropnými výrobkami výrobky z ropy uvedené v</w:t>
            </w:r>
            <w:r>
              <w:rPr>
                <w:rFonts w:ascii="Times New Roman" w:hAnsi="Times New Roman"/>
                <w:color w:val="231F20"/>
                <w:lang w:eastAsia="en-GB"/>
              </w:rPr>
              <w:t> </w:t>
            </w:r>
            <w:r w:rsidRPr="00336DE3">
              <w:rPr>
                <w:rFonts w:ascii="Times New Roman" w:hAnsi="Times New Roman"/>
                <w:color w:val="231F20"/>
                <w:lang w:eastAsia="en-GB"/>
              </w:rPr>
              <w:t>osobitnom</w:t>
            </w:r>
            <w:r>
              <w:rPr>
                <w:rFonts w:ascii="Times New Roman" w:hAnsi="Times New Roman"/>
                <w:color w:val="231F20"/>
                <w:lang w:eastAsia="en-GB"/>
              </w:rPr>
              <w:t xml:space="preserve"> </w:t>
            </w:r>
            <w:r w:rsidRPr="00336DE3">
              <w:rPr>
                <w:rFonts w:ascii="Times New Roman" w:hAnsi="Times New Roman"/>
                <w:color w:val="231F20"/>
                <w:lang w:eastAsia="en-GB"/>
              </w:rPr>
              <w:t>predpise,</w:t>
            </w:r>
            <w:r>
              <w:rPr>
                <w:rStyle w:val="FootnoteReference"/>
                <w:rFonts w:ascii="Times New Roman" w:hAnsi="Times New Roman"/>
                <w:color w:val="231F20"/>
                <w:rtl w:val="0"/>
              </w:rPr>
              <w:footnoteReference w:customMarkFollows="1" w:id="8"/>
              <w:t xml:space="preserve">3</w:t>
            </w:r>
            <w:r w:rsidRPr="00336DE3">
              <w:rPr>
                <w:rFonts w:ascii="Times New Roman" w:hAnsi="Times New Roman"/>
                <w:color w:val="231F20"/>
                <w:lang w:eastAsia="en-GB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D724C8">
              <w:rPr>
                <w:rFonts w:ascii="Times New Roman" w:hAnsi="Times New Roman"/>
              </w:rPr>
              <w:t>Ú</w:t>
            </w:r>
            <w:r w:rsidRPr="00336DE3">
              <w:rPr>
                <w:rFonts w:ascii="Times New Roman" w:hAnsi="Times New Roman"/>
              </w:rPr>
              <w:t xml:space="preserve">  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     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textDirection w:val="lrTb"/>
            <w:vAlign w:val="top"/>
          </w:tcPr>
          <w:p w:rsidR="00992BBF" w:rsidRPr="00336DE3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"/>
        </w:trPr>
        <w:tc>
          <w:tcPr>
            <w:tcW w:w="100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Č:1</w:t>
            </w:r>
          </w:p>
          <w:p w:rsidR="00992BBF" w:rsidRPr="00336DE3" w:rsidP="00992BBF">
            <w:pPr>
              <w:pStyle w:val="BodyText"/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O:8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Smernica 2009/119/ES sa mení takto:</w:t>
            </w:r>
          </w:p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Príloha I sa nahrádza znením, ktoré je uvedené v prílohe k tejto smernici.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n. a.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n. a.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67"/>
        </w:trPr>
        <w:tc>
          <w:tcPr>
            <w:tcW w:w="100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Č:2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O:1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81F37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Členské štáty prijmú a uverejnia najneskôr 19. októbra 2019 zákony, iné právne predpisy a správne opatrenia potrebné na dosiahnutie súladu s touto smernicou. Komisii bezodkladne oznámia znenie uvedených opatrení. </w:t>
            </w:r>
          </w:p>
          <w:p w:rsidR="00581F37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Uvedené opatrenia uplatňujú od 1. januára 2020. </w:t>
            </w:r>
          </w:p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581F37">
              <w:rPr>
                <w:rFonts w:ascii="Times New Roman" w:hAnsi="Times New Roman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711716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92BBF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711716" w:rsidR="00711716">
              <w:rPr>
                <w:rFonts w:ascii="Times New Roman" w:hAnsi="Times New Roman"/>
              </w:rPr>
              <w:t>Zákon č. 575/2001 Z.z.</w:t>
            </w:r>
          </w:p>
          <w:p w:rsidR="00711716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711716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711716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Návrh zákona, ktorým sa mení a dopĺňa zákon č. 218/2013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 w:rsidR="00711716">
              <w:rPr>
                <w:rFonts w:ascii="Times New Roman" w:hAnsi="Times New Roman"/>
              </w:rPr>
              <w:t>§:35</w:t>
            </w:r>
          </w:p>
          <w:p w:rsidR="00711716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O:7</w:t>
            </w:r>
          </w:p>
          <w:p w:rsidR="00711716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711716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711716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711716" w:rsidRPr="00336DE3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P="00992BBF">
            <w:pPr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711716" w:rsidR="00711716">
              <w:rPr>
                <w:rFonts w:ascii="Times New Roman" w:hAnsi="Times New Roman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:rsidR="00711716" w:rsidRPr="00336DE3" w:rsidP="00992BBF">
            <w:pPr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711716">
              <w:rPr>
                <w:rFonts w:ascii="Times New Roman" w:hAnsi="Times New Roman"/>
              </w:rPr>
              <w:t>Tento zákon nadobúda účinnosť 1. januára 2020.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="00393118">
              <w:rPr>
                <w:rFonts w:ascii="Times New Roman" w:hAnsi="Times New Roman"/>
              </w:rPr>
              <w:t>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CF7C5A">
              <w:rPr>
                <w:rFonts w:ascii="Times New Roman" w:hAnsi="Times New Roman"/>
              </w:rPr>
              <w:t>Č:2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CF7C5A">
              <w:rPr>
                <w:rFonts w:ascii="Times New Roman" w:hAnsi="Times New Roman"/>
              </w:rPr>
              <w:t>O:2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/>
              </w:rPr>
            </w:pPr>
            <w:r w:rsidRPr="00336DE3" w:rsidR="00CF7C5A">
              <w:rPr>
                <w:rFonts w:ascii="Times New Roman" w:hAnsi="Times New Roman"/>
              </w:rPr>
              <w:t>Členské štáty oznámia Komisii znenie hlavných ustanovení vnútroštátnych právnych predpisov, ktoré prijmú v oblasti pôsobnosti tejto smernice.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393118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711716" w:rsidR="00393118">
              <w:rPr>
                <w:rFonts w:ascii="Times New Roman" w:hAnsi="Times New Roman"/>
              </w:rPr>
              <w:t>Zákon č. 575/2001 Z.z.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393118" w:rsidP="00393118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§:35</w:t>
            </w:r>
          </w:p>
          <w:p w:rsidR="00393118" w:rsidP="00393118">
            <w:pPr>
              <w:autoSpaceDE/>
              <w:autoSpaceDN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O:7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393118">
            <w:pPr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711716" w:rsidR="00393118">
              <w:rPr>
                <w:rFonts w:ascii="Times New Roman" w:hAnsi="Times New Roman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393118">
              <w:rPr>
                <w:rFonts w:ascii="Times New Roman" w:hAnsi="Times New Roman"/>
              </w:rPr>
              <w:t>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5"/>
        </w:trPr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CF7C5A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</w:t>
            </w:r>
            <w:r w:rsidRPr="00336DE3" w:rsidR="00CF7C5A">
              <w:rPr>
                <w:rFonts w:ascii="Times New Roman" w:hAnsi="Times New Roman"/>
              </w:rPr>
              <w:t>3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CF7C5A">
              <w:rPr>
                <w:rFonts w:ascii="Times New Roman" w:hAnsi="Times New Roman"/>
              </w:rPr>
              <w:t>Táto smernica nadobúda účinnosť dvadsiatym dňom po jej uverejnení v Úradnom vestníku Európskej únie.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CF7C5A">
              <w:rPr>
                <w:rFonts w:ascii="Times New Roman" w:hAnsi="Times New Roman"/>
              </w:rPr>
              <w:t>n. 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pStyle w:val="Header"/>
              <w:keepNext/>
              <w:keepLines/>
              <w:widowControl w:val="0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autoSpaceDE/>
              <w:autoSpaceDN/>
              <w:bidi w:val="0"/>
              <w:rPr>
                <w:rFonts w:ascii="Times New Roman" w:hAnsi="Times New Roman"/>
              </w:rPr>
            </w:pPr>
          </w:p>
          <w:p w:rsidR="00992BBF" w:rsidRPr="00336DE3" w:rsidP="00992BBF">
            <w:pPr>
              <w:pStyle w:val="Header"/>
              <w:keepNext/>
              <w:keepLines/>
              <w:widowControl w:val="0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pStyle w:val="Textodstavce"/>
              <w:keepNext/>
              <w:keepLines/>
              <w:widowControl w:val="0"/>
              <w:bidi w:val="0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n. a.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98"/>
        </w:trPr>
        <w:tc>
          <w:tcPr>
            <w:tcW w:w="1004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FC1D0B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Č:</w:t>
            </w:r>
            <w:r w:rsidRPr="00336DE3" w:rsidR="00FC1D0B">
              <w:rPr>
                <w:rFonts w:ascii="Times New Roman" w:hAnsi="Times New Roman"/>
              </w:rPr>
              <w:t>4</w:t>
            </w: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  <w:r w:rsidRPr="00336DE3" w:rsidR="00FC1D0B">
              <w:rPr>
                <w:rFonts w:ascii="Times New Roman" w:hAnsi="Times New Roman"/>
              </w:rPr>
              <w:t>Táto smernica je určená členským štátom.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FC1D0B">
              <w:rPr>
                <w:rFonts w:ascii="Times New Roman" w:hAnsi="Times New Roman"/>
              </w:rPr>
              <w:t>n. 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 w:rsidR="00FC1D0B">
              <w:rPr>
                <w:rFonts w:ascii="Times New Roman" w:hAnsi="Times New Roman"/>
              </w:rPr>
              <w:t xml:space="preserve">n. a.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5944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/>
        </w:trPr>
        <w:tc>
          <w:tcPr>
            <w:tcW w:w="1004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 w:rsidR="00EC6A89">
              <w:rPr>
                <w:rFonts w:ascii="Times New Roman" w:hAnsi="Times New Roman"/>
              </w:rPr>
              <w:t>Príloha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C6A89" w:rsidRPr="00336DE3" w:rsidP="00EC6A89">
            <w:pPr>
              <w:bidi w:val="0"/>
              <w:adjustRightInd w:val="0"/>
              <w:jc w:val="center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„</w:t>
            </w:r>
            <w:r w:rsidRPr="00336DE3">
              <w:rPr>
                <w:rFonts w:ascii="Times New Roman" w:eastAsia="EUAlbertina-Regu-Identity-H" w:hAnsi="Times New Roman" w:hint="default"/>
              </w:rPr>
              <w:t>PRÍ</w:t>
            </w:r>
            <w:r w:rsidRPr="00336DE3">
              <w:rPr>
                <w:rFonts w:ascii="Times New Roman" w:eastAsia="EUAlbertina-Regu-Identity-H" w:hAnsi="Times New Roman" w:hint="default"/>
              </w:rPr>
              <w:t>LOHA I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METÓ</w:t>
            </w:r>
            <w:r w:rsidRPr="00336DE3">
              <w:rPr>
                <w:rFonts w:ascii="Times New Roman" w:eastAsia="EUAlbertina-Regu-Identity-H" w:hAnsi="Times New Roman" w:hint="default"/>
              </w:rPr>
              <w:t>DA VÝ</w:t>
            </w:r>
            <w:r w:rsidRPr="00336DE3">
              <w:rPr>
                <w:rFonts w:ascii="Times New Roman" w:eastAsia="EUAlbertina-Regu-Identity-H" w:hAnsi="Times New Roman" w:hint="default"/>
              </w:rPr>
              <w:t>POČ</w:t>
            </w:r>
            <w:r w:rsidRPr="00336DE3">
              <w:rPr>
                <w:rFonts w:ascii="Times New Roman" w:eastAsia="EUAlbertina-Regu-Identity-H" w:hAnsi="Times New Roman" w:hint="default"/>
              </w:rPr>
              <w:t>TU ROPNÉ</w:t>
            </w:r>
            <w:r w:rsidRPr="00336DE3">
              <w:rPr>
                <w:rFonts w:ascii="Times New Roman" w:eastAsia="EUAlbertina-Regu-Identity-H" w:hAnsi="Times New Roman" w:hint="default"/>
              </w:rPr>
              <w:t>HO EKVIVALENTU DOVOZU ROPNÝ</w:t>
            </w:r>
            <w:r w:rsidRPr="00336DE3">
              <w:rPr>
                <w:rFonts w:ascii="Times New Roman" w:eastAsia="EUAlbertina-Regu-Identity-H" w:hAnsi="Times New Roman" w:hint="default"/>
              </w:rPr>
              <w:t>CH VÝ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ROBKOV 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Č</w:t>
            </w:r>
            <w:r w:rsidRPr="00336DE3">
              <w:rPr>
                <w:rFonts w:ascii="Times New Roman" w:eastAsia="EUAlbertina-Regu-Identity-H" w:hAnsi="Times New Roman" w:hint="default"/>
              </w:rPr>
              <w:t>lenské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š</w:t>
            </w:r>
            <w:r w:rsidRPr="00336DE3">
              <w:rPr>
                <w:rFonts w:ascii="Times New Roman" w:eastAsia="EUAlbertina-Regu-Identity-H" w:hAnsi="Times New Roman" w:hint="default"/>
              </w:rPr>
              <w:t>tá</w:t>
            </w:r>
            <w:r w:rsidRPr="00336DE3">
              <w:rPr>
                <w:rFonts w:ascii="Times New Roman" w:eastAsia="EUAlbertina-Regu-Identity-H" w:hAnsi="Times New Roman" w:hint="default"/>
              </w:rPr>
              <w:t>ty vypočí</w:t>
            </w:r>
            <w:r w:rsidRPr="00336DE3">
              <w:rPr>
                <w:rFonts w:ascii="Times New Roman" w:eastAsia="EUAlbertina-Regu-Identity-H" w:hAnsi="Times New Roman" w:hint="default"/>
              </w:rPr>
              <w:t>tajú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ropný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ekvivalent dovozu ropný</w:t>
            </w:r>
            <w:r w:rsidRPr="00336DE3">
              <w:rPr>
                <w:rFonts w:ascii="Times New Roman" w:eastAsia="EUAlbertina-Regu-Identity-H" w:hAnsi="Times New Roman" w:hint="default"/>
              </w:rPr>
              <w:t>ch vý</w:t>
            </w:r>
            <w:r w:rsidRPr="00336DE3">
              <w:rPr>
                <w:rFonts w:ascii="Times New Roman" w:eastAsia="EUAlbertina-Regu-Identity-H" w:hAnsi="Times New Roman" w:hint="default"/>
              </w:rPr>
              <w:t>robkov, ako je uvedené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 č</w:t>
            </w:r>
            <w:r w:rsidRPr="00336DE3">
              <w:rPr>
                <w:rFonts w:ascii="Times New Roman" w:eastAsia="EUAlbertina-Regu-Identity-H" w:hAnsi="Times New Roman" w:hint="default"/>
              </w:rPr>
              <w:t>lá</w:t>
            </w:r>
            <w:r w:rsidRPr="00336DE3">
              <w:rPr>
                <w:rFonts w:ascii="Times New Roman" w:eastAsia="EUAlbertina-Regu-Identity-H" w:hAnsi="Times New Roman" w:hint="default"/>
              </w:rPr>
              <w:t>nku 3, pomocou tejto metó</w:t>
            </w:r>
            <w:r w:rsidRPr="00336DE3">
              <w:rPr>
                <w:rFonts w:ascii="Times New Roman" w:eastAsia="EUAlbertina-Regu-Identity-H" w:hAnsi="Times New Roman" w:hint="default"/>
              </w:rPr>
              <w:t>dy. 1. Súč</w:t>
            </w:r>
            <w:r w:rsidRPr="00336DE3">
              <w:rPr>
                <w:rFonts w:ascii="Times New Roman" w:eastAsia="EUAlbertina-Regu-Identity-H" w:hAnsi="Times New Roman" w:hint="default"/>
              </w:rPr>
              <w:t>et č</w:t>
            </w:r>
            <w:r w:rsidRPr="00336DE3">
              <w:rPr>
                <w:rFonts w:ascii="Times New Roman" w:eastAsia="EUAlbertina-Regu-Identity-H" w:hAnsi="Times New Roman" w:hint="default"/>
              </w:rPr>
              <w:t>isté</w:t>
            </w:r>
            <w:r w:rsidRPr="00336DE3">
              <w:rPr>
                <w:rFonts w:ascii="Times New Roman" w:eastAsia="EUAlbertina-Regu-Identity-H" w:hAnsi="Times New Roman" w:hint="default"/>
              </w:rPr>
              <w:t>ho dovozu surovej ropy, gazolí</w:t>
            </w:r>
            <w:r w:rsidRPr="00336DE3">
              <w:rPr>
                <w:rFonts w:ascii="Times New Roman" w:eastAsia="EUAlbertina-Regu-Identity-H" w:hAnsi="Times New Roman" w:hint="default"/>
              </w:rPr>
              <w:t>nu (NGL), rafiné</w:t>
            </w:r>
            <w:r w:rsidRPr="00336DE3">
              <w:rPr>
                <w:rFonts w:ascii="Times New Roman" w:eastAsia="EUAlbertina-Regu-Identity-H" w:hAnsi="Times New Roman" w:hint="default"/>
              </w:rPr>
              <w:t>rskych medziproduktov a ostatný</w:t>
            </w:r>
            <w:r w:rsidRPr="00336DE3">
              <w:rPr>
                <w:rFonts w:ascii="Times New Roman" w:eastAsia="EUAlbertina-Regu-Identity-H" w:hAnsi="Times New Roman" w:hint="default"/>
              </w:rPr>
              <w:t>ch uhľ</w:t>
            </w:r>
            <w:r w:rsidRPr="00336DE3">
              <w:rPr>
                <w:rFonts w:ascii="Times New Roman" w:eastAsia="EUAlbertina-Regu-Identity-H" w:hAnsi="Times New Roman" w:hint="default"/>
              </w:rPr>
              <w:t>ovodí</w:t>
            </w:r>
            <w:r w:rsidRPr="00336DE3">
              <w:rPr>
                <w:rFonts w:ascii="Times New Roman" w:eastAsia="EUAlbertina-Regu-Identity-H" w:hAnsi="Times New Roman" w:hint="default"/>
              </w:rPr>
              <w:t>kov, ako sú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vymedzené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 prí</w:t>
            </w:r>
            <w:r w:rsidRPr="00336DE3">
              <w:rPr>
                <w:rFonts w:ascii="Times New Roman" w:eastAsia="EUAlbertina-Regu-Identity-H" w:hAnsi="Times New Roman" w:hint="default"/>
              </w:rPr>
              <w:t>lohe A kapitole 3.4 nariadenia (ES) č</w:t>
            </w:r>
            <w:r w:rsidRPr="00336DE3">
              <w:rPr>
                <w:rFonts w:ascii="Times New Roman" w:eastAsia="EUAlbertina-Regu-Identity-H" w:hAnsi="Times New Roman" w:hint="default"/>
              </w:rPr>
              <w:t>. 1099/2008 (*), sa vypočí</w:t>
            </w:r>
            <w:r w:rsidRPr="00336DE3">
              <w:rPr>
                <w:rFonts w:ascii="Times New Roman" w:eastAsia="EUAlbertina-Regu-Identity-H" w:hAnsi="Times New Roman" w:hint="default"/>
              </w:rPr>
              <w:t>ta a upraví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o aké</w:t>
            </w:r>
            <w:r w:rsidRPr="00336DE3">
              <w:rPr>
                <w:rFonts w:ascii="Times New Roman" w:eastAsia="EUAlbertina-Regu-Identity-H" w:hAnsi="Times New Roman" w:hint="default"/>
              </w:rPr>
              <w:t>koľ</w:t>
            </w:r>
            <w:r w:rsidRPr="00336DE3">
              <w:rPr>
                <w:rFonts w:ascii="Times New Roman" w:eastAsia="EUAlbertina-Regu-Identity-H" w:hAnsi="Times New Roman" w:hint="default"/>
              </w:rPr>
              <w:t>vek zmeny zá</w:t>
            </w:r>
            <w:r w:rsidRPr="00336DE3">
              <w:rPr>
                <w:rFonts w:ascii="Times New Roman" w:eastAsia="EUAlbertina-Regu-Identity-H" w:hAnsi="Times New Roman" w:hint="default"/>
              </w:rPr>
              <w:t>sob. Od vý</w:t>
            </w:r>
            <w:r w:rsidRPr="00336DE3">
              <w:rPr>
                <w:rFonts w:ascii="Times New Roman" w:eastAsia="EUAlbertina-Regu-Identity-H" w:hAnsi="Times New Roman" w:hint="default"/>
              </w:rPr>
              <w:t>sledné</w:t>
            </w:r>
            <w:r w:rsidRPr="00336DE3">
              <w:rPr>
                <w:rFonts w:ascii="Times New Roman" w:eastAsia="EUAlbertina-Regu-Identity-H" w:hAnsi="Times New Roman" w:hint="default"/>
              </w:rPr>
              <w:t>ho súč</w:t>
            </w:r>
            <w:r w:rsidRPr="00336DE3">
              <w:rPr>
                <w:rFonts w:ascii="Times New Roman" w:eastAsia="EUAlbertina-Regu-Identity-H" w:hAnsi="Times New Roman" w:hint="default"/>
              </w:rPr>
              <w:t>tu sa odpočí</w:t>
            </w:r>
            <w:r w:rsidRPr="00336DE3">
              <w:rPr>
                <w:rFonts w:ascii="Times New Roman" w:eastAsia="EUAlbertina-Regu-Identity-H" w:hAnsi="Times New Roman" w:hint="default"/>
              </w:rPr>
              <w:t>ta jedna z tý</w:t>
            </w:r>
            <w:r w:rsidRPr="00336DE3">
              <w:rPr>
                <w:rFonts w:ascii="Times New Roman" w:eastAsia="EUAlbertina-Regu-Identity-H" w:hAnsi="Times New Roman" w:hint="default"/>
              </w:rPr>
              <w:t>chto hodnô</w:t>
            </w:r>
            <w:r w:rsidRPr="00336DE3">
              <w:rPr>
                <w:rFonts w:ascii="Times New Roman" w:eastAsia="EUAlbertina-Regu-Identity-H" w:hAnsi="Times New Roman" w:hint="default"/>
              </w:rPr>
              <w:t>t zodpovedajú</w:t>
            </w:r>
            <w:r w:rsidRPr="00336DE3">
              <w:rPr>
                <w:rFonts w:ascii="Times New Roman" w:eastAsia="EUAlbertina-Regu-Identity-H" w:hAnsi="Times New Roman" w:hint="default"/>
              </w:rPr>
              <w:t>ca vý</w:t>
            </w:r>
            <w:r w:rsidRPr="00336DE3">
              <w:rPr>
                <w:rFonts w:ascii="Times New Roman" w:eastAsia="EUAlbertina-Regu-Identity-H" w:hAnsi="Times New Roman" w:hint="default"/>
              </w:rPr>
              <w:t>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ku 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ké</w:t>
            </w:r>
            <w:r w:rsidRPr="00336DE3">
              <w:rPr>
                <w:rFonts w:ascii="Times New Roman" w:eastAsia="EUAlbertina-Regu-Identity-H" w:hAnsi="Times New Roman" w:hint="default"/>
              </w:rPr>
              <w:t>ho benzí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nu: 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—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4 %; 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—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priemerný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výť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ok 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ké</w:t>
            </w:r>
            <w:r w:rsidRPr="00336DE3">
              <w:rPr>
                <w:rFonts w:ascii="Times New Roman" w:eastAsia="EUAlbertina-Regu-Identity-H" w:hAnsi="Times New Roman" w:hint="default"/>
              </w:rPr>
              <w:t>ho benzí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nu; 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—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č</w:t>
            </w:r>
            <w:r w:rsidRPr="00336DE3">
              <w:rPr>
                <w:rFonts w:ascii="Times New Roman" w:eastAsia="EUAlbertina-Regu-Identity-H" w:hAnsi="Times New Roman" w:hint="default"/>
              </w:rPr>
              <w:t>istá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skutoč</w:t>
            </w:r>
            <w:r w:rsidRPr="00336DE3">
              <w:rPr>
                <w:rFonts w:ascii="Times New Roman" w:eastAsia="EUAlbertina-Regu-Identity-H" w:hAnsi="Times New Roman" w:hint="default"/>
              </w:rPr>
              <w:t>ná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spotreba 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ké</w:t>
            </w:r>
            <w:r w:rsidRPr="00336DE3">
              <w:rPr>
                <w:rFonts w:ascii="Times New Roman" w:eastAsia="EUAlbertina-Regu-Identity-H" w:hAnsi="Times New Roman" w:hint="default"/>
              </w:rPr>
              <w:t>ho benzí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nu. </w:t>
            </w:r>
          </w:p>
          <w:p w:rsidR="00EC6A89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 w:hint="default"/>
              </w:rPr>
            </w:pPr>
            <w:r w:rsidRPr="00336DE3">
              <w:rPr>
                <w:rFonts w:ascii="Times New Roman" w:eastAsia="EUAlbertina-Regu-Identity-H" w:hAnsi="Times New Roman" w:hint="default"/>
              </w:rPr>
              <w:t>2. Súč</w:t>
            </w:r>
            <w:r w:rsidRPr="00336DE3">
              <w:rPr>
                <w:rFonts w:ascii="Times New Roman" w:eastAsia="EUAlbertina-Regu-Identity-H" w:hAnsi="Times New Roman" w:hint="default"/>
              </w:rPr>
              <w:t>et č</w:t>
            </w:r>
            <w:r w:rsidRPr="00336DE3">
              <w:rPr>
                <w:rFonts w:ascii="Times New Roman" w:eastAsia="EUAlbertina-Regu-Identity-H" w:hAnsi="Times New Roman" w:hint="default"/>
              </w:rPr>
              <w:t>isté</w:t>
            </w:r>
            <w:r w:rsidRPr="00336DE3">
              <w:rPr>
                <w:rFonts w:ascii="Times New Roman" w:eastAsia="EUAlbertina-Regu-Identity-H" w:hAnsi="Times New Roman" w:hint="default"/>
              </w:rPr>
              <w:t>ho dovozu vš</w:t>
            </w:r>
            <w:r w:rsidRPr="00336DE3">
              <w:rPr>
                <w:rFonts w:ascii="Times New Roman" w:eastAsia="EUAlbertina-Regu-Identity-H" w:hAnsi="Times New Roman" w:hint="default"/>
              </w:rPr>
              <w:t>etký</w:t>
            </w:r>
            <w:r w:rsidRPr="00336DE3">
              <w:rPr>
                <w:rFonts w:ascii="Times New Roman" w:eastAsia="EUAlbertina-Regu-Identity-H" w:hAnsi="Times New Roman" w:hint="default"/>
              </w:rPr>
              <w:t>ch ostatný</w:t>
            </w:r>
            <w:r w:rsidRPr="00336DE3">
              <w:rPr>
                <w:rFonts w:ascii="Times New Roman" w:eastAsia="EUAlbertina-Regu-Identity-H" w:hAnsi="Times New Roman" w:hint="default"/>
              </w:rPr>
              <w:t>ch ropný</w:t>
            </w:r>
            <w:r w:rsidRPr="00336DE3">
              <w:rPr>
                <w:rFonts w:ascii="Times New Roman" w:eastAsia="EUAlbertina-Regu-Identity-H" w:hAnsi="Times New Roman" w:hint="default"/>
              </w:rPr>
              <w:t>ch produktov, ako sú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vymedzené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v prí</w:t>
            </w:r>
            <w:r w:rsidRPr="00336DE3">
              <w:rPr>
                <w:rFonts w:ascii="Times New Roman" w:eastAsia="EUAlbertina-Regu-Identity-H" w:hAnsi="Times New Roman" w:hint="default"/>
              </w:rPr>
              <w:t>lohe A kapitole 3.4 nariadenia (ES) č</w:t>
            </w:r>
            <w:r w:rsidRPr="00336DE3">
              <w:rPr>
                <w:rFonts w:ascii="Times New Roman" w:eastAsia="EUAlbertina-Regu-Identity-H" w:hAnsi="Times New Roman" w:hint="default"/>
              </w:rPr>
              <w:t>. 1099/2008, okrem ť</w:t>
            </w:r>
            <w:r w:rsidRPr="00336DE3">
              <w:rPr>
                <w:rFonts w:ascii="Times New Roman" w:eastAsia="EUAlbertina-Regu-Identity-H" w:hAnsi="Times New Roman" w:hint="default"/>
              </w:rPr>
              <w:t>až</w:t>
            </w:r>
            <w:r w:rsidRPr="00336DE3">
              <w:rPr>
                <w:rFonts w:ascii="Times New Roman" w:eastAsia="EUAlbertina-Regu-Identity-H" w:hAnsi="Times New Roman" w:hint="default"/>
              </w:rPr>
              <w:t>ké</w:t>
            </w:r>
            <w:r w:rsidRPr="00336DE3">
              <w:rPr>
                <w:rFonts w:ascii="Times New Roman" w:eastAsia="EUAlbertina-Regu-Identity-H" w:hAnsi="Times New Roman" w:hint="default"/>
              </w:rPr>
              <w:t>ho benzí</w:t>
            </w:r>
            <w:r w:rsidRPr="00336DE3">
              <w:rPr>
                <w:rFonts w:ascii="Times New Roman" w:eastAsia="EUAlbertina-Regu-Identity-H" w:hAnsi="Times New Roman" w:hint="default"/>
              </w:rPr>
              <w:t>nu, sa vypočí</w:t>
            </w:r>
            <w:r w:rsidRPr="00336DE3">
              <w:rPr>
                <w:rFonts w:ascii="Times New Roman" w:eastAsia="EUAlbertina-Regu-Identity-H" w:hAnsi="Times New Roman" w:hint="default"/>
              </w:rPr>
              <w:t>ta a upraví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o zmeny zá</w:t>
            </w:r>
            <w:r w:rsidRPr="00336DE3">
              <w:rPr>
                <w:rFonts w:ascii="Times New Roman" w:eastAsia="EUAlbertina-Regu-Identity-H" w:hAnsi="Times New Roman" w:hint="default"/>
              </w:rPr>
              <w:t>sob, a vyná</w:t>
            </w:r>
            <w:r w:rsidRPr="00336DE3">
              <w:rPr>
                <w:rFonts w:ascii="Times New Roman" w:eastAsia="EUAlbertina-Regu-Identity-H" w:hAnsi="Times New Roman" w:hint="default"/>
              </w:rPr>
              <w:t>sobí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sa koeficientom 1,065. Súč</w:t>
            </w:r>
            <w:r w:rsidRPr="00336DE3">
              <w:rPr>
                <w:rFonts w:ascii="Times New Roman" w:eastAsia="EUAlbertina-Regu-Identity-H" w:hAnsi="Times New Roman" w:hint="default"/>
              </w:rPr>
              <w:t>et čí</w:t>
            </w:r>
            <w:r w:rsidRPr="00336DE3">
              <w:rPr>
                <w:rFonts w:ascii="Times New Roman" w:eastAsia="EUAlbertina-Regu-Identity-H" w:hAnsi="Times New Roman" w:hint="default"/>
              </w:rPr>
              <w:t>selný</w:t>
            </w:r>
            <w:r w:rsidRPr="00336DE3">
              <w:rPr>
                <w:rFonts w:ascii="Times New Roman" w:eastAsia="EUAlbertina-Regu-Identity-H" w:hAnsi="Times New Roman" w:hint="default"/>
              </w:rPr>
              <w:t>ch ú</w:t>
            </w:r>
            <w:r w:rsidRPr="00336DE3">
              <w:rPr>
                <w:rFonts w:ascii="Times New Roman" w:eastAsia="EUAlbertina-Regu-Identity-H" w:hAnsi="Times New Roman" w:hint="default"/>
              </w:rPr>
              <w:t>dajov z odsekov 1 a 2 predstavuje ropný</w:t>
            </w:r>
            <w:r w:rsidRPr="00336DE3">
              <w:rPr>
                <w:rFonts w:ascii="Times New Roman" w:eastAsia="EUAlbertina-Regu-Identity-H" w:hAnsi="Times New Roman" w:hint="default"/>
              </w:rPr>
              <w:t xml:space="preserve"> ekvivalent. </w:t>
            </w:r>
          </w:p>
          <w:p w:rsidR="00992BBF" w:rsidRPr="00336DE3" w:rsidP="00992BBF">
            <w:pPr>
              <w:bidi w:val="0"/>
              <w:adjustRightInd w:val="0"/>
              <w:rPr>
                <w:rFonts w:ascii="Times New Roman" w:eastAsia="EUAlbertina-Regu-Identity-H" w:hAnsi="Times New Roman"/>
              </w:rPr>
            </w:pPr>
            <w:r w:rsidRPr="00336DE3" w:rsidR="00EC6A89">
              <w:rPr>
                <w:rFonts w:ascii="Times New Roman" w:eastAsia="EUAlbertina-Regu-Identity-H" w:hAnsi="Times New Roman" w:hint="default"/>
              </w:rPr>
              <w:t>Medziná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rodné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 xml:space="preserve"> ná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morné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 xml:space="preserve"> zá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sobní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ky sa nezahŕň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ajú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 xml:space="preserve"> do vý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poč</w:t>
            </w:r>
            <w:r w:rsidRPr="00336DE3" w:rsidR="00EC6A89">
              <w:rPr>
                <w:rFonts w:ascii="Times New Roman" w:eastAsia="EUAlbertina-Regu-Identity-H" w:hAnsi="Times New Roman" w:hint="default"/>
              </w:rPr>
              <w:t>tu.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8B6AA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Pr="00336DE3" w:rsidR="008B6AAA">
              <w:rPr>
                <w:rFonts w:ascii="Times New Roman" w:hAnsi="Times New Roman"/>
              </w:rPr>
              <w:t>Príloha č. 3</w:t>
            </w:r>
          </w:p>
          <w:p w:rsidR="008B6AAA" w:rsidRPr="00336DE3" w:rsidP="008B6AA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736028">
              <w:rPr>
                <w:rFonts w:ascii="Times New Roman" w:hAnsi="Times New Roman"/>
              </w:rPr>
              <w:t>Kapitola</w:t>
            </w:r>
            <w:r w:rsidRPr="00336DE3">
              <w:rPr>
                <w:rFonts w:ascii="Times New Roman" w:hAnsi="Times New Roman"/>
              </w:rPr>
              <w:t xml:space="preserve"> I</w:t>
            </w:r>
          </w:p>
          <w:p w:rsidR="008B6AAA" w:rsidRPr="00336DE3" w:rsidP="008B6AAA">
            <w:pPr>
              <w:keepNext/>
              <w:keepLines/>
              <w:widowControl w:val="0"/>
              <w:bidi w:val="0"/>
              <w:rPr>
                <w:rFonts w:ascii="Times New Roman" w:hAnsi="Times New Roman"/>
              </w:rPr>
            </w:pPr>
            <w:r w:rsidR="00736028">
              <w:rPr>
                <w:rFonts w:ascii="Times New Roman" w:hAnsi="Times New Roman"/>
              </w:rPr>
              <w:t>Bod</w:t>
            </w:r>
            <w:r w:rsidRPr="00336DE3">
              <w:rPr>
                <w:rFonts w:ascii="Times New Roman" w:hAnsi="Times New Roman"/>
              </w:rPr>
              <w:t>:1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B6AAA" w:rsidRPr="00336DE3" w:rsidP="008B6AAA">
            <w:pPr>
              <w:bidi w:val="0"/>
              <w:adjustRightInd w:val="0"/>
              <w:rPr>
                <w:rFonts w:ascii="Times New Roman" w:hAnsi="Times New Roman"/>
                <w:lang w:eastAsia="en-US"/>
              </w:rPr>
            </w:pPr>
            <w:r w:rsidRPr="00336DE3">
              <w:rPr>
                <w:rFonts w:ascii="Times New Roman" w:hAnsi="Times New Roman"/>
                <w:lang w:eastAsia="en-US"/>
              </w:rPr>
              <w:t>Ropný ekvivalent dovozu ropných výrobkov potrebný na výpočet povinnosti skladovať núdzov</w:t>
            </w:r>
            <w:r w:rsidR="00C70EAF">
              <w:rPr>
                <w:rFonts w:ascii="Times New Roman" w:hAnsi="Times New Roman"/>
                <w:lang w:eastAsia="en-US"/>
              </w:rPr>
              <w:t>é zásoby sa vypočíta ako súčet týchto</w:t>
            </w:r>
            <w:r w:rsidRPr="00336DE3">
              <w:rPr>
                <w:rFonts w:ascii="Times New Roman" w:hAnsi="Times New Roman"/>
                <w:lang w:eastAsia="en-US"/>
              </w:rPr>
              <w:t xml:space="preserve"> číselných údajov:</w:t>
            </w:r>
          </w:p>
          <w:p w:rsidR="008B6AAA" w:rsidRPr="00336DE3" w:rsidP="008B6AAA">
            <w:pPr>
              <w:bidi w:val="0"/>
              <w:adjustRightInd w:val="0"/>
              <w:rPr>
                <w:rFonts w:ascii="Times New Roman" w:hAnsi="Times New Roman"/>
                <w:lang w:eastAsia="en-US"/>
              </w:rPr>
            </w:pPr>
            <w:r w:rsidRPr="00336DE3">
              <w:rPr>
                <w:rFonts w:ascii="Times New Roman" w:hAnsi="Times New Roman"/>
                <w:lang w:eastAsia="en-US"/>
              </w:rPr>
              <w:t>a)</w:t>
              <w:tab/>
              <w:t>súčet čistých dovozov ropy, NGL, rafinérskych medziprod</w:t>
            </w:r>
            <w:r w:rsidR="00C70EAF">
              <w:rPr>
                <w:rFonts w:ascii="Times New Roman" w:hAnsi="Times New Roman"/>
                <w:lang w:eastAsia="en-US"/>
              </w:rPr>
              <w:t>uktov a ostatných uhľovodíkov,</w:t>
            </w:r>
            <w:r>
              <w:rPr>
                <w:rStyle w:val="FootnoteReference"/>
                <w:rFonts w:ascii="Times New Roman" w:hAnsi="Times New Roman"/>
                <w:color w:val="231F20"/>
                <w:rtl w:val="0"/>
              </w:rPr>
              <w:footnoteReference w:customMarkFollows="1" w:id="9"/>
              <w:t xml:space="preserve"> 3</w:t>
            </w:r>
            <w:r w:rsidRPr="00336DE3" w:rsidR="009C3349">
              <w:rPr>
                <w:rFonts w:ascii="Times New Roman" w:hAnsi="Times New Roman"/>
                <w:color w:val="231F20"/>
                <w:lang w:eastAsia="en-GB"/>
              </w:rPr>
              <w:t>)</w:t>
            </w:r>
            <w:r w:rsidRPr="00336DE3">
              <w:rPr>
                <w:rFonts w:ascii="Times New Roman" w:hAnsi="Times New Roman"/>
                <w:lang w:eastAsia="en-US"/>
              </w:rPr>
              <w:t xml:space="preserve"> ktorý sa upraví o prípadné zmeny stavu zásob a od ktorého sa odpočíta jedna z týchto hodnôt zodpovedajúca výťažku ťažkého benzínu:</w:t>
            </w:r>
          </w:p>
          <w:p w:rsidR="008B6AAA" w:rsidRPr="00336DE3" w:rsidP="00C70EAF">
            <w:pPr>
              <w:bidi w:val="0"/>
              <w:adjustRightInd w:val="0"/>
              <w:ind w:left="708"/>
              <w:rPr>
                <w:rFonts w:ascii="Times New Roman" w:hAnsi="Times New Roman"/>
                <w:lang w:eastAsia="en-US"/>
              </w:rPr>
            </w:pPr>
            <w:r w:rsidR="00C70EAF">
              <w:rPr>
                <w:rFonts w:ascii="Times New Roman" w:hAnsi="Times New Roman"/>
                <w:lang w:eastAsia="en-US"/>
              </w:rPr>
              <w:t xml:space="preserve">a1) </w:t>
            </w:r>
            <w:r w:rsidRPr="00336DE3">
              <w:rPr>
                <w:rFonts w:ascii="Times New Roman" w:hAnsi="Times New Roman"/>
                <w:lang w:eastAsia="en-US"/>
              </w:rPr>
              <w:t>4 %</w:t>
            </w:r>
          </w:p>
          <w:p w:rsidR="00C70EAF" w:rsidP="00C70EAF">
            <w:pPr>
              <w:bidi w:val="0"/>
              <w:adjustRightInd w:val="0"/>
              <w:ind w:left="7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a2) </w:t>
            </w:r>
            <w:r w:rsidRPr="00336DE3" w:rsidR="008B6AAA">
              <w:rPr>
                <w:rFonts w:ascii="Times New Roman" w:hAnsi="Times New Roman"/>
                <w:lang w:eastAsia="en-US"/>
              </w:rPr>
              <w:t>priemerný percentuálny výťažok ťažkého</w:t>
            </w:r>
          </w:p>
          <w:p w:rsidR="008B6AAA" w:rsidRPr="00336DE3" w:rsidP="00C70EAF">
            <w:pPr>
              <w:bidi w:val="0"/>
              <w:adjustRightInd w:val="0"/>
              <w:ind w:left="708"/>
              <w:rPr>
                <w:rFonts w:ascii="Times New Roman" w:hAnsi="Times New Roman"/>
                <w:lang w:eastAsia="en-US"/>
              </w:rPr>
            </w:pPr>
            <w:r w:rsidRPr="00336DE3">
              <w:rPr>
                <w:rFonts w:ascii="Times New Roman" w:hAnsi="Times New Roman"/>
                <w:lang w:eastAsia="en-US"/>
              </w:rPr>
              <w:t>benzínu,</w:t>
            </w:r>
          </w:p>
          <w:p w:rsidR="008B6AAA" w:rsidRPr="00336DE3" w:rsidP="00C70EAF">
            <w:pPr>
              <w:bidi w:val="0"/>
              <w:adjustRightInd w:val="0"/>
              <w:ind w:left="708"/>
              <w:rPr>
                <w:rFonts w:ascii="Times New Roman" w:hAnsi="Times New Roman"/>
                <w:lang w:eastAsia="en-US"/>
              </w:rPr>
            </w:pPr>
            <w:r w:rsidR="00C70EAF">
              <w:rPr>
                <w:rFonts w:ascii="Times New Roman" w:hAnsi="Times New Roman"/>
                <w:lang w:eastAsia="en-US"/>
              </w:rPr>
              <w:t xml:space="preserve">a3) </w:t>
            </w:r>
            <w:r w:rsidRPr="00336DE3">
              <w:rPr>
                <w:rFonts w:ascii="Times New Roman" w:hAnsi="Times New Roman"/>
                <w:lang w:eastAsia="en-US"/>
              </w:rPr>
              <w:t>čistá skutočná spotreba ťažkého benzínu.</w:t>
            </w:r>
          </w:p>
          <w:p w:rsidR="00992BBF" w:rsidRPr="00336DE3" w:rsidP="008B6AAA">
            <w:pPr>
              <w:bidi w:val="0"/>
              <w:adjustRightInd w:val="0"/>
              <w:rPr>
                <w:rFonts w:ascii="Times New Roman" w:eastAsia="EUAlbertina-Regu-Identity-H" w:hAnsi="Times New Roman"/>
              </w:rPr>
            </w:pPr>
            <w:r w:rsidRPr="00336DE3" w:rsidR="008B6AAA">
              <w:rPr>
                <w:rFonts w:ascii="Times New Roman" w:hAnsi="Times New Roman"/>
                <w:lang w:eastAsia="en-US"/>
              </w:rPr>
              <w:t>b)</w:t>
              <w:tab/>
              <w:t>súčet čistých dovozov všetkých ostatných ropných výrobkov okrem ťažkého benzínu, ktorý sa takisto upraví podľa zmien stavu zásob a vynásobí sa koeficientom 1,065.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  <w:r w:rsidRPr="00336DE3">
              <w:rPr>
                <w:rFonts w:ascii="Times New Roman" w:hAnsi="Times New Roman"/>
              </w:rPr>
              <w:t xml:space="preserve">Ú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textDirection w:val="lrTb"/>
            <w:vAlign w:val="top"/>
          </w:tcPr>
          <w:p w:rsidR="00992BBF" w:rsidRPr="00336DE3" w:rsidP="00992BBF">
            <w:pPr>
              <w:keepNext/>
              <w:keepLines/>
              <w:widowControl w:val="0"/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C425F6" w:rsidRPr="007520A2" w:rsidP="006950C0">
      <w:pPr>
        <w:bidi w:val="0"/>
        <w:rPr>
          <w:rFonts w:ascii="Times New Roman" w:hAnsi="Times New Roman"/>
        </w:rPr>
      </w:pPr>
    </w:p>
    <w:sectPr w:rsidSect="0054733F">
      <w:footnotePr>
        <w:numStart w:val="3"/>
        <w:numRestart w:val="eachPage"/>
      </w:footnotePr>
      <w:type w:val="continuous"/>
      <w:pgSz w:w="16840" w:h="11907" w:orient="landscape" w:code="9"/>
      <w:pgMar w:top="851" w:right="0" w:bottom="709" w:left="992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-Regu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3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3602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E223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3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E2238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208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9414CF">
      <w:pPr>
        <w:pStyle w:val="tlCM4TimesNewRoman10pt"/>
        <w:bidi w:val="0"/>
        <w:rPr>
          <w:rFonts w:ascii="Times New Roman" w:hAnsi="Times New Roman"/>
        </w:rPr>
      </w:pPr>
      <w:r w:rsidRPr="00336DE3" w:rsidR="009414CF">
        <w:rPr>
          <w:rStyle w:val="FootnoteReference"/>
          <w:rFonts w:ascii="Times New Roman" w:hAnsi="Times New Roman"/>
          <w:szCs w:val="20"/>
          <w:lang w:eastAsia="sk-SK"/>
        </w:rPr>
        <w:footnoteRef/>
      </w:r>
      <w:r w:rsidRPr="00336DE3" w:rsidR="009414CF">
        <w:rPr>
          <w:rFonts w:ascii="Times New Roman" w:hAnsi="Times New Roman"/>
          <w:szCs w:val="20"/>
        </w:rPr>
        <w:t>) Bod 3.4 prílohy A k nariadeniu Európskeho parlamentu a Rady (ES) č. 1099/2008 z 22. októbra 2008 o energetickej štatistike (Ú. v. EÚ L 304, 14. 11. 2008) v platnom znení.</w:t>
      </w:r>
    </w:p>
  </w:footnote>
  <w:footnote w:id="3">
    <w:p>
      <w:pPr>
        <w:pStyle w:val="FootnoteText"/>
        <w:bidi w:val="0"/>
      </w:pPr>
      <w:r w:rsidRPr="00336DE3" w:rsidR="0054733F">
        <w:rPr>
          <w:rStyle w:val="FootnoteReference"/>
          <w:rFonts w:ascii="Times New Roman" w:hAnsi="Times New Roman"/>
          <w:lang w:eastAsia="sk-SK"/>
        </w:rPr>
        <w:t>29</w:t>
      </w:r>
      <w:r w:rsidRPr="00336DE3" w:rsidR="0054733F">
        <w:rPr>
          <w:rFonts w:ascii="Times New Roman" w:hAnsi="Times New Roman" w:cs="Times New Roman"/>
        </w:rPr>
        <w:t>) Bod 3.1 ods. 1 prílohy C k nariadeniu (ES) č. 1099/2008 v platnom znení.</w:t>
      </w:r>
    </w:p>
  </w:footnote>
  <w:footnote w:id="4">
    <w:p>
      <w:pPr>
        <w:pStyle w:val="FootnoteText"/>
        <w:bidi w:val="0"/>
      </w:pPr>
      <w:r w:rsidRPr="0007164D" w:rsidR="005C05F8">
        <w:rPr>
          <w:rFonts w:ascii="Times New Roman" w:hAnsi="Times New Roman"/>
          <w:vertAlign w:val="superscript"/>
        </w:rPr>
        <w:t>3</w:t>
      </w:r>
      <w:r w:rsidRPr="005C05F8" w:rsidR="005C05F8">
        <w:rPr>
          <w:rFonts w:ascii="Times New Roman" w:hAnsi="Times New Roman" w:cs="Times New Roman"/>
        </w:rPr>
        <w:t>) Bod 3.4 prílohy A k nariadeniu Európskeho parlamentu a Rady (ES) č. 1099/2008 z 22. októbra 2008 o energetickej štatistike (Ú. v. EÚ L 304, 14. 11. 2008) v platnom znení.</w:t>
      </w:r>
    </w:p>
  </w:footnote>
  <w:footnote w:id="5">
    <w:p>
      <w:pPr>
        <w:pStyle w:val="FootnoteText"/>
        <w:bidi w:val="0"/>
      </w:pPr>
      <w:r w:rsidRPr="007C6644" w:rsidR="007C6644">
        <w:rPr>
          <w:rStyle w:val="FootnoteReference"/>
          <w:rFonts w:ascii="Times New Roman" w:hAnsi="Times New Roman"/>
        </w:rPr>
        <w:t>39</w:t>
      </w:r>
      <w:r w:rsidRPr="007C6644" w:rsidR="007C6644">
        <w:rPr>
          <w:rFonts w:ascii="Times New Roman" w:hAnsi="Times New Roman" w:cs="Times New Roman"/>
        </w:rPr>
        <w:t>)</w:t>
      </w:r>
      <w:r w:rsidR="007C6644">
        <w:rPr>
          <w:rFonts w:ascii="Times New Roman" w:hAnsi="Times New Roman" w:cs="Times New Roman"/>
        </w:rPr>
        <w:t xml:space="preserve"> </w:t>
      </w:r>
      <w:r w:rsidRPr="007C6644" w:rsidR="007C6644">
        <w:rPr>
          <w:rFonts w:ascii="Times New Roman" w:hAnsi="Times New Roman" w:cs="Times New Roman"/>
        </w:rPr>
        <w:t>Bod 3.2.2.11 prílohy C k nariadeniu (ES) č. 1099/2008 v platnom znení.</w:t>
      </w:r>
    </w:p>
  </w:footnote>
  <w:footnote w:id="6">
    <w:p w:rsidP="0013578E">
      <w:pPr>
        <w:pStyle w:val="FootnoteText"/>
        <w:bidi w:val="0"/>
      </w:pPr>
      <w:r w:rsidRPr="007C6644" w:rsidR="0013578E">
        <w:rPr>
          <w:rStyle w:val="FootnoteReference"/>
          <w:rFonts w:ascii="Times New Roman" w:hAnsi="Times New Roman"/>
        </w:rPr>
        <w:t>39</w:t>
      </w:r>
      <w:r w:rsidRPr="007C6644" w:rsidR="0013578E">
        <w:rPr>
          <w:rFonts w:ascii="Times New Roman" w:hAnsi="Times New Roman" w:cs="Times New Roman"/>
        </w:rPr>
        <w:t>)</w:t>
      </w:r>
      <w:r w:rsidR="0013578E">
        <w:rPr>
          <w:rFonts w:ascii="Times New Roman" w:hAnsi="Times New Roman" w:cs="Times New Roman"/>
        </w:rPr>
        <w:t xml:space="preserve"> </w:t>
      </w:r>
      <w:r w:rsidRPr="007C6644" w:rsidR="0013578E">
        <w:rPr>
          <w:rFonts w:ascii="Times New Roman" w:hAnsi="Times New Roman" w:cs="Times New Roman"/>
        </w:rPr>
        <w:t>Bod 3.2.2.11 prílohy C k nariadeniu (ES) č. 1099/2008 v platnom znení.</w:t>
      </w:r>
    </w:p>
  </w:footnote>
  <w:footnote w:id="7">
    <w:p>
      <w:pPr>
        <w:pStyle w:val="FootnoteText"/>
        <w:bidi w:val="0"/>
      </w:pPr>
      <w:r w:rsidRPr="00452F08" w:rsidR="00452F08">
        <w:rPr>
          <w:rStyle w:val="FootnoteReference"/>
          <w:rFonts w:ascii="Times New Roman" w:hAnsi="Times New Roman"/>
        </w:rPr>
        <w:t>3</w:t>
      </w:r>
      <w:r w:rsidR="00452F08">
        <w:rPr>
          <w:rFonts w:ascii="Times New Roman" w:hAnsi="Times New Roman" w:cs="Times New Roman"/>
        </w:rPr>
        <w:t xml:space="preserve">) </w:t>
      </w:r>
      <w:r w:rsidRPr="005C05F8" w:rsidR="00452F08">
        <w:rPr>
          <w:rFonts w:ascii="Times New Roman" w:hAnsi="Times New Roman" w:cs="Times New Roman"/>
        </w:rPr>
        <w:t>Bod 3.4 prílohy A k nariadeniu Európskeho parlamentu a Rady (ES) č. 1099/2008 z 22. októbra 2008 o energetickej štatistike (Ú. v. EÚ L 304, 14. 11. 2008) v platnom znení.</w:t>
      </w:r>
    </w:p>
  </w:footnote>
  <w:footnote w:id="8">
    <w:p w:rsidP="00F93EFA">
      <w:pPr>
        <w:pStyle w:val="tlCM4TimesNewRoman10pt"/>
        <w:bidi w:val="0"/>
        <w:rPr>
          <w:rFonts w:ascii="Times New Roman" w:hAnsi="Times New Roman"/>
        </w:rPr>
      </w:pPr>
      <w:r w:rsidRPr="00FF0597" w:rsidR="00741252">
        <w:rPr>
          <w:rStyle w:val="FootnoteReference"/>
          <w:rFonts w:ascii="Times New Roman" w:hAnsi="Times New Roman"/>
          <w:szCs w:val="20"/>
        </w:rPr>
        <w:t>3</w:t>
      </w:r>
      <w:r w:rsidRPr="00336DE3" w:rsidR="00741252">
        <w:rPr>
          <w:rFonts w:ascii="Times New Roman" w:hAnsi="Times New Roman"/>
          <w:szCs w:val="20"/>
        </w:rPr>
        <w:t>) Bod 3.4 prílohy A k nariadeniu Európskeho parlamentu a Rady (ES) č. 1099/2008 z 22. októbra 2008 o energetickej štatistike (Ú. v. EÚ L 304, 14. 11. 2008) v platnom znení.</w:t>
      </w:r>
    </w:p>
  </w:footnote>
  <w:footnote w:id="9">
    <w:p w:rsidP="009C3349">
      <w:pPr>
        <w:pStyle w:val="tlCM4TimesNewRoman10pt"/>
        <w:bidi w:val="0"/>
        <w:rPr>
          <w:rFonts w:ascii="Times New Roman" w:hAnsi="Times New Roman"/>
        </w:rPr>
      </w:pPr>
      <w:r w:rsidRPr="00FF0597" w:rsidR="009C3349">
        <w:rPr>
          <w:rStyle w:val="FootnoteReference"/>
          <w:rFonts w:ascii="Times New Roman" w:hAnsi="Times New Roman"/>
          <w:szCs w:val="20"/>
        </w:rPr>
        <w:t>3</w:t>
      </w:r>
      <w:r w:rsidRPr="00336DE3" w:rsidR="009C3349">
        <w:rPr>
          <w:rFonts w:ascii="Times New Roman" w:hAnsi="Times New Roman"/>
          <w:szCs w:val="20"/>
        </w:rPr>
        <w:t>) Bod 3.4 prílohy A k nariadeniu Európskeho parlamentu a Rady (ES) č. 1099/2008 z 22. októbra 2008 o energetickej štatistike (Ú. v. EÚ L 304, 14. 11. 2008) v 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3992F7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680"/>
        </w:tabs>
        <w:ind w:firstLine="680"/>
      </w:pPr>
      <w:rPr>
        <w:rFonts w:cs="Times New Roman" w:hint="default"/>
        <w:rtl w:val="0"/>
        <w:cs w:val="0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/>
      </w:pPr>
      <w:rPr>
        <w:rFonts w:cs="Times New Roman" w:hint="default"/>
        <w:rtl w:val="0"/>
        <w:cs w:val="0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/>
      </w:pPr>
      <w:rPr>
        <w:rFonts w:cs="Times New Roman" w:hint="default"/>
        <w:rtl w:val="0"/>
        <w:cs w:val="0"/>
      </w:rPr>
    </w:lvl>
    <w:lvl w:ilvl="3">
      <w:start w:val="1"/>
      <w:numFmt w:val="none"/>
      <w:pStyle w:val="HBBody4"/>
      <w:lvlJc w:val="left"/>
      <w:pPr>
        <w:tabs>
          <w:tab w:val="num" w:pos="2041"/>
        </w:tabs>
        <w:ind w:left="2041"/>
      </w:pPr>
      <w:rPr>
        <w:rFonts w:cs="Times New Roman" w:hint="default"/>
        <w:rtl w:val="0"/>
        <w:cs w:val="0"/>
      </w:rPr>
    </w:lvl>
    <w:lvl w:ilvl="4">
      <w:start w:val="1"/>
      <w:numFmt w:val="none"/>
      <w:pStyle w:val="HBBody5"/>
      <w:lvlJc w:val="left"/>
      <w:pPr>
        <w:tabs>
          <w:tab w:val="num" w:pos="2722"/>
        </w:tabs>
        <w:ind w:left="2722"/>
      </w:pPr>
      <w:rPr>
        <w:rFonts w:cs="Times New Roman" w:hint="default"/>
        <w:rtl w:val="0"/>
        <w:cs w:val="0"/>
      </w:rPr>
    </w:lvl>
    <w:lvl w:ilvl="5">
      <w:start w:val="1"/>
      <w:numFmt w:val="none"/>
      <w:pStyle w:val="HBBody6"/>
      <w:lvlJc w:val="left"/>
      <w:pPr>
        <w:tabs>
          <w:tab w:val="num" w:pos="3402"/>
        </w:tabs>
        <w:ind w:left="3402"/>
      </w:pPr>
      <w:rPr>
        <w:rFonts w:cs="Times New Roman" w:hint="default"/>
        <w:rtl w:val="0"/>
        <w:cs w:val="0"/>
      </w:rPr>
    </w:lvl>
    <w:lvl w:ilvl="6">
      <w:start w:val="1"/>
      <w:numFmt w:val="none"/>
      <w:pStyle w:val="HBBody7"/>
      <w:lvlJc w:val="left"/>
      <w:pPr>
        <w:tabs>
          <w:tab w:val="num" w:pos="4082"/>
        </w:tabs>
        <w:ind w:left="4082"/>
      </w:pPr>
      <w:rPr>
        <w:rFonts w:cs="Times New Roman" w:hint="default"/>
        <w:rtl w:val="0"/>
        <w:cs w:val="0"/>
      </w:rPr>
    </w:lvl>
    <w:lvl w:ilvl="7">
      <w:start w:val="1"/>
      <w:numFmt w:val="none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none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1D295CD9"/>
    <w:multiLevelType w:val="hybridMultilevel"/>
    <w:tmpl w:val="2F30A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3013E5"/>
    <w:multiLevelType w:val="hybridMultilevel"/>
    <w:tmpl w:val="096CCB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514385"/>
    <w:multiLevelType w:val="hybridMultilevel"/>
    <w:tmpl w:val="096CCB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CC4570"/>
    <w:multiLevelType w:val="hybridMultilevel"/>
    <w:tmpl w:val="E7DA3F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F37C8E"/>
    <w:multiLevelType w:val="hybridMultilevel"/>
    <w:tmpl w:val="DB4CAAD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B45BB1"/>
    <w:multiLevelType w:val="hybridMultilevel"/>
    <w:tmpl w:val="A232C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CDE163C"/>
    <w:multiLevelType w:val="multilevel"/>
    <w:tmpl w:val="4A54CC42"/>
    <w:styleLink w:val="HBalphaOutline"/>
    <w:lvl w:ilvl="0">
      <w:start w:val="1"/>
      <w:numFmt w:val="lowerLetter"/>
      <w:pStyle w:val="HBalpha1"/>
      <w:lvlText w:val="%1)"/>
      <w:lvlJc w:val="left"/>
      <w:pPr>
        <w:tabs>
          <w:tab w:val="num" w:pos="680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cs="Times New Roman" w:hint="default"/>
        <w:rtl w:val="0"/>
        <w:cs w:val="0"/>
      </w:rPr>
    </w:lvl>
    <w:lvl w:ilvl="2">
      <w:start w:val="1"/>
      <w:numFmt w:val="low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cs="Times New Roman" w:hint="default"/>
        <w:rtl w:val="0"/>
        <w:cs w:val="0"/>
      </w:rPr>
    </w:lvl>
    <w:lvl w:ilvl="3">
      <w:start w:val="1"/>
      <w:numFmt w:val="low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  <w:rtl w:val="0"/>
        <w:cs w:val="0"/>
      </w:rPr>
    </w:lvl>
    <w:lvl w:ilvl="4">
      <w:start w:val="1"/>
      <w:numFmt w:val="low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51073385"/>
    <w:multiLevelType w:val="singleLevel"/>
    <w:tmpl w:val="3C26CE8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FE3066"/>
    <w:multiLevelType w:val="hybridMultilevel"/>
    <w:tmpl w:val="096CCB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F125EB"/>
    <w:multiLevelType w:val="multilevel"/>
    <w:tmpl w:val="03205148"/>
    <w:styleLink w:val="HBListNumbers"/>
    <w:lvl w:ilvl="0">
      <w:start w:val="1"/>
      <w:numFmt w:val="decimal"/>
      <w:pStyle w:val="HBListNumbers1"/>
      <w:lvlText w:val="(%1)"/>
      <w:lvlJc w:val="left"/>
      <w:pPr>
        <w:tabs>
          <w:tab w:val="num" w:pos="680"/>
        </w:tabs>
        <w:ind w:firstLine="68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1">
    <w:nsid w:val="778C0A47"/>
    <w:multiLevelType w:val="hybridMultilevel"/>
    <w:tmpl w:val="4FA837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numStart w:val="3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C425F6"/>
    <w:rsid w:val="0000708A"/>
    <w:rsid w:val="000110B1"/>
    <w:rsid w:val="00015069"/>
    <w:rsid w:val="000152B2"/>
    <w:rsid w:val="00021E28"/>
    <w:rsid w:val="000270A7"/>
    <w:rsid w:val="00031E62"/>
    <w:rsid w:val="00035350"/>
    <w:rsid w:val="0004007A"/>
    <w:rsid w:val="0004183C"/>
    <w:rsid w:val="00041FEC"/>
    <w:rsid w:val="000424F5"/>
    <w:rsid w:val="00043D4B"/>
    <w:rsid w:val="00052305"/>
    <w:rsid w:val="0005256B"/>
    <w:rsid w:val="000526CA"/>
    <w:rsid w:val="00060727"/>
    <w:rsid w:val="00061E44"/>
    <w:rsid w:val="00063E96"/>
    <w:rsid w:val="00065D2C"/>
    <w:rsid w:val="00067BF6"/>
    <w:rsid w:val="0007164D"/>
    <w:rsid w:val="00073B7F"/>
    <w:rsid w:val="000751D2"/>
    <w:rsid w:val="0008096B"/>
    <w:rsid w:val="0008194D"/>
    <w:rsid w:val="0008324D"/>
    <w:rsid w:val="00090AF1"/>
    <w:rsid w:val="00091B39"/>
    <w:rsid w:val="00093ECF"/>
    <w:rsid w:val="0009458A"/>
    <w:rsid w:val="00094D5F"/>
    <w:rsid w:val="00095945"/>
    <w:rsid w:val="000A03E5"/>
    <w:rsid w:val="000A5866"/>
    <w:rsid w:val="000B3B78"/>
    <w:rsid w:val="000B43F1"/>
    <w:rsid w:val="000B636E"/>
    <w:rsid w:val="000B66E7"/>
    <w:rsid w:val="000C7858"/>
    <w:rsid w:val="000D497E"/>
    <w:rsid w:val="000E4A50"/>
    <w:rsid w:val="000E5DB2"/>
    <w:rsid w:val="000E6227"/>
    <w:rsid w:val="000F4266"/>
    <w:rsid w:val="000F7D7C"/>
    <w:rsid w:val="00102A62"/>
    <w:rsid w:val="001032DF"/>
    <w:rsid w:val="00103426"/>
    <w:rsid w:val="001038F8"/>
    <w:rsid w:val="00103AA6"/>
    <w:rsid w:val="001074DC"/>
    <w:rsid w:val="001077DD"/>
    <w:rsid w:val="001125EB"/>
    <w:rsid w:val="00116335"/>
    <w:rsid w:val="0011665A"/>
    <w:rsid w:val="00123CF8"/>
    <w:rsid w:val="00124B6C"/>
    <w:rsid w:val="00125E93"/>
    <w:rsid w:val="00127451"/>
    <w:rsid w:val="00132B93"/>
    <w:rsid w:val="001356CC"/>
    <w:rsid w:val="0013578E"/>
    <w:rsid w:val="001402E7"/>
    <w:rsid w:val="001430D2"/>
    <w:rsid w:val="00146087"/>
    <w:rsid w:val="00152560"/>
    <w:rsid w:val="00152874"/>
    <w:rsid w:val="00153A40"/>
    <w:rsid w:val="001554EC"/>
    <w:rsid w:val="00155DED"/>
    <w:rsid w:val="001578DB"/>
    <w:rsid w:val="001607E0"/>
    <w:rsid w:val="001627D7"/>
    <w:rsid w:val="00167553"/>
    <w:rsid w:val="0017048D"/>
    <w:rsid w:val="00171FBF"/>
    <w:rsid w:val="00173D5B"/>
    <w:rsid w:val="00175B37"/>
    <w:rsid w:val="0017789E"/>
    <w:rsid w:val="00184900"/>
    <w:rsid w:val="00184907"/>
    <w:rsid w:val="00195C13"/>
    <w:rsid w:val="001A4C66"/>
    <w:rsid w:val="001A5262"/>
    <w:rsid w:val="001B405B"/>
    <w:rsid w:val="001B52BA"/>
    <w:rsid w:val="001B62C9"/>
    <w:rsid w:val="001C212B"/>
    <w:rsid w:val="001C7CA1"/>
    <w:rsid w:val="001D5F2A"/>
    <w:rsid w:val="001E4FC8"/>
    <w:rsid w:val="001E7458"/>
    <w:rsid w:val="001F2ADC"/>
    <w:rsid w:val="002016D7"/>
    <w:rsid w:val="00214237"/>
    <w:rsid w:val="002226D0"/>
    <w:rsid w:val="00223ED2"/>
    <w:rsid w:val="0022648E"/>
    <w:rsid w:val="002277D9"/>
    <w:rsid w:val="00233347"/>
    <w:rsid w:val="00242870"/>
    <w:rsid w:val="00245D94"/>
    <w:rsid w:val="00247182"/>
    <w:rsid w:val="00250028"/>
    <w:rsid w:val="0025329D"/>
    <w:rsid w:val="002545EB"/>
    <w:rsid w:val="00257627"/>
    <w:rsid w:val="00257D55"/>
    <w:rsid w:val="00261020"/>
    <w:rsid w:val="0026225F"/>
    <w:rsid w:val="002720CE"/>
    <w:rsid w:val="0027466F"/>
    <w:rsid w:val="00275843"/>
    <w:rsid w:val="00286532"/>
    <w:rsid w:val="002962BE"/>
    <w:rsid w:val="002979F8"/>
    <w:rsid w:val="00297FE9"/>
    <w:rsid w:val="002A05AC"/>
    <w:rsid w:val="002A1AB5"/>
    <w:rsid w:val="002A22AE"/>
    <w:rsid w:val="002A35C9"/>
    <w:rsid w:val="002A3EF7"/>
    <w:rsid w:val="002B0E75"/>
    <w:rsid w:val="002B2274"/>
    <w:rsid w:val="002B27E2"/>
    <w:rsid w:val="002B3E02"/>
    <w:rsid w:val="002B7151"/>
    <w:rsid w:val="002C4254"/>
    <w:rsid w:val="002D0426"/>
    <w:rsid w:val="002D3256"/>
    <w:rsid w:val="002D435F"/>
    <w:rsid w:val="002D5209"/>
    <w:rsid w:val="002D65EA"/>
    <w:rsid w:val="002E1A19"/>
    <w:rsid w:val="002E2FCB"/>
    <w:rsid w:val="002E418B"/>
    <w:rsid w:val="002E47BD"/>
    <w:rsid w:val="002E7690"/>
    <w:rsid w:val="002F2483"/>
    <w:rsid w:val="002F3D8F"/>
    <w:rsid w:val="002F4973"/>
    <w:rsid w:val="00320A13"/>
    <w:rsid w:val="00321806"/>
    <w:rsid w:val="003256B3"/>
    <w:rsid w:val="00326E1B"/>
    <w:rsid w:val="0033223D"/>
    <w:rsid w:val="00334123"/>
    <w:rsid w:val="00334E56"/>
    <w:rsid w:val="003350A1"/>
    <w:rsid w:val="0033670E"/>
    <w:rsid w:val="00336DE3"/>
    <w:rsid w:val="00337BE8"/>
    <w:rsid w:val="00341926"/>
    <w:rsid w:val="0034582E"/>
    <w:rsid w:val="003513B6"/>
    <w:rsid w:val="00357976"/>
    <w:rsid w:val="00360EC2"/>
    <w:rsid w:val="00363080"/>
    <w:rsid w:val="00366DE1"/>
    <w:rsid w:val="00372A89"/>
    <w:rsid w:val="00374716"/>
    <w:rsid w:val="00377B8B"/>
    <w:rsid w:val="003827D6"/>
    <w:rsid w:val="0038307D"/>
    <w:rsid w:val="003837EF"/>
    <w:rsid w:val="003853DB"/>
    <w:rsid w:val="003926CB"/>
    <w:rsid w:val="003928DD"/>
    <w:rsid w:val="00393118"/>
    <w:rsid w:val="0039426C"/>
    <w:rsid w:val="003A18D8"/>
    <w:rsid w:val="003A510E"/>
    <w:rsid w:val="003A5A1D"/>
    <w:rsid w:val="003B063C"/>
    <w:rsid w:val="003B4DF8"/>
    <w:rsid w:val="003B664E"/>
    <w:rsid w:val="003C1AF4"/>
    <w:rsid w:val="003C3546"/>
    <w:rsid w:val="003C3D6D"/>
    <w:rsid w:val="003C4352"/>
    <w:rsid w:val="003C4CE7"/>
    <w:rsid w:val="003D1960"/>
    <w:rsid w:val="003D2470"/>
    <w:rsid w:val="003D477A"/>
    <w:rsid w:val="003D5BF0"/>
    <w:rsid w:val="003D6788"/>
    <w:rsid w:val="003D7A48"/>
    <w:rsid w:val="003E0D05"/>
    <w:rsid w:val="003E253C"/>
    <w:rsid w:val="003E6C3C"/>
    <w:rsid w:val="003E6E1C"/>
    <w:rsid w:val="003E74EF"/>
    <w:rsid w:val="003F1DFA"/>
    <w:rsid w:val="003F2FBC"/>
    <w:rsid w:val="003F49C1"/>
    <w:rsid w:val="00404AE4"/>
    <w:rsid w:val="004061A1"/>
    <w:rsid w:val="00406EB4"/>
    <w:rsid w:val="004108E8"/>
    <w:rsid w:val="00410CCD"/>
    <w:rsid w:val="00417E35"/>
    <w:rsid w:val="00420040"/>
    <w:rsid w:val="0042083B"/>
    <w:rsid w:val="004256AC"/>
    <w:rsid w:val="00426702"/>
    <w:rsid w:val="0043032F"/>
    <w:rsid w:val="004350FF"/>
    <w:rsid w:val="0044144F"/>
    <w:rsid w:val="00443933"/>
    <w:rsid w:val="004457EB"/>
    <w:rsid w:val="00452E0F"/>
    <w:rsid w:val="00452F08"/>
    <w:rsid w:val="0046177F"/>
    <w:rsid w:val="004659F7"/>
    <w:rsid w:val="00467BFB"/>
    <w:rsid w:val="00473082"/>
    <w:rsid w:val="00474E4B"/>
    <w:rsid w:val="004809D9"/>
    <w:rsid w:val="00481D91"/>
    <w:rsid w:val="00487602"/>
    <w:rsid w:val="00495E7A"/>
    <w:rsid w:val="00497A67"/>
    <w:rsid w:val="004A27BD"/>
    <w:rsid w:val="004A2DC8"/>
    <w:rsid w:val="004A643E"/>
    <w:rsid w:val="004A71DA"/>
    <w:rsid w:val="004B1881"/>
    <w:rsid w:val="004B484B"/>
    <w:rsid w:val="004B5377"/>
    <w:rsid w:val="004B698B"/>
    <w:rsid w:val="004B6B7D"/>
    <w:rsid w:val="004C0802"/>
    <w:rsid w:val="004C0C1E"/>
    <w:rsid w:val="004D3A29"/>
    <w:rsid w:val="004D7578"/>
    <w:rsid w:val="004E1CB9"/>
    <w:rsid w:val="004E213F"/>
    <w:rsid w:val="004E33B9"/>
    <w:rsid w:val="004E785B"/>
    <w:rsid w:val="004F1845"/>
    <w:rsid w:val="004F3F11"/>
    <w:rsid w:val="004F7A48"/>
    <w:rsid w:val="0050175E"/>
    <w:rsid w:val="00501F31"/>
    <w:rsid w:val="00502ADD"/>
    <w:rsid w:val="00507767"/>
    <w:rsid w:val="00512034"/>
    <w:rsid w:val="0051250B"/>
    <w:rsid w:val="005174B6"/>
    <w:rsid w:val="00523C83"/>
    <w:rsid w:val="005241DB"/>
    <w:rsid w:val="005254B3"/>
    <w:rsid w:val="0053022E"/>
    <w:rsid w:val="00531B23"/>
    <w:rsid w:val="00532B51"/>
    <w:rsid w:val="00533721"/>
    <w:rsid w:val="00534A2B"/>
    <w:rsid w:val="0054192A"/>
    <w:rsid w:val="0054733F"/>
    <w:rsid w:val="00555154"/>
    <w:rsid w:val="00567629"/>
    <w:rsid w:val="005713BF"/>
    <w:rsid w:val="00572AF6"/>
    <w:rsid w:val="00576E70"/>
    <w:rsid w:val="005770B6"/>
    <w:rsid w:val="0057742E"/>
    <w:rsid w:val="00581F37"/>
    <w:rsid w:val="0058205B"/>
    <w:rsid w:val="00591467"/>
    <w:rsid w:val="00593EE1"/>
    <w:rsid w:val="005A24CC"/>
    <w:rsid w:val="005A4E70"/>
    <w:rsid w:val="005A598C"/>
    <w:rsid w:val="005B2F23"/>
    <w:rsid w:val="005B70B6"/>
    <w:rsid w:val="005C05F8"/>
    <w:rsid w:val="005C62C4"/>
    <w:rsid w:val="005C669C"/>
    <w:rsid w:val="005C77AC"/>
    <w:rsid w:val="005D2EE0"/>
    <w:rsid w:val="005D3206"/>
    <w:rsid w:val="005E2238"/>
    <w:rsid w:val="005E460F"/>
    <w:rsid w:val="005E75D8"/>
    <w:rsid w:val="005E7C49"/>
    <w:rsid w:val="005F3862"/>
    <w:rsid w:val="00607422"/>
    <w:rsid w:val="006117AA"/>
    <w:rsid w:val="006126A1"/>
    <w:rsid w:val="00614DB8"/>
    <w:rsid w:val="0062069A"/>
    <w:rsid w:val="006238E1"/>
    <w:rsid w:val="006241B3"/>
    <w:rsid w:val="00627D65"/>
    <w:rsid w:val="00637EB4"/>
    <w:rsid w:val="0064143C"/>
    <w:rsid w:val="00644F0D"/>
    <w:rsid w:val="00645C54"/>
    <w:rsid w:val="00646F47"/>
    <w:rsid w:val="00647B42"/>
    <w:rsid w:val="0065124B"/>
    <w:rsid w:val="00653AEF"/>
    <w:rsid w:val="00654361"/>
    <w:rsid w:val="00657473"/>
    <w:rsid w:val="00664B91"/>
    <w:rsid w:val="006705E4"/>
    <w:rsid w:val="0068596D"/>
    <w:rsid w:val="006950C0"/>
    <w:rsid w:val="00695AB7"/>
    <w:rsid w:val="006970F9"/>
    <w:rsid w:val="006A1193"/>
    <w:rsid w:val="006A14E2"/>
    <w:rsid w:val="006B3E86"/>
    <w:rsid w:val="006B7E21"/>
    <w:rsid w:val="006C0923"/>
    <w:rsid w:val="006C24F1"/>
    <w:rsid w:val="006C4B0A"/>
    <w:rsid w:val="006C6D97"/>
    <w:rsid w:val="006E287B"/>
    <w:rsid w:val="006F3688"/>
    <w:rsid w:val="006F474F"/>
    <w:rsid w:val="006F7619"/>
    <w:rsid w:val="00703C4C"/>
    <w:rsid w:val="0070596C"/>
    <w:rsid w:val="00707966"/>
    <w:rsid w:val="00711716"/>
    <w:rsid w:val="00711F2A"/>
    <w:rsid w:val="0071242E"/>
    <w:rsid w:val="00714965"/>
    <w:rsid w:val="007202EF"/>
    <w:rsid w:val="00723050"/>
    <w:rsid w:val="00726331"/>
    <w:rsid w:val="007278DC"/>
    <w:rsid w:val="00731881"/>
    <w:rsid w:val="0073509A"/>
    <w:rsid w:val="00736028"/>
    <w:rsid w:val="0073636F"/>
    <w:rsid w:val="007371CF"/>
    <w:rsid w:val="00741252"/>
    <w:rsid w:val="0074729E"/>
    <w:rsid w:val="007472D9"/>
    <w:rsid w:val="00747CFA"/>
    <w:rsid w:val="007505EE"/>
    <w:rsid w:val="007520A2"/>
    <w:rsid w:val="00752ADC"/>
    <w:rsid w:val="00764DCA"/>
    <w:rsid w:val="007662A9"/>
    <w:rsid w:val="00774D26"/>
    <w:rsid w:val="00775E2F"/>
    <w:rsid w:val="007861BC"/>
    <w:rsid w:val="007967C4"/>
    <w:rsid w:val="00796EE7"/>
    <w:rsid w:val="007A0BEA"/>
    <w:rsid w:val="007A1707"/>
    <w:rsid w:val="007A2475"/>
    <w:rsid w:val="007A4205"/>
    <w:rsid w:val="007B28EB"/>
    <w:rsid w:val="007B3A5A"/>
    <w:rsid w:val="007C0C75"/>
    <w:rsid w:val="007C0DE0"/>
    <w:rsid w:val="007C589E"/>
    <w:rsid w:val="007C5D09"/>
    <w:rsid w:val="007C6644"/>
    <w:rsid w:val="007D0534"/>
    <w:rsid w:val="007D2096"/>
    <w:rsid w:val="007D30F3"/>
    <w:rsid w:val="007D3C29"/>
    <w:rsid w:val="007D5B47"/>
    <w:rsid w:val="007E0531"/>
    <w:rsid w:val="007E140A"/>
    <w:rsid w:val="007E3E35"/>
    <w:rsid w:val="007E5231"/>
    <w:rsid w:val="007F035F"/>
    <w:rsid w:val="007F3E76"/>
    <w:rsid w:val="007F45A3"/>
    <w:rsid w:val="007F45D2"/>
    <w:rsid w:val="007F5AEF"/>
    <w:rsid w:val="007F67E6"/>
    <w:rsid w:val="0080092B"/>
    <w:rsid w:val="00802FA3"/>
    <w:rsid w:val="00806A24"/>
    <w:rsid w:val="0081015E"/>
    <w:rsid w:val="00811CB8"/>
    <w:rsid w:val="00814FC3"/>
    <w:rsid w:val="0082215D"/>
    <w:rsid w:val="0082796C"/>
    <w:rsid w:val="00834090"/>
    <w:rsid w:val="008348C8"/>
    <w:rsid w:val="0083682E"/>
    <w:rsid w:val="008404D4"/>
    <w:rsid w:val="00840F80"/>
    <w:rsid w:val="00844AB9"/>
    <w:rsid w:val="00845905"/>
    <w:rsid w:val="008520CC"/>
    <w:rsid w:val="00865F70"/>
    <w:rsid w:val="008662AD"/>
    <w:rsid w:val="00867DD0"/>
    <w:rsid w:val="00877F3F"/>
    <w:rsid w:val="008848D3"/>
    <w:rsid w:val="00884C25"/>
    <w:rsid w:val="00891ABE"/>
    <w:rsid w:val="0089408C"/>
    <w:rsid w:val="008A13AA"/>
    <w:rsid w:val="008A3305"/>
    <w:rsid w:val="008A406D"/>
    <w:rsid w:val="008A4DF1"/>
    <w:rsid w:val="008A7DA6"/>
    <w:rsid w:val="008B05AC"/>
    <w:rsid w:val="008B2D00"/>
    <w:rsid w:val="008B6AAA"/>
    <w:rsid w:val="008C38C8"/>
    <w:rsid w:val="008C682C"/>
    <w:rsid w:val="008C76DB"/>
    <w:rsid w:val="008C797A"/>
    <w:rsid w:val="008E181C"/>
    <w:rsid w:val="008E77B5"/>
    <w:rsid w:val="008F08C4"/>
    <w:rsid w:val="008F133C"/>
    <w:rsid w:val="008F3FBC"/>
    <w:rsid w:val="00901099"/>
    <w:rsid w:val="00904266"/>
    <w:rsid w:val="00911429"/>
    <w:rsid w:val="00915D80"/>
    <w:rsid w:val="009165ED"/>
    <w:rsid w:val="009221AB"/>
    <w:rsid w:val="009244D6"/>
    <w:rsid w:val="00933406"/>
    <w:rsid w:val="00933658"/>
    <w:rsid w:val="00934C7F"/>
    <w:rsid w:val="00935224"/>
    <w:rsid w:val="009373F9"/>
    <w:rsid w:val="009414CF"/>
    <w:rsid w:val="009418A7"/>
    <w:rsid w:val="0094197F"/>
    <w:rsid w:val="00943D39"/>
    <w:rsid w:val="009516A8"/>
    <w:rsid w:val="009566E8"/>
    <w:rsid w:val="009574DC"/>
    <w:rsid w:val="00961238"/>
    <w:rsid w:val="0096242D"/>
    <w:rsid w:val="00970DE6"/>
    <w:rsid w:val="0097215B"/>
    <w:rsid w:val="00972CA9"/>
    <w:rsid w:val="00981216"/>
    <w:rsid w:val="009864AB"/>
    <w:rsid w:val="00986B02"/>
    <w:rsid w:val="00992BBF"/>
    <w:rsid w:val="0099616B"/>
    <w:rsid w:val="00996273"/>
    <w:rsid w:val="009A6459"/>
    <w:rsid w:val="009A692E"/>
    <w:rsid w:val="009A7D97"/>
    <w:rsid w:val="009B3BF1"/>
    <w:rsid w:val="009B7782"/>
    <w:rsid w:val="009C3349"/>
    <w:rsid w:val="009C3F11"/>
    <w:rsid w:val="009D0759"/>
    <w:rsid w:val="009D2823"/>
    <w:rsid w:val="009D4462"/>
    <w:rsid w:val="009D671E"/>
    <w:rsid w:val="009D799E"/>
    <w:rsid w:val="009D7E72"/>
    <w:rsid w:val="009E03A5"/>
    <w:rsid w:val="009E163A"/>
    <w:rsid w:val="009F0983"/>
    <w:rsid w:val="009F0A68"/>
    <w:rsid w:val="009F2EA0"/>
    <w:rsid w:val="009F496B"/>
    <w:rsid w:val="009F7089"/>
    <w:rsid w:val="009F78BE"/>
    <w:rsid w:val="009F7E82"/>
    <w:rsid w:val="00A00B1C"/>
    <w:rsid w:val="00A021A4"/>
    <w:rsid w:val="00A035CC"/>
    <w:rsid w:val="00A057F6"/>
    <w:rsid w:val="00A079C3"/>
    <w:rsid w:val="00A10088"/>
    <w:rsid w:val="00A10A5A"/>
    <w:rsid w:val="00A17230"/>
    <w:rsid w:val="00A219EF"/>
    <w:rsid w:val="00A32750"/>
    <w:rsid w:val="00A3480B"/>
    <w:rsid w:val="00A36D84"/>
    <w:rsid w:val="00A42E8F"/>
    <w:rsid w:val="00A50AA1"/>
    <w:rsid w:val="00A51974"/>
    <w:rsid w:val="00A54029"/>
    <w:rsid w:val="00A572AB"/>
    <w:rsid w:val="00A62112"/>
    <w:rsid w:val="00A639A5"/>
    <w:rsid w:val="00A6752F"/>
    <w:rsid w:val="00A72333"/>
    <w:rsid w:val="00A75878"/>
    <w:rsid w:val="00A803EA"/>
    <w:rsid w:val="00A82479"/>
    <w:rsid w:val="00A82544"/>
    <w:rsid w:val="00A864FC"/>
    <w:rsid w:val="00A91397"/>
    <w:rsid w:val="00A96746"/>
    <w:rsid w:val="00AA505D"/>
    <w:rsid w:val="00AA6BD8"/>
    <w:rsid w:val="00AA7064"/>
    <w:rsid w:val="00AB6F37"/>
    <w:rsid w:val="00AC6670"/>
    <w:rsid w:val="00AC6969"/>
    <w:rsid w:val="00AC760C"/>
    <w:rsid w:val="00AD0C1A"/>
    <w:rsid w:val="00AD4104"/>
    <w:rsid w:val="00AD4623"/>
    <w:rsid w:val="00AD4776"/>
    <w:rsid w:val="00AE1A61"/>
    <w:rsid w:val="00AE2AFD"/>
    <w:rsid w:val="00AF6073"/>
    <w:rsid w:val="00B019C1"/>
    <w:rsid w:val="00B055EC"/>
    <w:rsid w:val="00B14A8F"/>
    <w:rsid w:val="00B16108"/>
    <w:rsid w:val="00B16240"/>
    <w:rsid w:val="00B164C6"/>
    <w:rsid w:val="00B17CDD"/>
    <w:rsid w:val="00B22C26"/>
    <w:rsid w:val="00B22EF2"/>
    <w:rsid w:val="00B24361"/>
    <w:rsid w:val="00B253D8"/>
    <w:rsid w:val="00B26F40"/>
    <w:rsid w:val="00B4047C"/>
    <w:rsid w:val="00B46F4B"/>
    <w:rsid w:val="00B47476"/>
    <w:rsid w:val="00B50803"/>
    <w:rsid w:val="00B52746"/>
    <w:rsid w:val="00B52BC4"/>
    <w:rsid w:val="00B53E8E"/>
    <w:rsid w:val="00B547AE"/>
    <w:rsid w:val="00B57FF1"/>
    <w:rsid w:val="00B62A67"/>
    <w:rsid w:val="00B657D4"/>
    <w:rsid w:val="00B70388"/>
    <w:rsid w:val="00B74B55"/>
    <w:rsid w:val="00B766E6"/>
    <w:rsid w:val="00B77FD1"/>
    <w:rsid w:val="00B8569E"/>
    <w:rsid w:val="00B871A8"/>
    <w:rsid w:val="00B93AFE"/>
    <w:rsid w:val="00B94768"/>
    <w:rsid w:val="00B95015"/>
    <w:rsid w:val="00B97279"/>
    <w:rsid w:val="00BA0031"/>
    <w:rsid w:val="00BA27B2"/>
    <w:rsid w:val="00BA2F15"/>
    <w:rsid w:val="00BA5CD8"/>
    <w:rsid w:val="00BA7421"/>
    <w:rsid w:val="00BB3075"/>
    <w:rsid w:val="00BB30C1"/>
    <w:rsid w:val="00BB59DF"/>
    <w:rsid w:val="00BB5F72"/>
    <w:rsid w:val="00BC3CA2"/>
    <w:rsid w:val="00BC46DA"/>
    <w:rsid w:val="00BD001C"/>
    <w:rsid w:val="00BD08B7"/>
    <w:rsid w:val="00BD2722"/>
    <w:rsid w:val="00BD5220"/>
    <w:rsid w:val="00BE06A4"/>
    <w:rsid w:val="00BE1ED5"/>
    <w:rsid w:val="00BE2B71"/>
    <w:rsid w:val="00BE5A92"/>
    <w:rsid w:val="00BE6C2A"/>
    <w:rsid w:val="00BF4450"/>
    <w:rsid w:val="00BF5391"/>
    <w:rsid w:val="00C0319B"/>
    <w:rsid w:val="00C038C9"/>
    <w:rsid w:val="00C04373"/>
    <w:rsid w:val="00C128B7"/>
    <w:rsid w:val="00C157B3"/>
    <w:rsid w:val="00C219A1"/>
    <w:rsid w:val="00C21F03"/>
    <w:rsid w:val="00C22F2A"/>
    <w:rsid w:val="00C26BCA"/>
    <w:rsid w:val="00C425F6"/>
    <w:rsid w:val="00C43BDE"/>
    <w:rsid w:val="00C47576"/>
    <w:rsid w:val="00C510E0"/>
    <w:rsid w:val="00C574BF"/>
    <w:rsid w:val="00C645DD"/>
    <w:rsid w:val="00C6483D"/>
    <w:rsid w:val="00C65E77"/>
    <w:rsid w:val="00C67F26"/>
    <w:rsid w:val="00C70EAF"/>
    <w:rsid w:val="00C739A1"/>
    <w:rsid w:val="00C7764F"/>
    <w:rsid w:val="00C81EF2"/>
    <w:rsid w:val="00C856BA"/>
    <w:rsid w:val="00C85719"/>
    <w:rsid w:val="00C87E4F"/>
    <w:rsid w:val="00C94C7F"/>
    <w:rsid w:val="00C95445"/>
    <w:rsid w:val="00CA35D7"/>
    <w:rsid w:val="00CB3E9E"/>
    <w:rsid w:val="00CB4130"/>
    <w:rsid w:val="00CC2185"/>
    <w:rsid w:val="00CC505F"/>
    <w:rsid w:val="00CC6F14"/>
    <w:rsid w:val="00CD16E7"/>
    <w:rsid w:val="00CD6CE7"/>
    <w:rsid w:val="00CE0889"/>
    <w:rsid w:val="00CE5F0E"/>
    <w:rsid w:val="00CE78D7"/>
    <w:rsid w:val="00CF7C5A"/>
    <w:rsid w:val="00D03C68"/>
    <w:rsid w:val="00D11388"/>
    <w:rsid w:val="00D11F4D"/>
    <w:rsid w:val="00D214D8"/>
    <w:rsid w:val="00D229B6"/>
    <w:rsid w:val="00D24050"/>
    <w:rsid w:val="00D2423B"/>
    <w:rsid w:val="00D35911"/>
    <w:rsid w:val="00D37C68"/>
    <w:rsid w:val="00D41750"/>
    <w:rsid w:val="00D4249E"/>
    <w:rsid w:val="00D44354"/>
    <w:rsid w:val="00D507E3"/>
    <w:rsid w:val="00D54C9B"/>
    <w:rsid w:val="00D5644B"/>
    <w:rsid w:val="00D62199"/>
    <w:rsid w:val="00D70DD7"/>
    <w:rsid w:val="00D71552"/>
    <w:rsid w:val="00D724C8"/>
    <w:rsid w:val="00D730C5"/>
    <w:rsid w:val="00D81E74"/>
    <w:rsid w:val="00D87D5D"/>
    <w:rsid w:val="00D924D8"/>
    <w:rsid w:val="00D92B17"/>
    <w:rsid w:val="00D9438C"/>
    <w:rsid w:val="00D96913"/>
    <w:rsid w:val="00DA1217"/>
    <w:rsid w:val="00DA347E"/>
    <w:rsid w:val="00DA6C84"/>
    <w:rsid w:val="00DA7A45"/>
    <w:rsid w:val="00DB0005"/>
    <w:rsid w:val="00DB12EB"/>
    <w:rsid w:val="00DB4C36"/>
    <w:rsid w:val="00DB7F85"/>
    <w:rsid w:val="00DC2787"/>
    <w:rsid w:val="00DC584C"/>
    <w:rsid w:val="00DC6203"/>
    <w:rsid w:val="00DC7551"/>
    <w:rsid w:val="00DD0D6B"/>
    <w:rsid w:val="00DD146F"/>
    <w:rsid w:val="00DD7F86"/>
    <w:rsid w:val="00DE1211"/>
    <w:rsid w:val="00DE3B8C"/>
    <w:rsid w:val="00DE5D10"/>
    <w:rsid w:val="00DE62B8"/>
    <w:rsid w:val="00DF134B"/>
    <w:rsid w:val="00DF23FF"/>
    <w:rsid w:val="00DF4920"/>
    <w:rsid w:val="00DF4FA0"/>
    <w:rsid w:val="00DF55AD"/>
    <w:rsid w:val="00DF587E"/>
    <w:rsid w:val="00DF5FFC"/>
    <w:rsid w:val="00E0107B"/>
    <w:rsid w:val="00E020C1"/>
    <w:rsid w:val="00E025ED"/>
    <w:rsid w:val="00E06EE3"/>
    <w:rsid w:val="00E076C4"/>
    <w:rsid w:val="00E14DBE"/>
    <w:rsid w:val="00E15DAA"/>
    <w:rsid w:val="00E17398"/>
    <w:rsid w:val="00E222AE"/>
    <w:rsid w:val="00E30399"/>
    <w:rsid w:val="00E33FF8"/>
    <w:rsid w:val="00E344A4"/>
    <w:rsid w:val="00E36E59"/>
    <w:rsid w:val="00E40583"/>
    <w:rsid w:val="00E41AD8"/>
    <w:rsid w:val="00E44951"/>
    <w:rsid w:val="00E476BC"/>
    <w:rsid w:val="00E54F65"/>
    <w:rsid w:val="00E55F0F"/>
    <w:rsid w:val="00E613A2"/>
    <w:rsid w:val="00E63125"/>
    <w:rsid w:val="00E639BE"/>
    <w:rsid w:val="00E67619"/>
    <w:rsid w:val="00E92A0A"/>
    <w:rsid w:val="00E965B5"/>
    <w:rsid w:val="00EA42B1"/>
    <w:rsid w:val="00EA4760"/>
    <w:rsid w:val="00EA60EA"/>
    <w:rsid w:val="00EB49CC"/>
    <w:rsid w:val="00EB7498"/>
    <w:rsid w:val="00EC078C"/>
    <w:rsid w:val="00EC2480"/>
    <w:rsid w:val="00EC3646"/>
    <w:rsid w:val="00EC392D"/>
    <w:rsid w:val="00EC494A"/>
    <w:rsid w:val="00EC5CEA"/>
    <w:rsid w:val="00EC6A89"/>
    <w:rsid w:val="00ED209A"/>
    <w:rsid w:val="00ED219D"/>
    <w:rsid w:val="00ED7D6A"/>
    <w:rsid w:val="00EE0981"/>
    <w:rsid w:val="00EE6BED"/>
    <w:rsid w:val="00EE77D7"/>
    <w:rsid w:val="00EF1466"/>
    <w:rsid w:val="00EF24C5"/>
    <w:rsid w:val="00EF5AA2"/>
    <w:rsid w:val="00F00B7E"/>
    <w:rsid w:val="00F0149E"/>
    <w:rsid w:val="00F0265D"/>
    <w:rsid w:val="00F04234"/>
    <w:rsid w:val="00F27182"/>
    <w:rsid w:val="00F35B09"/>
    <w:rsid w:val="00F373E3"/>
    <w:rsid w:val="00F4088D"/>
    <w:rsid w:val="00F42DCB"/>
    <w:rsid w:val="00F43627"/>
    <w:rsid w:val="00F43998"/>
    <w:rsid w:val="00F4549C"/>
    <w:rsid w:val="00F457DF"/>
    <w:rsid w:val="00F4585A"/>
    <w:rsid w:val="00F45EE0"/>
    <w:rsid w:val="00F46E6D"/>
    <w:rsid w:val="00F50F44"/>
    <w:rsid w:val="00F51AE7"/>
    <w:rsid w:val="00F54E03"/>
    <w:rsid w:val="00F554EE"/>
    <w:rsid w:val="00F609FC"/>
    <w:rsid w:val="00F613E9"/>
    <w:rsid w:val="00F63060"/>
    <w:rsid w:val="00F64062"/>
    <w:rsid w:val="00F70BD1"/>
    <w:rsid w:val="00F72FCF"/>
    <w:rsid w:val="00F73A32"/>
    <w:rsid w:val="00F75C7A"/>
    <w:rsid w:val="00F7649A"/>
    <w:rsid w:val="00F81D6D"/>
    <w:rsid w:val="00F90789"/>
    <w:rsid w:val="00F92932"/>
    <w:rsid w:val="00F93EFA"/>
    <w:rsid w:val="00F95D51"/>
    <w:rsid w:val="00FA16A7"/>
    <w:rsid w:val="00FA1ECA"/>
    <w:rsid w:val="00FA2CE5"/>
    <w:rsid w:val="00FA5190"/>
    <w:rsid w:val="00FB1019"/>
    <w:rsid w:val="00FB1B83"/>
    <w:rsid w:val="00FB2461"/>
    <w:rsid w:val="00FB25CE"/>
    <w:rsid w:val="00FB559D"/>
    <w:rsid w:val="00FB6C48"/>
    <w:rsid w:val="00FC1629"/>
    <w:rsid w:val="00FC1D0B"/>
    <w:rsid w:val="00FC75AB"/>
    <w:rsid w:val="00FC7761"/>
    <w:rsid w:val="00FD1DB3"/>
    <w:rsid w:val="00FD2C12"/>
    <w:rsid w:val="00FD5972"/>
    <w:rsid w:val="00FE195B"/>
    <w:rsid w:val="00FE2963"/>
    <w:rsid w:val="00FE2CC6"/>
    <w:rsid w:val="00FE343E"/>
    <w:rsid w:val="00FE4446"/>
    <w:rsid w:val="00FE45E8"/>
    <w:rsid w:val="00FE5ECC"/>
    <w:rsid w:val="00FE6036"/>
    <w:rsid w:val="00FF0597"/>
    <w:rsid w:val="00FF2C53"/>
    <w:rsid w:val="00FF4093"/>
    <w:rsid w:val="00FF4C9E"/>
    <w:rsid w:val="00FF77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F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C425F6"/>
    <w:pPr>
      <w:keepNext/>
      <w:jc w:val="center"/>
      <w:outlineLvl w:val="4"/>
    </w:pPr>
    <w:rPr>
      <w:b/>
      <w:bCs/>
      <w:caps/>
    </w:rPr>
  </w:style>
  <w:style w:type="paragraph" w:styleId="Heading6">
    <w:name w:val="heading 6"/>
    <w:basedOn w:val="Normal"/>
    <w:next w:val="Normal"/>
    <w:link w:val="Nadpis6Char"/>
    <w:uiPriority w:val="9"/>
    <w:qFormat/>
    <w:rsid w:val="00C425F6"/>
    <w:pPr>
      <w:keepNext/>
      <w:jc w:val="center"/>
      <w:outlineLvl w:val="5"/>
    </w:pPr>
    <w:rPr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425F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C425F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C425F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C425F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F45A3"/>
    <w:rPr>
      <w:rFonts w:cs="Times New Roman"/>
      <w:rtl w:val="0"/>
      <w:cs w:val="0"/>
    </w:rPr>
  </w:style>
  <w:style w:type="paragraph" w:customStyle="1" w:styleId="Textodstavce">
    <w:name w:val="Text odstavce"/>
    <w:basedOn w:val="Normal"/>
    <w:rsid w:val="00C425F6"/>
    <w:pPr>
      <w:spacing w:before="240"/>
      <w:ind w:firstLine="680"/>
      <w:jc w:val="both"/>
    </w:pPr>
    <w:rPr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rsid w:val="00C425F6"/>
    <w:pPr>
      <w:ind w:left="170" w:hanging="170"/>
      <w:jc w:val="left"/>
    </w:pPr>
    <w:rPr>
      <w:rFonts w:ascii="Arial" w:hAnsi="Arial" w:cs="Arial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C425F6"/>
    <w:rPr>
      <w:rFonts w:cs="Times New Roman"/>
      <w:vertAlign w:val="superscript"/>
      <w:rtl w:val="0"/>
      <w:cs w:val="0"/>
      <w:lang w:val="sk-SK" w:eastAsia="x-none"/>
    </w:rPr>
  </w:style>
  <w:style w:type="paragraph" w:customStyle="1" w:styleId="Textparagrafu">
    <w:name w:val="Text paragrafu"/>
    <w:basedOn w:val="Normal"/>
    <w:rsid w:val="00C425F6"/>
    <w:pPr>
      <w:spacing w:before="240"/>
      <w:ind w:firstLine="709"/>
      <w:jc w:val="both"/>
    </w:pPr>
    <w:rPr>
      <w:sz w:val="24"/>
      <w:szCs w:val="24"/>
    </w:rPr>
  </w:style>
  <w:style w:type="paragraph" w:customStyle="1" w:styleId="Textpsmene">
    <w:name w:val="Text písmene"/>
    <w:basedOn w:val="Normal"/>
    <w:rsid w:val="00C425F6"/>
    <w:pPr>
      <w:jc w:val="both"/>
    </w:pPr>
    <w:rPr>
      <w:sz w:val="24"/>
      <w:szCs w:val="24"/>
    </w:rPr>
  </w:style>
  <w:style w:type="paragraph" w:customStyle="1" w:styleId="Normlnywebov8">
    <w:name w:val="Normálny (webový)8"/>
    <w:basedOn w:val="Normal"/>
    <w:rsid w:val="00C425F6"/>
    <w:pPr>
      <w:autoSpaceDE/>
      <w:autoSpaceDN/>
      <w:spacing w:before="75" w:after="75"/>
      <w:ind w:left="225" w:right="225"/>
      <w:jc w:val="left"/>
    </w:pPr>
    <w:rPr>
      <w:sz w:val="22"/>
      <w:szCs w:val="22"/>
    </w:rPr>
  </w:style>
  <w:style w:type="paragraph" w:customStyle="1" w:styleId="CM4">
    <w:name w:val="CM4"/>
    <w:basedOn w:val="Normal"/>
    <w:next w:val="Normal"/>
    <w:rsid w:val="008F08C4"/>
    <w:pPr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lCM4TimesNewRoman10pt">
    <w:name w:val="Štýl CM4 + Times New Roman 10 pt"/>
    <w:basedOn w:val="CM4"/>
    <w:rsid w:val="004B1881"/>
    <w:pPr>
      <w:spacing w:before="0" w:after="0"/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TextbublinyChar"/>
    <w:uiPriority w:val="99"/>
    <w:semiHidden/>
    <w:rsid w:val="00EE098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HBListNumbers1">
    <w:name w:val="HB List Numbers 1"/>
    <w:basedOn w:val="Normal"/>
    <w:link w:val="HBListNumbers1Char"/>
    <w:uiPriority w:val="12"/>
    <w:qFormat/>
    <w:rsid w:val="0046177F"/>
    <w:pPr>
      <w:numPr>
        <w:numId w:val="5"/>
      </w:numPr>
      <w:tabs>
        <w:tab w:val="num" w:pos="680"/>
      </w:tabs>
      <w:autoSpaceDE/>
      <w:autoSpaceDN/>
      <w:spacing w:after="140" w:line="290" w:lineRule="auto"/>
      <w:ind w:firstLine="680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ListNumbers2">
    <w:name w:val="HB List Numbers 2"/>
    <w:basedOn w:val="Normal"/>
    <w:uiPriority w:val="12"/>
    <w:qFormat/>
    <w:rsid w:val="0046177F"/>
    <w:pPr>
      <w:numPr>
        <w:ilvl w:val="1"/>
        <w:numId w:val="5"/>
      </w:numPr>
      <w:tabs>
        <w:tab w:val="num" w:pos="1361"/>
      </w:tabs>
      <w:autoSpaceDE/>
      <w:autoSpaceDN/>
      <w:spacing w:after="140" w:line="290" w:lineRule="auto"/>
      <w:ind w:left="1361" w:hanging="681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Body1">
    <w:name w:val="HB Body 1"/>
    <w:qFormat/>
    <w:rsid w:val="00DD7F86"/>
    <w:pPr>
      <w:framePr w:wrap="auto"/>
      <w:widowControl/>
      <w:numPr>
        <w:numId w:val="8"/>
      </w:numPr>
      <w:tabs>
        <w:tab w:val="num" w:pos="680"/>
      </w:tabs>
      <w:autoSpaceDE/>
      <w:autoSpaceDN/>
      <w:adjustRightInd/>
      <w:spacing w:after="140" w:line="290" w:lineRule="auto"/>
      <w:ind w:left="0" w:right="0" w:firstLine="680"/>
      <w:jc w:val="both"/>
      <w:textAlignment w:val="auto"/>
    </w:pPr>
    <w:rPr>
      <w:rFonts w:ascii="Verdana" w:hAnsi="Verdana" w:cs="Times New Roman"/>
      <w:sz w:val="18"/>
      <w:szCs w:val="22"/>
      <w:rtl w:val="0"/>
      <w:cs w:val="0"/>
      <w:lang w:val="sk-SK" w:eastAsia="en-US" w:bidi="ar-SA"/>
    </w:rPr>
  </w:style>
  <w:style w:type="paragraph" w:customStyle="1" w:styleId="HBalpha5">
    <w:name w:val="HB alpha 5"/>
    <w:basedOn w:val="HBBody1"/>
    <w:uiPriority w:val="6"/>
    <w:qFormat/>
    <w:rsid w:val="00DD7F86"/>
    <w:pPr>
      <w:numPr>
        <w:ilvl w:val="4"/>
        <w:numId w:val="7"/>
      </w:numPr>
      <w:tabs>
        <w:tab w:val="clear" w:pos="680"/>
        <w:tab w:val="num" w:pos="3402"/>
      </w:tabs>
      <w:ind w:left="3402" w:hanging="680"/>
      <w:jc w:val="both"/>
    </w:pPr>
    <w:rPr>
      <w:lang w:val="en-US"/>
    </w:rPr>
  </w:style>
  <w:style w:type="paragraph" w:customStyle="1" w:styleId="HBBody2">
    <w:name w:val="HB Body 2"/>
    <w:basedOn w:val="HBBody1"/>
    <w:qFormat/>
    <w:rsid w:val="00DD7F86"/>
    <w:pPr>
      <w:numPr>
        <w:ilvl w:val="1"/>
      </w:numPr>
      <w:ind w:left="680" w:firstLine="0"/>
      <w:jc w:val="both"/>
    </w:pPr>
    <w:rPr>
      <w:lang w:val="en-US"/>
    </w:rPr>
  </w:style>
  <w:style w:type="paragraph" w:customStyle="1" w:styleId="HBBody3">
    <w:name w:val="HB Body 3"/>
    <w:basedOn w:val="HBBody1"/>
    <w:qFormat/>
    <w:rsid w:val="00DD7F86"/>
    <w:pPr>
      <w:numPr>
        <w:ilvl w:val="2"/>
      </w:numPr>
      <w:tabs>
        <w:tab w:val="clear" w:pos="680"/>
        <w:tab w:val="num" w:pos="1361"/>
      </w:tabs>
      <w:ind w:left="1361" w:firstLine="0"/>
      <w:jc w:val="both"/>
    </w:pPr>
    <w:rPr>
      <w:lang w:val="en-US"/>
    </w:rPr>
  </w:style>
  <w:style w:type="paragraph" w:customStyle="1" w:styleId="HBBody4">
    <w:name w:val="HB Body 4"/>
    <w:basedOn w:val="HBBody1"/>
    <w:qFormat/>
    <w:rsid w:val="00DD7F86"/>
    <w:pPr>
      <w:numPr>
        <w:ilvl w:val="3"/>
      </w:numPr>
      <w:tabs>
        <w:tab w:val="clear" w:pos="680"/>
        <w:tab w:val="num" w:pos="2041"/>
      </w:tabs>
      <w:ind w:left="2041" w:firstLine="0"/>
      <w:jc w:val="both"/>
    </w:pPr>
    <w:rPr>
      <w:lang w:val="en-US"/>
    </w:rPr>
  </w:style>
  <w:style w:type="paragraph" w:customStyle="1" w:styleId="HBBody5">
    <w:name w:val="HB Body 5"/>
    <w:basedOn w:val="HBBody1"/>
    <w:qFormat/>
    <w:rsid w:val="00DD7F86"/>
    <w:pPr>
      <w:numPr>
        <w:ilvl w:val="4"/>
      </w:numPr>
      <w:tabs>
        <w:tab w:val="clear" w:pos="680"/>
        <w:tab w:val="num" w:pos="2722"/>
      </w:tabs>
      <w:ind w:left="2722" w:firstLine="0"/>
      <w:jc w:val="both"/>
    </w:pPr>
    <w:rPr>
      <w:lang w:val="en-US"/>
    </w:rPr>
  </w:style>
  <w:style w:type="paragraph" w:customStyle="1" w:styleId="HBBody6">
    <w:name w:val="HB Body 6"/>
    <w:basedOn w:val="HBBody1"/>
    <w:qFormat/>
    <w:rsid w:val="00DD7F86"/>
    <w:pPr>
      <w:numPr>
        <w:ilvl w:val="5"/>
      </w:numPr>
      <w:tabs>
        <w:tab w:val="clear" w:pos="680"/>
        <w:tab w:val="num" w:pos="3402"/>
      </w:tabs>
      <w:ind w:left="3402" w:firstLine="0"/>
      <w:jc w:val="both"/>
    </w:pPr>
    <w:rPr>
      <w:lang w:val="en-US"/>
    </w:rPr>
  </w:style>
  <w:style w:type="paragraph" w:customStyle="1" w:styleId="HBBody7">
    <w:name w:val="HB Body 7"/>
    <w:basedOn w:val="HBBody1"/>
    <w:qFormat/>
    <w:rsid w:val="00DD7F86"/>
    <w:pPr>
      <w:numPr>
        <w:ilvl w:val="6"/>
      </w:numPr>
      <w:tabs>
        <w:tab w:val="clear" w:pos="680"/>
        <w:tab w:val="num" w:pos="4082"/>
      </w:tabs>
      <w:ind w:left="4082" w:firstLine="0"/>
      <w:jc w:val="both"/>
    </w:pPr>
    <w:rPr>
      <w:lang w:val="en-US"/>
    </w:rPr>
  </w:style>
  <w:style w:type="paragraph" w:customStyle="1" w:styleId="HBalpha4">
    <w:name w:val="HB alpha 4"/>
    <w:basedOn w:val="HBBody1"/>
    <w:uiPriority w:val="6"/>
    <w:qFormat/>
    <w:rsid w:val="00DD7F86"/>
    <w:pPr>
      <w:numPr>
        <w:ilvl w:val="3"/>
        <w:numId w:val="7"/>
      </w:numPr>
      <w:tabs>
        <w:tab w:val="clear" w:pos="680"/>
        <w:tab w:val="num" w:pos="2722"/>
      </w:tabs>
      <w:ind w:left="2722" w:hanging="681"/>
      <w:jc w:val="both"/>
    </w:pPr>
  </w:style>
  <w:style w:type="paragraph" w:customStyle="1" w:styleId="HBalpha3">
    <w:name w:val="HB alpha 3"/>
    <w:basedOn w:val="HBBody1"/>
    <w:uiPriority w:val="6"/>
    <w:qFormat/>
    <w:rsid w:val="00DD7F86"/>
    <w:pPr>
      <w:numPr>
        <w:ilvl w:val="2"/>
        <w:numId w:val="7"/>
      </w:numPr>
      <w:tabs>
        <w:tab w:val="clear" w:pos="680"/>
        <w:tab w:val="num" w:pos="2041"/>
      </w:tabs>
      <w:ind w:left="2041" w:hanging="680"/>
      <w:jc w:val="both"/>
    </w:pPr>
  </w:style>
  <w:style w:type="paragraph" w:customStyle="1" w:styleId="HBalpha2">
    <w:name w:val="HB alpha 2"/>
    <w:basedOn w:val="HBBody1"/>
    <w:uiPriority w:val="6"/>
    <w:qFormat/>
    <w:rsid w:val="00DD7F86"/>
    <w:pPr>
      <w:numPr>
        <w:ilvl w:val="1"/>
        <w:numId w:val="7"/>
      </w:numPr>
      <w:tabs>
        <w:tab w:val="clear" w:pos="680"/>
        <w:tab w:val="num" w:pos="1361"/>
      </w:tabs>
      <w:ind w:left="1361" w:hanging="681"/>
      <w:jc w:val="both"/>
    </w:pPr>
  </w:style>
  <w:style w:type="paragraph" w:customStyle="1" w:styleId="HBalpha1">
    <w:name w:val="HB alpha 1"/>
    <w:basedOn w:val="HBBody1"/>
    <w:link w:val="HBalpha1Char"/>
    <w:uiPriority w:val="6"/>
    <w:qFormat/>
    <w:rsid w:val="00DD7F86"/>
    <w:pPr>
      <w:numPr>
        <w:numId w:val="7"/>
      </w:numPr>
      <w:ind w:firstLine="0"/>
      <w:jc w:val="both"/>
    </w:pPr>
  </w:style>
  <w:style w:type="character" w:customStyle="1" w:styleId="HBalpha1Char">
    <w:name w:val="HB alpha 1 Char"/>
    <w:basedOn w:val="DefaultParagraphFont"/>
    <w:link w:val="HBalpha1"/>
    <w:uiPriority w:val="6"/>
    <w:locked/>
    <w:rsid w:val="00DD7F86"/>
    <w:rPr>
      <w:rFonts w:ascii="Verdana" w:hAnsi="Verdana" w:cs="Times New Roman"/>
      <w:sz w:val="22"/>
      <w:szCs w:val="22"/>
      <w:rtl w:val="0"/>
      <w:cs w:val="0"/>
      <w:lang w:val="sk-SK" w:eastAsia="en-US"/>
    </w:rPr>
  </w:style>
  <w:style w:type="character" w:customStyle="1" w:styleId="HBListNumbers1Char">
    <w:name w:val="HB List Numbers 1 Char"/>
    <w:basedOn w:val="DefaultParagraphFont"/>
    <w:link w:val="HBListNumbers1"/>
    <w:uiPriority w:val="12"/>
    <w:locked/>
    <w:rsid w:val="00DD7F86"/>
    <w:rPr>
      <w:rFonts w:ascii="Verdana" w:hAnsi="Verdana" w:cs="Times New Roman"/>
      <w:sz w:val="22"/>
      <w:szCs w:val="22"/>
      <w:rtl w:val="0"/>
      <w:cs w:val="0"/>
      <w:lang w:val="sk-SK" w:eastAsia="en-US"/>
    </w:rPr>
  </w:style>
  <w:style w:type="numbering" w:customStyle="1" w:styleId="HBBodyOutline">
    <w:name w:val="HB Body Outline"/>
    <w:basedOn w:val="NoList"/>
    <w:pPr>
      <w:numPr>
        <w:numId w:val="8"/>
      </w:numPr>
    </w:pPr>
  </w:style>
  <w:style w:type="numbering" w:customStyle="1" w:styleId="HBalphaOutline">
    <w:name w:val="HB alpha Outline"/>
    <w:basedOn w:val="NoList"/>
    <w:pPr>
      <w:numPr>
        <w:numId w:val="11"/>
      </w:numPr>
    </w:pPr>
  </w:style>
  <w:style w:type="numbering" w:customStyle="1" w:styleId="HBListNumbers">
    <w:name w:val="HB List Numbers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CF79-4FF7-4452-B629-5CE87E9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1705</Words>
  <Characters>9725</Characters>
  <Application>Microsoft Office Word</Application>
  <DocSecurity>0</DocSecurity>
  <Lines>0</Lines>
  <Paragraphs>0</Paragraphs>
  <ScaleCrop>false</ScaleCrop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B U Ľ K A   Z H O D Y</dc:title>
  <dc:creator>kristin</dc:creator>
  <cp:lastModifiedBy>EOSA-PC1</cp:lastModifiedBy>
  <cp:revision>9</cp:revision>
  <cp:lastPrinted>2010-08-19T11:00:00Z</cp:lastPrinted>
  <dcterms:created xsi:type="dcterms:W3CDTF">2019-04-09T09:19:00Z</dcterms:created>
  <dcterms:modified xsi:type="dcterms:W3CDTF">2019-04-17T15:29:00Z</dcterms:modified>
</cp:coreProperties>
</file>