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68" w:rsidRPr="00C10668" w:rsidRDefault="00C10668" w:rsidP="00C10668">
      <w:pPr>
        <w:jc w:val="center"/>
        <w:rPr>
          <w:b/>
        </w:rPr>
      </w:pPr>
      <w:bookmarkStart w:id="0" w:name="_GoBack"/>
      <w:bookmarkEnd w:id="0"/>
      <w:r w:rsidRPr="00C10668">
        <w:rPr>
          <w:b/>
        </w:rPr>
        <w:t>N Á V R H</w:t>
      </w:r>
    </w:p>
    <w:p w:rsidR="00C10668" w:rsidRPr="00C10668" w:rsidRDefault="00C10668" w:rsidP="00C10668">
      <w:pPr>
        <w:jc w:val="center"/>
        <w:rPr>
          <w:b/>
        </w:rPr>
      </w:pPr>
    </w:p>
    <w:p w:rsidR="00C10668" w:rsidRPr="00C10668" w:rsidRDefault="00C10668" w:rsidP="00C10668">
      <w:pPr>
        <w:jc w:val="center"/>
        <w:rPr>
          <w:b/>
        </w:rPr>
      </w:pPr>
      <w:r w:rsidRPr="00C10668">
        <w:rPr>
          <w:b/>
        </w:rPr>
        <w:t>OPATRENIE</w:t>
      </w:r>
    </w:p>
    <w:p w:rsidR="00C10668" w:rsidRPr="00C10668" w:rsidRDefault="00C10668" w:rsidP="00C10668">
      <w:pPr>
        <w:jc w:val="center"/>
        <w:rPr>
          <w:b/>
        </w:rPr>
      </w:pPr>
      <w:bookmarkStart w:id="1" w:name="_Hlk374012915"/>
      <w:r w:rsidRPr="00C10668">
        <w:rPr>
          <w:b/>
        </w:rPr>
        <w:t>Ministerstva práce, sociálnych vecí a rodiny Slovenskej republiky</w:t>
      </w:r>
    </w:p>
    <w:p w:rsidR="00C10668" w:rsidRPr="00C10668" w:rsidRDefault="00C10668" w:rsidP="00C10668">
      <w:pPr>
        <w:jc w:val="center"/>
      </w:pPr>
    </w:p>
    <w:p w:rsidR="00C10668" w:rsidRPr="00C10668" w:rsidRDefault="00C10668" w:rsidP="00C10668">
      <w:pPr>
        <w:jc w:val="center"/>
        <w:rPr>
          <w:b/>
        </w:rPr>
      </w:pPr>
      <w:r w:rsidRPr="00C10668">
        <w:rPr>
          <w:b/>
        </w:rPr>
        <w:t>z ...</w:t>
      </w:r>
      <w:r w:rsidR="005D3FFA">
        <w:rPr>
          <w:b/>
        </w:rPr>
        <w:t>............</w:t>
      </w:r>
      <w:r w:rsidRPr="00C10668">
        <w:rPr>
          <w:b/>
        </w:rPr>
        <w:t xml:space="preserve"> 2019,</w:t>
      </w:r>
    </w:p>
    <w:p w:rsidR="00C10668" w:rsidRPr="00C10668" w:rsidRDefault="00C10668" w:rsidP="00C10668">
      <w:pPr>
        <w:jc w:val="center"/>
        <w:rPr>
          <w:b/>
        </w:rPr>
      </w:pPr>
    </w:p>
    <w:bookmarkEnd w:id="1"/>
    <w:p w:rsidR="00C10668" w:rsidRPr="00C10668" w:rsidRDefault="00C10668" w:rsidP="00C10668">
      <w:pPr>
        <w:jc w:val="center"/>
        <w:rPr>
          <w:b/>
        </w:rPr>
      </w:pPr>
      <w:r w:rsidRPr="00C10668">
        <w:rPr>
          <w:b/>
        </w:rPr>
        <w:t xml:space="preserve">o informácii o dôchodkoch zo starobného dôchodkového sporenia </w:t>
      </w:r>
    </w:p>
    <w:p w:rsidR="00C10668" w:rsidRPr="00C10668" w:rsidRDefault="00C10668" w:rsidP="00C10668">
      <w:pPr>
        <w:jc w:val="center"/>
      </w:pPr>
    </w:p>
    <w:p w:rsidR="00C10668" w:rsidRPr="00C10668" w:rsidRDefault="00C10668" w:rsidP="00C10668">
      <w:pPr>
        <w:jc w:val="both"/>
      </w:pPr>
      <w:r w:rsidRPr="00C10668">
        <w:tab/>
        <w:t xml:space="preserve">Ministerstvo práce, sociálnych vecí a rodiny Slovenskej republiky podľa §108a zákona č. 43/2004 Z. z. o starobnom dôchodkovom sporení a o zmene a doplnení niektorých zákonov v znení </w:t>
      </w:r>
      <w:r w:rsidR="00E466B3">
        <w:t>zákona č. .../2019 Z. z.</w:t>
      </w:r>
      <w:r w:rsidRPr="00C10668">
        <w:t xml:space="preserve"> ustanovuje:</w:t>
      </w:r>
    </w:p>
    <w:p w:rsidR="00C10668" w:rsidRPr="00C10668" w:rsidRDefault="00C10668" w:rsidP="00C10668"/>
    <w:p w:rsidR="00C10668" w:rsidRPr="00C10668" w:rsidRDefault="00C10668" w:rsidP="00C10668">
      <w:pPr>
        <w:ind w:left="720" w:hanging="720"/>
        <w:contextualSpacing/>
        <w:jc w:val="center"/>
        <w:rPr>
          <w:b/>
        </w:rPr>
      </w:pPr>
      <w:r w:rsidRPr="00C10668">
        <w:rPr>
          <w:b/>
        </w:rPr>
        <w:t>§ 1</w:t>
      </w:r>
    </w:p>
    <w:p w:rsidR="00C10668" w:rsidRPr="00C10668" w:rsidRDefault="00C10668" w:rsidP="00C10668">
      <w:pPr>
        <w:ind w:left="720" w:hanging="720"/>
        <w:contextualSpacing/>
        <w:jc w:val="center"/>
        <w:rPr>
          <w:b/>
        </w:rPr>
      </w:pPr>
      <w:r w:rsidRPr="00C10668">
        <w:rPr>
          <w:b/>
        </w:rPr>
        <w:t>Obsah a štruktúra informácie o dôchodkoch zo starobného dôchodkového sporenia</w:t>
      </w:r>
    </w:p>
    <w:p w:rsidR="00C10668" w:rsidRPr="00C10668" w:rsidRDefault="00C10668" w:rsidP="00C10668">
      <w:pPr>
        <w:ind w:left="720" w:hanging="720"/>
        <w:contextualSpacing/>
        <w:jc w:val="center"/>
        <w:rPr>
          <w:b/>
        </w:rPr>
      </w:pPr>
    </w:p>
    <w:p w:rsidR="00C10668" w:rsidRPr="00C10668" w:rsidRDefault="005D3FFA" w:rsidP="00C10668">
      <w:pPr>
        <w:jc w:val="both"/>
      </w:pPr>
      <w:r>
        <w:tab/>
      </w:r>
      <w:r w:rsidR="00C10668" w:rsidRPr="00C10668">
        <w:t>(1) Obsah a štruktúra informácie o dôchodkoch zo starobného dôchodkového sporenia (ďalej len „informácia o dôchodkoch“) je uvedená v prílohe.</w:t>
      </w:r>
    </w:p>
    <w:p w:rsidR="00C10668" w:rsidRPr="00C10668" w:rsidRDefault="00C10668" w:rsidP="00C10668">
      <w:pPr>
        <w:jc w:val="both"/>
      </w:pPr>
    </w:p>
    <w:p w:rsidR="00C10668" w:rsidRPr="00C10668" w:rsidRDefault="005D3FFA" w:rsidP="00C10668">
      <w:pPr>
        <w:jc w:val="both"/>
      </w:pPr>
      <w:r>
        <w:tab/>
      </w:r>
      <w:r w:rsidR="00C10668" w:rsidRPr="00C10668">
        <w:t xml:space="preserve">(2) </w:t>
      </w:r>
      <w:r w:rsidR="00C10668" w:rsidRPr="00C10668">
        <w:rPr>
          <w:rFonts w:ascii="Times" w:hAnsi="Times" w:cs="Times"/>
          <w:sz w:val="25"/>
          <w:szCs w:val="25"/>
        </w:rPr>
        <w:t>V informácii o dôchodkoch sa môže použiť forma hypertextového odkazu na informácie zo starobného dôchodkového sporenia</w:t>
      </w:r>
      <w:r w:rsidR="00C10668" w:rsidRPr="00C10668">
        <w:t>.</w:t>
      </w:r>
    </w:p>
    <w:p w:rsidR="00C10668" w:rsidRPr="00C10668" w:rsidRDefault="00C10668" w:rsidP="00C10668">
      <w:pPr>
        <w:jc w:val="both"/>
      </w:pPr>
    </w:p>
    <w:p w:rsidR="00C10668" w:rsidRPr="00C10668" w:rsidRDefault="005D3FFA" w:rsidP="00C10668">
      <w:pPr>
        <w:jc w:val="both"/>
      </w:pPr>
      <w:r>
        <w:tab/>
      </w:r>
      <w:r w:rsidR="00C10668" w:rsidRPr="00C10668">
        <w:t xml:space="preserve">(3) Informácia o dôchodkoch sa uvádza bez použitia odbornej terminológie, zrozumiteľne a obsahovo a pojmovo jednotne. </w:t>
      </w:r>
    </w:p>
    <w:p w:rsidR="00C10668" w:rsidRPr="00C10668" w:rsidRDefault="00C10668" w:rsidP="00C10668">
      <w:pPr>
        <w:jc w:val="both"/>
      </w:pPr>
    </w:p>
    <w:p w:rsidR="00C10668" w:rsidRPr="00C10668" w:rsidRDefault="00C10668" w:rsidP="00C10668">
      <w:pPr>
        <w:jc w:val="center"/>
        <w:rPr>
          <w:b/>
        </w:rPr>
      </w:pPr>
      <w:r w:rsidRPr="00C10668">
        <w:rPr>
          <w:b/>
        </w:rPr>
        <w:t>§ 2</w:t>
      </w:r>
    </w:p>
    <w:p w:rsidR="00C10668" w:rsidRPr="00C10668" w:rsidRDefault="00C10668" w:rsidP="00C10668">
      <w:pPr>
        <w:jc w:val="center"/>
        <w:rPr>
          <w:b/>
        </w:rPr>
      </w:pPr>
      <w:r w:rsidRPr="00C10668">
        <w:rPr>
          <w:b/>
        </w:rPr>
        <w:t>Lehoty a forma poskytovania informácie o dôchodkoch</w:t>
      </w:r>
    </w:p>
    <w:p w:rsidR="00C10668" w:rsidRPr="00C10668" w:rsidRDefault="00C10668" w:rsidP="00C10668">
      <w:pPr>
        <w:jc w:val="both"/>
      </w:pPr>
    </w:p>
    <w:p w:rsidR="00C10668" w:rsidRPr="00C10668" w:rsidRDefault="005D3FFA" w:rsidP="00C10668">
      <w:pPr>
        <w:jc w:val="both"/>
      </w:pPr>
      <w:r>
        <w:tab/>
      </w:r>
      <w:r w:rsidR="00C10668" w:rsidRPr="00C10668">
        <w:t>(1) Informácia o dôchodkoch sa zasiela sporiteľovi starobného dôchodkového sporenia (ďalej len „sporiteľ“), v  kalendárnom roku, v ktorom sporiteľ dovŕši vek o tri roky nižší ako platný referenčný vek podľa osobitného predpisu.</w:t>
      </w:r>
      <w:r w:rsidR="00C10668" w:rsidRPr="00C10668">
        <w:rPr>
          <w:vertAlign w:val="superscript"/>
        </w:rPr>
        <w:footnoteReference w:id="1"/>
      </w:r>
      <w:r w:rsidR="00C10668" w:rsidRPr="00C10668">
        <w:t>)</w:t>
      </w:r>
    </w:p>
    <w:p w:rsidR="00C10668" w:rsidRPr="00C10668" w:rsidRDefault="00C10668" w:rsidP="00C10668">
      <w:pPr>
        <w:ind w:left="720" w:hanging="720"/>
        <w:contextualSpacing/>
        <w:jc w:val="center"/>
        <w:rPr>
          <w:b/>
        </w:rPr>
      </w:pPr>
    </w:p>
    <w:p w:rsidR="00C10668" w:rsidRPr="00C10668" w:rsidRDefault="005D3FFA" w:rsidP="00C10668">
      <w:pPr>
        <w:jc w:val="both"/>
      </w:pPr>
      <w:r>
        <w:tab/>
      </w:r>
      <w:r w:rsidR="00C10668" w:rsidRPr="00C10668">
        <w:t>(2) Informácia o dôchodkoch sa podľa odseku 1 zasiela sporiteľovi</w:t>
      </w:r>
    </w:p>
    <w:p w:rsidR="00C10668" w:rsidRPr="00C10668" w:rsidRDefault="00C10668" w:rsidP="00C10668">
      <w:pPr>
        <w:ind w:left="709" w:hanging="283"/>
        <w:jc w:val="both"/>
      </w:pPr>
      <w:r w:rsidRPr="00C10668">
        <w:t xml:space="preserve"> a) v elektronickej podobe na adresu elektronickej pošty, ktorú sporiteľ určil na účely zasielania výpisu z osobného dôchodkového účtu a sprístupňuje ho prostredníctvom bezplatného pasívneho elektronického prístupu k jeho osobnému dôchodkovému účtu,</w:t>
      </w:r>
    </w:p>
    <w:p w:rsidR="00C10668" w:rsidRPr="00C10668" w:rsidRDefault="00C10668" w:rsidP="00C10668">
      <w:pPr>
        <w:ind w:left="709" w:hanging="283"/>
        <w:jc w:val="both"/>
      </w:pPr>
      <w:r w:rsidRPr="00C10668">
        <w:t>b) v listinnej podobe, ak dôchodková správcovská spoločnosť neeviduje adresu elektronickej pošty sporiteľa, zasiela informáciu o dôchodkoch na adresu trvalého pobytu sporiteľa, ak sporiteľ neurčil inú adresu na doručovanie výpisu z osobného dôchodkového účtu.</w:t>
      </w:r>
    </w:p>
    <w:p w:rsidR="00C10668" w:rsidRPr="00C10668" w:rsidRDefault="00C10668" w:rsidP="00C10668">
      <w:pPr>
        <w:ind w:left="709" w:hanging="283"/>
        <w:jc w:val="both"/>
      </w:pPr>
    </w:p>
    <w:p w:rsidR="00C10668" w:rsidRPr="00C10668" w:rsidRDefault="00C10668" w:rsidP="00C10668">
      <w:pPr>
        <w:jc w:val="center"/>
        <w:rPr>
          <w:b/>
        </w:rPr>
      </w:pPr>
      <w:r w:rsidRPr="00C10668">
        <w:rPr>
          <w:b/>
        </w:rPr>
        <w:t>§ 3</w:t>
      </w:r>
    </w:p>
    <w:p w:rsidR="00C10668" w:rsidRPr="00C10668" w:rsidRDefault="00C10668" w:rsidP="00C10668">
      <w:pPr>
        <w:spacing w:after="200" w:line="276" w:lineRule="auto"/>
        <w:ind w:left="1146"/>
        <w:contextualSpacing/>
        <w:rPr>
          <w:b/>
        </w:rPr>
      </w:pPr>
      <w:r w:rsidRPr="00C10668">
        <w:rPr>
          <w:b/>
        </w:rPr>
        <w:t>Podmienky a spôsob priebežnej aktualizácie informácie o dôchodkoch</w:t>
      </w:r>
    </w:p>
    <w:p w:rsidR="00C10668" w:rsidRDefault="005D3FFA" w:rsidP="00C10668">
      <w:pPr>
        <w:jc w:val="both"/>
      </w:pPr>
      <w:r>
        <w:tab/>
      </w:r>
      <w:r w:rsidR="00C10668" w:rsidRPr="00C10668">
        <w:t xml:space="preserve">Ku dňu účinnosti zmeny všeobecne záväzného právneho predpisu súvisiacej s dôchodkami vyplácanými zo starobného dôchodkového sporenia sa na webovom sídle dôchodkovej správcovskej spoločnosti sprístupní aktualizovaná informácia o dôchodkoch </w:t>
      </w:r>
      <w:r w:rsidR="00C10668" w:rsidRPr="00C10668">
        <w:lastRenderedPageBreak/>
        <w:t xml:space="preserve">prostredníctvom bezplatného pasívneho elektronického prístupu k jeho osobnému dôchodkovému účtu. </w:t>
      </w:r>
    </w:p>
    <w:p w:rsidR="00E466B3" w:rsidRDefault="00E466B3" w:rsidP="00C10668">
      <w:pPr>
        <w:jc w:val="center"/>
        <w:rPr>
          <w:b/>
        </w:rPr>
      </w:pPr>
    </w:p>
    <w:p w:rsidR="00C10668" w:rsidRPr="00C10668" w:rsidRDefault="00C10668" w:rsidP="00C10668">
      <w:pPr>
        <w:jc w:val="center"/>
        <w:rPr>
          <w:b/>
        </w:rPr>
      </w:pPr>
      <w:r>
        <w:rPr>
          <w:b/>
        </w:rPr>
        <w:t xml:space="preserve">§ </w:t>
      </w:r>
      <w:r w:rsidR="00D83731">
        <w:rPr>
          <w:b/>
        </w:rPr>
        <w:t>4</w:t>
      </w:r>
    </w:p>
    <w:p w:rsidR="00C10668" w:rsidRPr="00C10668" w:rsidRDefault="00C10668" w:rsidP="00C10668"/>
    <w:p w:rsidR="00C10668" w:rsidRPr="00C10668" w:rsidRDefault="00C10668" w:rsidP="00C10668">
      <w:pPr>
        <w:jc w:val="both"/>
      </w:pPr>
      <w:r w:rsidRPr="00C10668">
        <w:tab/>
        <w:t>Toto opatrenie nadobúda účinnosť 1. januára 2021.</w:t>
      </w:r>
    </w:p>
    <w:p w:rsidR="00C10668" w:rsidRPr="00C10668" w:rsidRDefault="00C10668" w:rsidP="00C10668">
      <w:pPr>
        <w:jc w:val="both"/>
      </w:pPr>
    </w:p>
    <w:p w:rsidR="00C10668" w:rsidRPr="00C10668" w:rsidRDefault="00C10668" w:rsidP="00C10668">
      <w:pPr>
        <w:jc w:val="both"/>
      </w:pPr>
    </w:p>
    <w:p w:rsidR="00C10668" w:rsidRDefault="00D83731" w:rsidP="00C10668">
      <w:pPr>
        <w:ind w:left="360"/>
        <w:jc w:val="center"/>
        <w:rPr>
          <w:b/>
        </w:rPr>
      </w:pPr>
      <w:r>
        <w:rPr>
          <w:b/>
        </w:rPr>
        <w:t xml:space="preserve"> </w:t>
      </w: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04502B" w:rsidRDefault="0004502B" w:rsidP="00C10668">
      <w:pPr>
        <w:ind w:left="360"/>
        <w:jc w:val="center"/>
        <w:rPr>
          <w:b/>
        </w:rPr>
      </w:pPr>
    </w:p>
    <w:p w:rsidR="0004502B" w:rsidRDefault="0004502B" w:rsidP="00C10668">
      <w:pPr>
        <w:ind w:left="360"/>
        <w:jc w:val="center"/>
        <w:rPr>
          <w:b/>
        </w:rPr>
      </w:pPr>
    </w:p>
    <w:p w:rsidR="0004502B" w:rsidRDefault="0004502B" w:rsidP="00C10668">
      <w:pPr>
        <w:ind w:left="360"/>
        <w:jc w:val="center"/>
        <w:rPr>
          <w:b/>
        </w:rPr>
      </w:pPr>
    </w:p>
    <w:p w:rsidR="0004502B" w:rsidRDefault="0004502B" w:rsidP="00C10668">
      <w:pPr>
        <w:ind w:left="360"/>
        <w:jc w:val="center"/>
        <w:rPr>
          <w:b/>
        </w:rPr>
      </w:pPr>
    </w:p>
    <w:p w:rsidR="0004502B" w:rsidRDefault="0004502B"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Pr="00C10668" w:rsidRDefault="00C10668" w:rsidP="00C10668">
      <w:pPr>
        <w:ind w:left="360"/>
        <w:jc w:val="center"/>
        <w:rPr>
          <w:b/>
        </w:rPr>
      </w:pPr>
    </w:p>
    <w:p w:rsidR="0017522D" w:rsidRPr="008F3808" w:rsidRDefault="00F770DC" w:rsidP="0017522D">
      <w:pPr>
        <w:jc w:val="center"/>
        <w:rPr>
          <w:b/>
        </w:rPr>
      </w:pPr>
      <w:r w:rsidRPr="008F3808">
        <w:rPr>
          <w:b/>
        </w:rPr>
        <w:t>Informácia o </w:t>
      </w:r>
      <w:r w:rsidR="00BA747C">
        <w:rPr>
          <w:b/>
        </w:rPr>
        <w:t>dôchodkoch zo starobného</w:t>
      </w:r>
      <w:r w:rsidRPr="008F3808">
        <w:rPr>
          <w:b/>
        </w:rPr>
        <w:t xml:space="preserve"> dôchodkového sporenia</w:t>
      </w:r>
    </w:p>
    <w:p w:rsidR="0017522D" w:rsidRPr="008F3808" w:rsidRDefault="0017522D" w:rsidP="00583D2D"/>
    <w:tbl>
      <w:tblPr>
        <w:tblStyle w:val="Mriekatabuky"/>
        <w:tblpPr w:leftFromText="141" w:rightFromText="141" w:vertAnchor="text" w:horzAnchor="margin" w:tblpY="-33"/>
        <w:tblW w:w="0" w:type="auto"/>
        <w:tblLook w:val="04A0" w:firstRow="1" w:lastRow="0" w:firstColumn="1" w:lastColumn="0" w:noHBand="0" w:noVBand="1"/>
      </w:tblPr>
      <w:tblGrid>
        <w:gridCol w:w="9288"/>
      </w:tblGrid>
      <w:tr w:rsidR="00583D2D" w:rsidRPr="008F3808" w:rsidTr="00891594">
        <w:trPr>
          <w:trHeight w:val="269"/>
        </w:trPr>
        <w:tc>
          <w:tcPr>
            <w:tcW w:w="10610" w:type="dxa"/>
            <w:vAlign w:val="center"/>
          </w:tcPr>
          <w:p w:rsidR="00583D2D" w:rsidRPr="008F3808" w:rsidRDefault="00583D2D" w:rsidP="00090B3F">
            <w:r w:rsidRPr="008F3808">
              <w:t>Údaje o </w:t>
            </w:r>
            <w:r w:rsidR="00EF746A">
              <w:t>sporiteľovi</w:t>
            </w:r>
            <w:r w:rsidRPr="008F3808">
              <w:t xml:space="preserve"> </w:t>
            </w:r>
            <w:r w:rsidR="00090B3F">
              <w:rPr>
                <w:vertAlign w:val="superscript"/>
              </w:rPr>
              <w:t>a</w:t>
            </w:r>
            <w:r w:rsidRPr="008F3808">
              <w:t>)</w:t>
            </w:r>
          </w:p>
        </w:tc>
      </w:tr>
    </w:tbl>
    <w:tbl>
      <w:tblPr>
        <w:tblStyle w:val="Mriekatabuky"/>
        <w:tblW w:w="0" w:type="auto"/>
        <w:tblLook w:val="04A0" w:firstRow="1" w:lastRow="0" w:firstColumn="1" w:lastColumn="0" w:noHBand="0" w:noVBand="1"/>
      </w:tblPr>
      <w:tblGrid>
        <w:gridCol w:w="9288"/>
      </w:tblGrid>
      <w:tr w:rsidR="00F770DC" w:rsidRPr="00A10328" w:rsidTr="00BB37F0">
        <w:trPr>
          <w:trHeight w:val="1077"/>
        </w:trPr>
        <w:tc>
          <w:tcPr>
            <w:tcW w:w="10586" w:type="dxa"/>
          </w:tcPr>
          <w:p w:rsidR="00F770DC" w:rsidRPr="00CF0297" w:rsidRDefault="00F770DC" w:rsidP="00F770DC">
            <w:r w:rsidRPr="00CF0297">
              <w:t xml:space="preserve">Vážený </w:t>
            </w:r>
            <w:r w:rsidR="00BA747C">
              <w:t>s</w:t>
            </w:r>
            <w:r w:rsidR="00EF746A">
              <w:t>poriteľ</w:t>
            </w:r>
            <w:r w:rsidR="00090B3F">
              <w:t xml:space="preserve"> </w:t>
            </w:r>
            <w:r w:rsidR="00090B3F">
              <w:rPr>
                <w:vertAlign w:val="superscript"/>
              </w:rPr>
              <w:t>b</w:t>
            </w:r>
            <w:r w:rsidR="00BB37F0" w:rsidRPr="00CF0297">
              <w:t>)</w:t>
            </w:r>
            <w:r w:rsidRPr="00CF0297">
              <w:t>,</w:t>
            </w:r>
          </w:p>
          <w:p w:rsidR="00F770DC" w:rsidRPr="00CF0297" w:rsidRDefault="00F770DC" w:rsidP="00683FD8">
            <w:pPr>
              <w:jc w:val="both"/>
            </w:pPr>
          </w:p>
          <w:p w:rsidR="00F770DC" w:rsidRPr="00A10328" w:rsidRDefault="00C10668" w:rsidP="00C10668">
            <w:pPr>
              <w:jc w:val="both"/>
              <w:rPr>
                <w:b/>
              </w:rPr>
            </w:pPr>
            <w:r>
              <w:t xml:space="preserve">čoskoro dovŕšite </w:t>
            </w:r>
            <w:r w:rsidR="00F770DC" w:rsidRPr="00CF0297">
              <w:t>vek</w:t>
            </w:r>
            <w:r w:rsidR="005904C9">
              <w:t xml:space="preserve">, v ktorom je možné začať </w:t>
            </w:r>
            <w:r w:rsidR="005904C9" w:rsidRPr="00CF0297">
              <w:t xml:space="preserve">poberať </w:t>
            </w:r>
            <w:r w:rsidR="00EF746A">
              <w:t>dôchodok zo starobného</w:t>
            </w:r>
            <w:r w:rsidR="0010754C">
              <w:t xml:space="preserve"> dôchodkového sporenia</w:t>
            </w:r>
            <w:r w:rsidR="00BB37F0" w:rsidRPr="00CF0297">
              <w:t>.</w:t>
            </w:r>
            <w:r w:rsidR="00F770DC" w:rsidRPr="00CF0297">
              <w:t xml:space="preserve"> </w:t>
            </w:r>
          </w:p>
        </w:tc>
      </w:tr>
    </w:tbl>
    <w:p w:rsidR="00F770DC" w:rsidRPr="00A10328" w:rsidRDefault="00F770DC" w:rsidP="00F770DC">
      <w:pPr>
        <w:jc w:val="center"/>
        <w:rPr>
          <w:b/>
        </w:rPr>
      </w:pPr>
    </w:p>
    <w:tbl>
      <w:tblPr>
        <w:tblStyle w:val="Mriekatabuky"/>
        <w:tblW w:w="0" w:type="auto"/>
        <w:tblLook w:val="04A0" w:firstRow="1" w:lastRow="0" w:firstColumn="1" w:lastColumn="0" w:noHBand="0" w:noVBand="1"/>
      </w:tblPr>
      <w:tblGrid>
        <w:gridCol w:w="7026"/>
        <w:gridCol w:w="2262"/>
      </w:tblGrid>
      <w:tr w:rsidR="00BB37F0" w:rsidRPr="00A10328" w:rsidTr="00BB37F0">
        <w:tc>
          <w:tcPr>
            <w:tcW w:w="8046" w:type="dxa"/>
          </w:tcPr>
          <w:p w:rsidR="00BB37F0" w:rsidRPr="00A10328" w:rsidRDefault="00BB37F0" w:rsidP="00090B3F">
            <w:r w:rsidRPr="00A10328">
              <w:t>Vaša nasporená suma k ...</w:t>
            </w:r>
            <w:r w:rsidR="00090B3F">
              <w:rPr>
                <w:vertAlign w:val="superscript"/>
              </w:rPr>
              <w:t>c</w:t>
            </w:r>
            <w:r w:rsidRPr="00A10328">
              <w:t>)</w:t>
            </w:r>
          </w:p>
        </w:tc>
        <w:tc>
          <w:tcPr>
            <w:tcW w:w="2560" w:type="dxa"/>
          </w:tcPr>
          <w:p w:rsidR="00BB37F0" w:rsidRPr="00A10328" w:rsidRDefault="00BB37F0" w:rsidP="00090B3F">
            <w:pPr>
              <w:jc w:val="center"/>
            </w:pPr>
            <w:r w:rsidRPr="00A10328">
              <w:t>...</w:t>
            </w:r>
            <w:r w:rsidR="00090B3F">
              <w:rPr>
                <w:vertAlign w:val="superscript"/>
              </w:rPr>
              <w:t>d</w:t>
            </w:r>
            <w:r w:rsidRPr="00A10328">
              <w:t>)</w:t>
            </w:r>
          </w:p>
        </w:tc>
      </w:tr>
    </w:tbl>
    <w:p w:rsidR="00BB37F0" w:rsidRDefault="00BB37F0" w:rsidP="00F770DC">
      <w:pPr>
        <w:jc w:val="center"/>
        <w:rPr>
          <w:b/>
        </w:rPr>
      </w:pPr>
    </w:p>
    <w:tbl>
      <w:tblPr>
        <w:tblStyle w:val="Mriekatabuky"/>
        <w:tblpPr w:leftFromText="141" w:rightFromText="141" w:vertAnchor="text" w:horzAnchor="margin" w:tblpY="57"/>
        <w:tblW w:w="0" w:type="auto"/>
        <w:tblLook w:val="04A0" w:firstRow="1" w:lastRow="0" w:firstColumn="1" w:lastColumn="0" w:noHBand="0" w:noVBand="1"/>
      </w:tblPr>
      <w:tblGrid>
        <w:gridCol w:w="7734"/>
        <w:gridCol w:w="1554"/>
      </w:tblGrid>
      <w:tr w:rsidR="00C10668" w:rsidRPr="008F3808" w:rsidTr="00C10668">
        <w:trPr>
          <w:trHeight w:val="340"/>
        </w:trPr>
        <w:tc>
          <w:tcPr>
            <w:tcW w:w="7734" w:type="dxa"/>
          </w:tcPr>
          <w:p w:rsidR="00C10668" w:rsidRPr="008F3808" w:rsidRDefault="00C10668" w:rsidP="00C10668">
            <w:r w:rsidRPr="008F3808">
              <w:t xml:space="preserve">Doteraz ste si sporili </w:t>
            </w:r>
          </w:p>
        </w:tc>
        <w:tc>
          <w:tcPr>
            <w:tcW w:w="1554" w:type="dxa"/>
          </w:tcPr>
          <w:p w:rsidR="00C10668" w:rsidRPr="008F3808" w:rsidRDefault="00C10668" w:rsidP="00C10668">
            <w:r>
              <w:rPr>
                <w:vertAlign w:val="superscript"/>
              </w:rPr>
              <w:t>e</w:t>
            </w:r>
            <w:r w:rsidRPr="008F3808">
              <w:t>)</w:t>
            </w:r>
          </w:p>
        </w:tc>
      </w:tr>
    </w:tbl>
    <w:p w:rsidR="00C10668" w:rsidRDefault="00C10668" w:rsidP="00F770DC">
      <w:pPr>
        <w:jc w:val="center"/>
        <w:rPr>
          <w:b/>
        </w:rPr>
      </w:pPr>
    </w:p>
    <w:tbl>
      <w:tblPr>
        <w:tblStyle w:val="Mriekatabuky"/>
        <w:tblW w:w="0" w:type="auto"/>
        <w:tblLook w:val="04A0" w:firstRow="1" w:lastRow="0" w:firstColumn="1" w:lastColumn="0" w:noHBand="0" w:noVBand="1"/>
      </w:tblPr>
      <w:tblGrid>
        <w:gridCol w:w="9288"/>
      </w:tblGrid>
      <w:tr w:rsidR="00F770DC" w:rsidRPr="00A10328" w:rsidTr="00C10668">
        <w:trPr>
          <w:trHeight w:val="1417"/>
        </w:trPr>
        <w:tc>
          <w:tcPr>
            <w:tcW w:w="9288" w:type="dxa"/>
          </w:tcPr>
          <w:p w:rsidR="00F770DC" w:rsidRPr="00A10328" w:rsidRDefault="00F770DC" w:rsidP="00F770DC">
            <w:r w:rsidRPr="00A10328">
              <w:t>Kedy môžem požiadať o</w:t>
            </w:r>
            <w:r w:rsidR="00BA747C">
              <w:t> </w:t>
            </w:r>
            <w:r w:rsidR="00A10328" w:rsidRPr="00A10328">
              <w:t>d</w:t>
            </w:r>
            <w:r w:rsidR="00BA747C">
              <w:t>ôchodok zo starobného</w:t>
            </w:r>
            <w:r w:rsidRPr="00A10328">
              <w:t xml:space="preserve"> dôchodkového sporenia?</w:t>
            </w:r>
          </w:p>
          <w:p w:rsidR="00F770DC" w:rsidRDefault="00F770DC" w:rsidP="002C2A24"/>
          <w:p w:rsidR="008D3ED9" w:rsidRDefault="00BA747C" w:rsidP="00A10328">
            <w:pPr>
              <w:jc w:val="both"/>
            </w:pPr>
            <w:r>
              <w:t>O starobný dôchodok môžete požiadať po dovŕšení dôchodkového veku, alebo ak začnete poberať predčasný starobný dôchodok zo Sociálnej poisťovne</w:t>
            </w:r>
            <w:r w:rsidR="00B46F16">
              <w:t>.</w:t>
            </w:r>
          </w:p>
          <w:p w:rsidR="00BA747C" w:rsidRDefault="00BA747C" w:rsidP="00A10328">
            <w:pPr>
              <w:jc w:val="both"/>
            </w:pPr>
          </w:p>
          <w:p w:rsidR="00BA747C" w:rsidRPr="00CF0297" w:rsidRDefault="00BA747C" w:rsidP="00A10328">
            <w:pPr>
              <w:jc w:val="both"/>
            </w:pPr>
            <w:r w:rsidRPr="00CF0297">
              <w:t>Svoje rozhodnutie o poberaní dávky z doplnkového dôchodkového sporenia môžete odložiť aj na neskôr a naďalej pokračovať v</w:t>
            </w:r>
            <w:r>
              <w:t> </w:t>
            </w:r>
            <w:r w:rsidRPr="00CF0297">
              <w:t>sporení</w:t>
            </w:r>
            <w:r>
              <w:t xml:space="preserve"> na dôchodok</w:t>
            </w:r>
            <w:r w:rsidRPr="00CF0297">
              <w:t>.</w:t>
            </w:r>
          </w:p>
        </w:tc>
      </w:tr>
    </w:tbl>
    <w:p w:rsidR="00CD1A65" w:rsidRPr="00A10328" w:rsidRDefault="00CD1A65" w:rsidP="00CD1A65">
      <w:pPr>
        <w:jc w:val="center"/>
        <w:rPr>
          <w:b/>
        </w:rPr>
      </w:pPr>
    </w:p>
    <w:tbl>
      <w:tblPr>
        <w:tblStyle w:val="Mriekatabuky"/>
        <w:tblW w:w="0" w:type="auto"/>
        <w:tblLook w:val="04A0" w:firstRow="1" w:lastRow="0" w:firstColumn="1" w:lastColumn="0" w:noHBand="0" w:noVBand="1"/>
      </w:tblPr>
      <w:tblGrid>
        <w:gridCol w:w="9288"/>
      </w:tblGrid>
      <w:tr w:rsidR="00F770DC" w:rsidRPr="008F3808" w:rsidTr="00C10668">
        <w:trPr>
          <w:trHeight w:val="1336"/>
        </w:trPr>
        <w:tc>
          <w:tcPr>
            <w:tcW w:w="9288" w:type="dxa"/>
          </w:tcPr>
          <w:p w:rsidR="00F770DC" w:rsidRPr="00794D7B" w:rsidRDefault="00F770DC" w:rsidP="00F770DC">
            <w:r w:rsidRPr="00794D7B">
              <w:t xml:space="preserve">Aké </w:t>
            </w:r>
            <w:r w:rsidR="00BA747C" w:rsidRPr="00794D7B">
              <w:t>d</w:t>
            </w:r>
            <w:r w:rsidR="00BA747C">
              <w:t>ôchodky</w:t>
            </w:r>
            <w:r w:rsidRPr="00794D7B">
              <w:t xml:space="preserve"> </w:t>
            </w:r>
            <w:r w:rsidR="0010754C" w:rsidRPr="00794D7B">
              <w:t>m</w:t>
            </w:r>
            <w:r w:rsidR="0010754C">
              <w:t>o</w:t>
            </w:r>
            <w:r w:rsidR="0010754C" w:rsidRPr="00794D7B">
              <w:t>ž</w:t>
            </w:r>
            <w:r w:rsidR="0010754C">
              <w:t>no</w:t>
            </w:r>
            <w:r w:rsidR="0010754C" w:rsidRPr="00794D7B">
              <w:t xml:space="preserve"> </w:t>
            </w:r>
            <w:r w:rsidRPr="00794D7B">
              <w:t>poberať</w:t>
            </w:r>
            <w:r w:rsidR="0010754C">
              <w:t xml:space="preserve"> z</w:t>
            </w:r>
            <w:r w:rsidR="00BA747C">
              <w:t>o</w:t>
            </w:r>
            <w:r w:rsidR="0010754C">
              <w:t> </w:t>
            </w:r>
            <w:r w:rsidR="00BA747C">
              <w:t>starobného</w:t>
            </w:r>
            <w:r w:rsidR="0010754C">
              <w:t xml:space="preserve"> dôchodkového sporenia</w:t>
            </w:r>
            <w:r w:rsidRPr="00794D7B">
              <w:t>?</w:t>
            </w:r>
          </w:p>
          <w:p w:rsidR="00F770DC" w:rsidRPr="00794D7B" w:rsidRDefault="00F770DC" w:rsidP="00C373CA"/>
          <w:p w:rsidR="00F770DC" w:rsidRDefault="00BA747C" w:rsidP="00C373CA">
            <w:pPr>
              <w:pStyle w:val="Odsekzoznamu"/>
              <w:numPr>
                <w:ilvl w:val="0"/>
                <w:numId w:val="7"/>
              </w:numPr>
              <w:spacing w:line="240" w:lineRule="auto"/>
            </w:pPr>
            <w:r>
              <w:t>Doživotný</w:t>
            </w:r>
            <w:r w:rsidR="008E32CC">
              <w:t xml:space="preserve"> starobný</w:t>
            </w:r>
            <w:r>
              <w:t xml:space="preserve"> dôchodok</w:t>
            </w:r>
          </w:p>
          <w:p w:rsidR="00090B3F" w:rsidRDefault="00090B3F" w:rsidP="00090B3F">
            <w:pPr>
              <w:pStyle w:val="Odsekzoznamu"/>
              <w:numPr>
                <w:ilvl w:val="1"/>
                <w:numId w:val="7"/>
              </w:numPr>
              <w:spacing w:line="240" w:lineRule="auto"/>
            </w:pPr>
            <w:r>
              <w:t>bez pozostalostného krytia</w:t>
            </w:r>
          </w:p>
          <w:p w:rsidR="00090B3F" w:rsidRDefault="00090B3F" w:rsidP="00090B3F">
            <w:pPr>
              <w:pStyle w:val="Odsekzoznamu"/>
              <w:numPr>
                <w:ilvl w:val="1"/>
                <w:numId w:val="7"/>
              </w:numPr>
              <w:spacing w:line="240" w:lineRule="auto"/>
            </w:pPr>
            <w:r>
              <w:t>s pozostalostným krytím</w:t>
            </w:r>
          </w:p>
          <w:p w:rsidR="00090B3F" w:rsidRDefault="00090B3F" w:rsidP="00090B3F">
            <w:pPr>
              <w:pStyle w:val="Odsekzoznamu"/>
              <w:numPr>
                <w:ilvl w:val="1"/>
                <w:numId w:val="7"/>
              </w:numPr>
              <w:spacing w:line="240" w:lineRule="auto"/>
            </w:pPr>
            <w:r>
              <w:t>so zvyšovaním</w:t>
            </w:r>
          </w:p>
          <w:p w:rsidR="00090B3F" w:rsidRPr="00794D7B" w:rsidRDefault="00090B3F" w:rsidP="00090B3F">
            <w:pPr>
              <w:pStyle w:val="Odsekzoznamu"/>
              <w:numPr>
                <w:ilvl w:val="1"/>
                <w:numId w:val="7"/>
              </w:numPr>
              <w:spacing w:line="240" w:lineRule="auto"/>
            </w:pPr>
            <w:r>
              <w:t>so zvyšovaním a pozostalostným krytím</w:t>
            </w:r>
          </w:p>
          <w:p w:rsidR="00794D7B" w:rsidRDefault="00BA747C" w:rsidP="00C373CA">
            <w:pPr>
              <w:pStyle w:val="Odsekzoznamu"/>
              <w:numPr>
                <w:ilvl w:val="0"/>
                <w:numId w:val="7"/>
              </w:numPr>
              <w:spacing w:line="240" w:lineRule="auto"/>
            </w:pPr>
            <w:r>
              <w:t>Dočasný</w:t>
            </w:r>
            <w:r w:rsidR="008E32CC">
              <w:t xml:space="preserve"> starobný</w:t>
            </w:r>
            <w:r>
              <w:t xml:space="preserve"> dôchodok</w:t>
            </w:r>
          </w:p>
          <w:p w:rsidR="00090B3F" w:rsidRDefault="00090B3F" w:rsidP="00090B3F">
            <w:pPr>
              <w:pStyle w:val="Odsekzoznamu"/>
              <w:numPr>
                <w:ilvl w:val="1"/>
                <w:numId w:val="7"/>
              </w:numPr>
              <w:spacing w:line="240" w:lineRule="auto"/>
            </w:pPr>
            <w:r>
              <w:t>v režime malá nasporená suma</w:t>
            </w:r>
          </w:p>
          <w:p w:rsidR="00F770DC" w:rsidRPr="00090B3F" w:rsidRDefault="00BA747C" w:rsidP="00C373CA">
            <w:pPr>
              <w:pStyle w:val="Odsekzoznamu"/>
              <w:numPr>
                <w:ilvl w:val="0"/>
                <w:numId w:val="7"/>
              </w:numPr>
              <w:spacing w:after="0" w:line="240" w:lineRule="auto"/>
              <w:rPr>
                <w:b/>
              </w:rPr>
            </w:pPr>
            <w:r>
              <w:t>Programový výber</w:t>
            </w:r>
          </w:p>
          <w:p w:rsidR="00090B3F" w:rsidRPr="002C2A24" w:rsidRDefault="00090B3F" w:rsidP="00090B3F">
            <w:pPr>
              <w:pStyle w:val="Odsekzoznamu"/>
              <w:numPr>
                <w:ilvl w:val="1"/>
                <w:numId w:val="7"/>
              </w:numPr>
              <w:spacing w:after="0" w:line="240" w:lineRule="auto"/>
              <w:rPr>
                <w:b/>
              </w:rPr>
            </w:pPr>
            <w:r>
              <w:t>v režime malá nasporená suma</w:t>
            </w:r>
          </w:p>
          <w:p w:rsidR="0010754C" w:rsidRDefault="0010754C" w:rsidP="002C2A24">
            <w:pPr>
              <w:rPr>
                <w:b/>
              </w:rPr>
            </w:pPr>
          </w:p>
          <w:p w:rsidR="0010754C" w:rsidRPr="0010754C" w:rsidRDefault="0010754C" w:rsidP="00BA747C">
            <w:pPr>
              <w:jc w:val="both"/>
            </w:pPr>
            <w:r w:rsidRPr="002C2A24">
              <w:t>Možnosť poberania uved</w:t>
            </w:r>
            <w:r>
              <w:t>ených d</w:t>
            </w:r>
            <w:r w:rsidR="00BA747C">
              <w:t>ôchodkov</w:t>
            </w:r>
            <w:r>
              <w:t xml:space="preserve"> závisí od individuálnych podmienok </w:t>
            </w:r>
            <w:r w:rsidR="00BA747C">
              <w:t>sporiteľa</w:t>
            </w:r>
            <w:r>
              <w:t xml:space="preserve"> </w:t>
            </w:r>
            <w:r w:rsidR="00BA747C">
              <w:t>starobného</w:t>
            </w:r>
            <w:r>
              <w:t xml:space="preserve"> dôchodkového sporenia.</w:t>
            </w:r>
          </w:p>
        </w:tc>
      </w:tr>
    </w:tbl>
    <w:p w:rsidR="00F770DC" w:rsidRDefault="00F770DC" w:rsidP="00F770DC">
      <w:pPr>
        <w:jc w:val="center"/>
        <w:rPr>
          <w:b/>
        </w:rPr>
      </w:pPr>
    </w:p>
    <w:p w:rsidR="00F0783B" w:rsidRPr="008F3808" w:rsidRDefault="00F0783B" w:rsidP="00F770DC">
      <w:pPr>
        <w:jc w:val="center"/>
        <w:rPr>
          <w:b/>
        </w:rPr>
      </w:pPr>
    </w:p>
    <w:tbl>
      <w:tblPr>
        <w:tblStyle w:val="Mriekatabuky"/>
        <w:tblW w:w="0" w:type="auto"/>
        <w:tblLook w:val="04A0" w:firstRow="1" w:lastRow="0" w:firstColumn="1" w:lastColumn="0" w:noHBand="0" w:noVBand="1"/>
      </w:tblPr>
      <w:tblGrid>
        <w:gridCol w:w="9288"/>
      </w:tblGrid>
      <w:tr w:rsidR="00F770DC" w:rsidRPr="00D17DF2" w:rsidTr="00D17DF2">
        <w:trPr>
          <w:trHeight w:val="1975"/>
        </w:trPr>
        <w:tc>
          <w:tcPr>
            <w:tcW w:w="10609" w:type="dxa"/>
          </w:tcPr>
          <w:p w:rsidR="00F770DC" w:rsidRPr="00C10668" w:rsidRDefault="008E32CC" w:rsidP="00F770DC">
            <w:pPr>
              <w:rPr>
                <w:b/>
              </w:rPr>
            </w:pPr>
            <w:r w:rsidRPr="00C10668">
              <w:rPr>
                <w:b/>
              </w:rPr>
              <w:t xml:space="preserve">Doživotný starobný dôchodok </w:t>
            </w:r>
          </w:p>
          <w:p w:rsidR="00F770DC" w:rsidRPr="00D17DF2" w:rsidRDefault="00F770DC" w:rsidP="00F770DC"/>
          <w:p w:rsidR="008E32CC" w:rsidRPr="00804F7D" w:rsidRDefault="008E32CC" w:rsidP="008E32CC">
            <w:pPr>
              <w:jc w:val="both"/>
            </w:pPr>
            <w:r w:rsidRPr="00804F7D">
              <w:t>je poistný produkt, v ktorom sa Vám poisťovňa zaväzuje vyplácať dôchodok do konca Vášho života. Dôchodok si zakúpite od poisťovne za nasporenú sumu, ktorú Vám do poisťovne prevedie Vaša dôchodková správcovská spoločnosť. Pri určení sumy Vášho mesačného dôchodku poisťovňa zohľadňuje len Váš vek a výšku nasporenej sumy. Dôchodok Vám bude vyplácaný na základe zmluvy o poistení dôchodku</w:t>
            </w:r>
            <w:r>
              <w:t xml:space="preserve"> uzatvorenou </w:t>
            </w:r>
            <w:r w:rsidRPr="00804F7D">
              <w:t xml:space="preserve">s Vami zvolenou poisťovňou. Každý z variantov doživotného dôchodku obsahuje 7- ročnú garanciu výplaty. </w:t>
            </w:r>
          </w:p>
          <w:p w:rsidR="00F770DC" w:rsidRPr="00D17DF2" w:rsidRDefault="00F770DC" w:rsidP="00217FA7">
            <w:pPr>
              <w:jc w:val="both"/>
            </w:pPr>
          </w:p>
        </w:tc>
      </w:tr>
    </w:tbl>
    <w:p w:rsidR="00FD0872" w:rsidRDefault="00FD0872" w:rsidP="00081736">
      <w:pPr>
        <w:jc w:val="center"/>
        <w:rPr>
          <w:b/>
        </w:rPr>
      </w:pPr>
    </w:p>
    <w:p w:rsidR="00081736" w:rsidRDefault="00081736" w:rsidP="00081736">
      <w:pPr>
        <w:jc w:val="center"/>
        <w:rPr>
          <w:b/>
        </w:rPr>
      </w:pPr>
    </w:p>
    <w:p w:rsidR="00C10668" w:rsidRDefault="00C10668" w:rsidP="00081736">
      <w:pPr>
        <w:jc w:val="center"/>
        <w:rPr>
          <w:b/>
        </w:rPr>
      </w:pPr>
    </w:p>
    <w:p w:rsidR="00C10668" w:rsidRDefault="00C10668" w:rsidP="00081736">
      <w:pPr>
        <w:jc w:val="center"/>
        <w:rPr>
          <w:b/>
        </w:rPr>
      </w:pPr>
    </w:p>
    <w:tbl>
      <w:tblPr>
        <w:tblStyle w:val="Mriekatabuky"/>
        <w:tblW w:w="0" w:type="auto"/>
        <w:tblLook w:val="04A0" w:firstRow="1" w:lastRow="0" w:firstColumn="1" w:lastColumn="0" w:noHBand="0" w:noVBand="1"/>
      </w:tblPr>
      <w:tblGrid>
        <w:gridCol w:w="9288"/>
      </w:tblGrid>
      <w:tr w:rsidR="004C7E89" w:rsidTr="004C7E89">
        <w:tc>
          <w:tcPr>
            <w:tcW w:w="9288" w:type="dxa"/>
          </w:tcPr>
          <w:p w:rsidR="004C7E89" w:rsidRPr="00C10668" w:rsidRDefault="008E32CC" w:rsidP="004C7E89">
            <w:pPr>
              <w:rPr>
                <w:b/>
              </w:rPr>
            </w:pPr>
            <w:r>
              <w:rPr>
                <w:vertAlign w:val="superscript"/>
              </w:rPr>
              <w:t xml:space="preserve"> </w:t>
            </w:r>
            <w:r w:rsidRPr="00C10668">
              <w:rPr>
                <w:b/>
              </w:rPr>
              <w:t>Dočasný starobný dôchodok</w:t>
            </w:r>
          </w:p>
          <w:p w:rsidR="004C7E89" w:rsidRDefault="004C7E89" w:rsidP="004C7E89">
            <w:pPr>
              <w:jc w:val="both"/>
            </w:pPr>
          </w:p>
          <w:p w:rsidR="008E32CC" w:rsidRPr="00804F7D" w:rsidRDefault="008E32CC" w:rsidP="008E32CC">
            <w:pPr>
              <w:jc w:val="both"/>
            </w:pPr>
            <w:r w:rsidRPr="00804F7D">
              <w:t xml:space="preserve">je poistný produkt, v ktorom sa Vám poisťovňa zaväzuje vyplácať dôchodok počas doby dohodnutej v zmluve o poistení dôchodku. Obdobie výplaty môže byť 5, 7 alebo 10 rokov. </w:t>
            </w:r>
          </w:p>
          <w:p w:rsidR="004C7E89" w:rsidRPr="00410EE7" w:rsidRDefault="004C7E89" w:rsidP="00C52AB3">
            <w:pPr>
              <w:jc w:val="both"/>
            </w:pPr>
          </w:p>
        </w:tc>
      </w:tr>
    </w:tbl>
    <w:p w:rsidR="004C7E89" w:rsidRPr="008F3808" w:rsidRDefault="004C7E89" w:rsidP="00F770DC">
      <w:pPr>
        <w:rPr>
          <w:b/>
        </w:rPr>
      </w:pPr>
    </w:p>
    <w:tbl>
      <w:tblPr>
        <w:tblStyle w:val="Mriekatabuky"/>
        <w:tblW w:w="0" w:type="auto"/>
        <w:tblLook w:val="04A0" w:firstRow="1" w:lastRow="0" w:firstColumn="1" w:lastColumn="0" w:noHBand="0" w:noVBand="1"/>
      </w:tblPr>
      <w:tblGrid>
        <w:gridCol w:w="9288"/>
      </w:tblGrid>
      <w:tr w:rsidR="00D17DF2" w:rsidRPr="00B77F88" w:rsidTr="004C7E89">
        <w:trPr>
          <w:trHeight w:val="1658"/>
        </w:trPr>
        <w:tc>
          <w:tcPr>
            <w:tcW w:w="9288" w:type="dxa"/>
          </w:tcPr>
          <w:p w:rsidR="00D17DF2" w:rsidRPr="00C10668" w:rsidRDefault="008E32CC" w:rsidP="00891594">
            <w:pPr>
              <w:rPr>
                <w:b/>
              </w:rPr>
            </w:pPr>
            <w:r w:rsidRPr="00C10668">
              <w:rPr>
                <w:b/>
              </w:rPr>
              <w:t>Programový výber</w:t>
            </w:r>
          </w:p>
          <w:p w:rsidR="00D17DF2" w:rsidRPr="00B77F88" w:rsidRDefault="00D17DF2" w:rsidP="00891594"/>
          <w:p w:rsidR="008E32CC" w:rsidRPr="00B576B9" w:rsidRDefault="008E32CC" w:rsidP="008E32CC">
            <w:pPr>
              <w:jc w:val="both"/>
            </w:pPr>
            <w:r w:rsidRPr="00B576B9">
              <w:t>nie je poistný produkt. Vaše nasporené prostriedky zostávajú v DSS, ktorá Vám ich na základe dohody o vyplácaní dôchodku programovým výberom bude vyplácať buď na Vami určené obdobie alebo vo Vami určenej mesačnej sume. Zmenu tohto obdobia alebo sumy si môžete na základe dohody s DSS kedykoľvek zmeniť. DSS Vám bude vyplácať programový výber do vyčerpania celej nasporenej sumy. Pri určení sumy Vášho mesačného dôchodku DSS zohľadňuje len výšku nasporenej sumy na Vašom osobnom dôchodkovom účte a</w:t>
            </w:r>
            <w:r>
              <w:t> zhodnotenie majetku v dôchodkovom fonde</w:t>
            </w:r>
            <w:r w:rsidRPr="00B576B9">
              <w:t xml:space="preserve">. Vzhľadom na to, že nasporená suma ostáva po celý čas vyplácania v dôchodkovom fonde, kde sa hodnota úspor v závislosti od zhodnotenia fondu každodenne mení, DSS Vám nevie zaručiť výšku a dĺžku výplaty dôchodku. Vyplácanie dôchodku si môžete dohodnúť aj s inou DSS než v ktorej ste si sporili.   </w:t>
            </w:r>
          </w:p>
          <w:p w:rsidR="00D17DF2" w:rsidRPr="00B77F88" w:rsidRDefault="00D17DF2" w:rsidP="00A11BD5">
            <w:pPr>
              <w:jc w:val="both"/>
            </w:pPr>
          </w:p>
        </w:tc>
      </w:tr>
    </w:tbl>
    <w:p w:rsidR="00877F71" w:rsidRDefault="00877F71" w:rsidP="000077AE">
      <w:pPr>
        <w:rPr>
          <w:b/>
        </w:rPr>
      </w:pPr>
    </w:p>
    <w:tbl>
      <w:tblPr>
        <w:tblStyle w:val="Mriekatabuky"/>
        <w:tblW w:w="0" w:type="auto"/>
        <w:tblLook w:val="04A0" w:firstRow="1" w:lastRow="0" w:firstColumn="1" w:lastColumn="0" w:noHBand="0" w:noVBand="1"/>
      </w:tblPr>
      <w:tblGrid>
        <w:gridCol w:w="9212"/>
      </w:tblGrid>
      <w:tr w:rsidR="008E32CC" w:rsidTr="008E32CC">
        <w:tc>
          <w:tcPr>
            <w:tcW w:w="9212" w:type="dxa"/>
          </w:tcPr>
          <w:p w:rsidR="008E32CC" w:rsidRPr="00C10668" w:rsidRDefault="008E32CC" w:rsidP="008E32CC">
            <w:pPr>
              <w:jc w:val="both"/>
              <w:rPr>
                <w:b/>
              </w:rPr>
            </w:pPr>
            <w:r w:rsidRPr="00C10668">
              <w:rPr>
                <w:b/>
              </w:rPr>
              <w:t>Výnos z investovania</w:t>
            </w:r>
          </w:p>
          <w:p w:rsidR="008E32CC" w:rsidRPr="00B576B9" w:rsidRDefault="008E32CC" w:rsidP="008E32CC">
            <w:pPr>
              <w:jc w:val="both"/>
            </w:pPr>
          </w:p>
          <w:p w:rsidR="008E32CC" w:rsidRPr="00B576B9" w:rsidRDefault="008E32CC" w:rsidP="008E32CC">
            <w:pPr>
              <w:jc w:val="both"/>
            </w:pPr>
            <w:r w:rsidRPr="00B576B9">
              <w:t>Výnos z investovania môžete poberať po dovŕšení dôchodkového veku a ak</w:t>
            </w:r>
          </w:p>
          <w:p w:rsidR="008E32CC" w:rsidRPr="00B576B9" w:rsidRDefault="008E32CC" w:rsidP="008E32CC">
            <w:pPr>
              <w:pStyle w:val="Odsekzoznamu"/>
              <w:numPr>
                <w:ilvl w:val="0"/>
                <w:numId w:val="12"/>
              </w:numPr>
              <w:spacing w:after="0" w:line="240" w:lineRule="auto"/>
              <w:jc w:val="both"/>
            </w:pPr>
            <w:r w:rsidRPr="00B576B9">
              <w:t xml:space="preserve">ešte nemáte záujem o vyplácanie dôchodku z II. piliera alebo </w:t>
            </w:r>
          </w:p>
          <w:p w:rsidR="008E32CC" w:rsidRPr="00B576B9" w:rsidRDefault="008E32CC" w:rsidP="008E32CC">
            <w:pPr>
              <w:pStyle w:val="Odsekzoznamu"/>
              <w:numPr>
                <w:ilvl w:val="0"/>
                <w:numId w:val="12"/>
              </w:numPr>
              <w:spacing w:after="0" w:line="240" w:lineRule="auto"/>
              <w:jc w:val="both"/>
            </w:pPr>
            <w:r w:rsidRPr="00B576B9">
              <w:t xml:space="preserve">už poberáte dôchodok z II. piliera s výnimkou programového výberu, ale časť nasporenej sumy ešte máte na svojom osobnom dôchodkovom účte. </w:t>
            </w:r>
          </w:p>
          <w:p w:rsidR="008E32CC" w:rsidRPr="00B576B9" w:rsidRDefault="008E32CC" w:rsidP="008E32CC">
            <w:pPr>
              <w:pStyle w:val="Odsekzoznamu"/>
              <w:ind w:left="851"/>
              <w:jc w:val="both"/>
            </w:pPr>
          </w:p>
          <w:p w:rsidR="008E32CC" w:rsidRPr="00B576B9" w:rsidRDefault="008E32CC" w:rsidP="008E32CC">
            <w:pPr>
              <w:jc w:val="both"/>
            </w:pPr>
            <w:r w:rsidRPr="00B576B9">
              <w:t xml:space="preserve">Vaše úspory zostávajú na osobnom dôchodkovom účte v DSS, z ktorých sa Vám v závislosti od zhodnotenia majetku v dôchodkovom fonde bude priebežne vyplácať výnos z investovania. Jeho výška nie je garantovaná a závisí od výkonnosti dôchodkového fondu. Ak v danom roku nedôjde k zhodnoteniu, nebude Vám vyplatený výnos z investovania. Jeho vyplácanie môžete kedykoľvek ukončiť a požiadať o vyplácanie dôchodku z II. piliera. </w:t>
            </w:r>
          </w:p>
          <w:p w:rsidR="008E32CC" w:rsidRPr="00B576B9" w:rsidRDefault="008E32CC" w:rsidP="008E32CC">
            <w:pPr>
              <w:jc w:val="both"/>
            </w:pPr>
          </w:p>
          <w:p w:rsidR="008E32CC" w:rsidRDefault="008E32CC" w:rsidP="008E32CC">
            <w:pPr>
              <w:rPr>
                <w:b/>
              </w:rPr>
            </w:pPr>
            <w:r w:rsidRPr="00B576B9">
              <w:t>Ponuku na výplatu výnosu z investovania nenájdete v ponukovom liste. Vyplácanie výnosu z investovania si môžete dohodnúť priamo vo svojej DSS.</w:t>
            </w:r>
          </w:p>
        </w:tc>
      </w:tr>
    </w:tbl>
    <w:p w:rsidR="008E32CC" w:rsidRDefault="008E32CC" w:rsidP="000077AE">
      <w:pPr>
        <w:rPr>
          <w:b/>
        </w:rPr>
      </w:pPr>
    </w:p>
    <w:p w:rsidR="008E32CC" w:rsidRDefault="008E32CC" w:rsidP="000077AE">
      <w:pPr>
        <w:rPr>
          <w:b/>
        </w:rPr>
      </w:pPr>
    </w:p>
    <w:tbl>
      <w:tblPr>
        <w:tblStyle w:val="Mriekatabuky"/>
        <w:tblW w:w="0" w:type="auto"/>
        <w:tblLook w:val="04A0" w:firstRow="1" w:lastRow="0" w:firstColumn="1" w:lastColumn="0" w:noHBand="0" w:noVBand="1"/>
      </w:tblPr>
      <w:tblGrid>
        <w:gridCol w:w="9288"/>
      </w:tblGrid>
      <w:tr w:rsidR="000077AE" w:rsidTr="00133611">
        <w:tc>
          <w:tcPr>
            <w:tcW w:w="10606" w:type="dxa"/>
          </w:tcPr>
          <w:p w:rsidR="000077AE" w:rsidRPr="00C10668" w:rsidRDefault="000077AE" w:rsidP="000077AE">
            <w:pPr>
              <w:rPr>
                <w:b/>
              </w:rPr>
            </w:pPr>
            <w:r w:rsidRPr="00C10668">
              <w:rPr>
                <w:b/>
              </w:rPr>
              <w:t>Dedenie</w:t>
            </w:r>
          </w:p>
          <w:p w:rsidR="00C10668" w:rsidRDefault="00C10668" w:rsidP="000077AE"/>
          <w:p w:rsidR="008E32CC" w:rsidRPr="00B576B9" w:rsidRDefault="008E32CC" w:rsidP="008E32CC">
            <w:pPr>
              <w:jc w:val="both"/>
            </w:pPr>
            <w:r w:rsidRPr="00B576B9">
              <w:t xml:space="preserve">V zmluve o starobnom dôchodkovom sporení má sporiteľ právo určiť oprávnenú osobu alebo viaceré osoby, ktorým sa vyplatí majetok v prípade smrti. Oprávnenou osobu môže byť fyzická osoba alebo právnická osoba. Ak oprávnená osoba nie je určená alebo zomrela, </w:t>
            </w:r>
            <w:r>
              <w:t xml:space="preserve">nasporená suma </w:t>
            </w:r>
            <w:r w:rsidRPr="00B576B9">
              <w:t>bude predmetom dedenia</w:t>
            </w:r>
            <w:r>
              <w:t xml:space="preserve"> podľa Občianskeho zákonníka.</w:t>
            </w:r>
            <w:r w:rsidRPr="00B576B9">
              <w:t xml:space="preserve">     </w:t>
            </w:r>
          </w:p>
          <w:p w:rsidR="008E32CC" w:rsidRPr="00B576B9" w:rsidRDefault="008E32CC" w:rsidP="008E32CC">
            <w:pPr>
              <w:jc w:val="both"/>
            </w:pPr>
          </w:p>
          <w:p w:rsidR="008E32CC" w:rsidRDefault="008E32CC" w:rsidP="008E32CC">
            <w:pPr>
              <w:jc w:val="both"/>
            </w:pPr>
            <w:r w:rsidRPr="00B576B9">
              <w:t xml:space="preserve">V prípade, že je oprávnená osoba alebo dedič sporiteľom, môže si nasporenú sumu, ktorá je predmetom dedenia, nechať previesť na základe žiadosti na svoj osobný dôchodkový účet v DSS.          </w:t>
            </w:r>
          </w:p>
          <w:p w:rsidR="00C10668" w:rsidRPr="00B576B9" w:rsidRDefault="00C10668" w:rsidP="008E32CC">
            <w:pPr>
              <w:jc w:val="both"/>
            </w:pPr>
          </w:p>
          <w:p w:rsidR="008E32CC" w:rsidRPr="00B576B9" w:rsidRDefault="008E32CC" w:rsidP="008E32CC">
            <w:pPr>
              <w:jc w:val="both"/>
            </w:pPr>
          </w:p>
          <w:p w:rsidR="008E32CC" w:rsidRPr="00C10668" w:rsidRDefault="008E32CC" w:rsidP="008E32CC">
            <w:pPr>
              <w:jc w:val="both"/>
              <w:rPr>
                <w:i/>
              </w:rPr>
            </w:pPr>
            <w:r w:rsidRPr="00C10668">
              <w:rPr>
                <w:i/>
              </w:rPr>
              <w:t>Doživotný dôchodok</w:t>
            </w:r>
          </w:p>
          <w:p w:rsidR="008E32CC" w:rsidRPr="00B576B9" w:rsidRDefault="008E32CC" w:rsidP="008E32CC">
            <w:pPr>
              <w:jc w:val="both"/>
            </w:pPr>
            <w:r>
              <w:t xml:space="preserve">Vo výplatnej fáze doživotného dôchodku je poskytovaná 7 ročná garancia. </w:t>
            </w:r>
            <w:r w:rsidRPr="00B576B9">
              <w:t>Ak sa stanete poberateľom doživotného dôchodku, na výplatu zostatku Vašej nasporenej sumy</w:t>
            </w:r>
            <w:r>
              <w:t xml:space="preserve"> v prípade Vašej smrti počas týchto 7 rokov, </w:t>
            </w:r>
            <w:r w:rsidRPr="00B576B9">
              <w:t xml:space="preserve">bude mať </w:t>
            </w:r>
            <w:r w:rsidRPr="00B576B9">
              <w:rPr>
                <w:rFonts w:ascii="Times" w:hAnsi="Times" w:cs="Times"/>
                <w:sz w:val="25"/>
                <w:szCs w:val="25"/>
              </w:rPr>
              <w:t xml:space="preserve">nárok oprávnená osoba. </w:t>
            </w:r>
            <w:r w:rsidRPr="00B576B9">
              <w:t xml:space="preserve">Ak oprávnená osoba nie je určená alebo zomrela, zostatok nevyplatenej sumy bude predmetom dedenia.     </w:t>
            </w:r>
          </w:p>
          <w:p w:rsidR="008E32CC" w:rsidRPr="00B576B9" w:rsidRDefault="008E32CC" w:rsidP="008E32CC">
            <w:pPr>
              <w:jc w:val="both"/>
            </w:pPr>
          </w:p>
          <w:p w:rsidR="008E32CC" w:rsidRPr="00C10668" w:rsidRDefault="008E32CC" w:rsidP="008E32CC">
            <w:pPr>
              <w:jc w:val="both"/>
              <w:rPr>
                <w:i/>
              </w:rPr>
            </w:pPr>
            <w:r w:rsidRPr="00C10668">
              <w:rPr>
                <w:i/>
              </w:rPr>
              <w:t>Dočasný dôchodok</w:t>
            </w:r>
          </w:p>
          <w:p w:rsidR="008E32CC" w:rsidRPr="00B576B9" w:rsidRDefault="008E32CC" w:rsidP="008E32CC">
            <w:pPr>
              <w:jc w:val="both"/>
            </w:pPr>
            <w:r w:rsidRPr="00B576B9">
              <w:t xml:space="preserve">Ak sa stanete poberateľom dočasného dôchodku, zostatok nevyplatenej nasporenej sumy nie je predmetom dedenia. </w:t>
            </w:r>
          </w:p>
          <w:p w:rsidR="008E32CC" w:rsidRPr="00B576B9" w:rsidRDefault="008E32CC" w:rsidP="008E32CC">
            <w:pPr>
              <w:jc w:val="both"/>
            </w:pPr>
          </w:p>
          <w:p w:rsidR="008E32CC" w:rsidRPr="00C10668" w:rsidRDefault="008E32CC" w:rsidP="008E32CC">
            <w:pPr>
              <w:jc w:val="both"/>
              <w:rPr>
                <w:i/>
              </w:rPr>
            </w:pPr>
            <w:r w:rsidRPr="00C10668">
              <w:rPr>
                <w:i/>
              </w:rPr>
              <w:t xml:space="preserve">Programový výber </w:t>
            </w:r>
          </w:p>
          <w:p w:rsidR="008E32CC" w:rsidRPr="00B576B9" w:rsidRDefault="008E32CC" w:rsidP="008E32CC">
            <w:pPr>
              <w:jc w:val="both"/>
            </w:pPr>
            <w:r w:rsidRPr="00B576B9">
              <w:t xml:space="preserve">Ak sa stanete poberateľom programového výberu, na výplatu zostatku Vašej nasporenej sumy bude mať </w:t>
            </w:r>
            <w:r w:rsidRPr="00B576B9">
              <w:rPr>
                <w:rFonts w:ascii="Times" w:hAnsi="Times" w:cs="Times"/>
                <w:sz w:val="25"/>
                <w:szCs w:val="25"/>
              </w:rPr>
              <w:t xml:space="preserve">nárok oprávnená osoba. </w:t>
            </w:r>
            <w:r w:rsidRPr="00B576B9">
              <w:t xml:space="preserve">Ak oprávnená osoba nie je určená alebo zomrela, zostatok nevyplatenej sumy bude predmetom dedenia.     </w:t>
            </w:r>
          </w:p>
          <w:p w:rsidR="008E32CC" w:rsidRPr="00B576B9" w:rsidRDefault="008E32CC" w:rsidP="008E32CC">
            <w:pPr>
              <w:jc w:val="both"/>
            </w:pPr>
          </w:p>
          <w:p w:rsidR="008E32CC" w:rsidRPr="00C10668" w:rsidRDefault="008E32CC" w:rsidP="008E32CC">
            <w:pPr>
              <w:jc w:val="both"/>
              <w:rPr>
                <w:i/>
              </w:rPr>
            </w:pPr>
            <w:r w:rsidRPr="00C10668">
              <w:rPr>
                <w:i/>
              </w:rPr>
              <w:t>Výnos z investovania</w:t>
            </w:r>
          </w:p>
          <w:p w:rsidR="008E32CC" w:rsidRPr="00B576B9" w:rsidRDefault="008E32CC" w:rsidP="008E32CC">
            <w:pPr>
              <w:jc w:val="both"/>
            </w:pPr>
            <w:r w:rsidRPr="00B576B9">
              <w:t>Ak sa stanete poberateľom výnosu z investovania, je zostatok nasporenej sumy v dôchodkovom fonde predmetom dedenia.</w:t>
            </w:r>
          </w:p>
          <w:p w:rsidR="000077AE" w:rsidRPr="00410EE7" w:rsidRDefault="000077AE" w:rsidP="000077AE">
            <w:pPr>
              <w:jc w:val="both"/>
            </w:pPr>
          </w:p>
        </w:tc>
      </w:tr>
    </w:tbl>
    <w:p w:rsidR="000077AE" w:rsidRDefault="000077AE" w:rsidP="004C7E89">
      <w:pPr>
        <w:rPr>
          <w:b/>
        </w:rPr>
      </w:pPr>
    </w:p>
    <w:p w:rsidR="005279E6" w:rsidRDefault="005279E6" w:rsidP="00F770DC">
      <w:pPr>
        <w:jc w:val="center"/>
        <w:rPr>
          <w:b/>
        </w:rPr>
      </w:pPr>
    </w:p>
    <w:tbl>
      <w:tblPr>
        <w:tblStyle w:val="Mriekatabuky"/>
        <w:tblW w:w="0" w:type="auto"/>
        <w:tblLook w:val="04A0" w:firstRow="1" w:lastRow="0" w:firstColumn="1" w:lastColumn="0" w:noHBand="0" w:noVBand="1"/>
      </w:tblPr>
      <w:tblGrid>
        <w:gridCol w:w="9288"/>
      </w:tblGrid>
      <w:tr w:rsidR="00F770DC" w:rsidRPr="008F3808" w:rsidTr="005279E6">
        <w:trPr>
          <w:trHeight w:val="1682"/>
        </w:trPr>
        <w:tc>
          <w:tcPr>
            <w:tcW w:w="9288" w:type="dxa"/>
          </w:tcPr>
          <w:p w:rsidR="00F770DC" w:rsidRPr="001F675B" w:rsidRDefault="00F770DC" w:rsidP="00C3583A">
            <w:r w:rsidRPr="001F675B">
              <w:t>Ako požiadam o </w:t>
            </w:r>
            <w:r w:rsidR="000D3633">
              <w:t>d</w:t>
            </w:r>
            <w:r w:rsidR="008E32CC">
              <w:t>ôchodok</w:t>
            </w:r>
            <w:r w:rsidRPr="001F675B">
              <w:t>?</w:t>
            </w:r>
          </w:p>
          <w:p w:rsidR="00F770DC" w:rsidRPr="001F675B" w:rsidRDefault="00F770DC" w:rsidP="00C3583A"/>
          <w:p w:rsidR="00090B3F" w:rsidRPr="00804F7D" w:rsidRDefault="00090B3F" w:rsidP="00090B3F">
            <w:r w:rsidRPr="00804F7D">
              <w:t>O dôchodok z II. piliera môžete požiadať:</w:t>
            </w:r>
          </w:p>
          <w:p w:rsidR="00090B3F" w:rsidRPr="00804F7D" w:rsidRDefault="00090B3F" w:rsidP="00090B3F">
            <w:pPr>
              <w:pStyle w:val="Odsekzoznamu"/>
              <w:numPr>
                <w:ilvl w:val="0"/>
                <w:numId w:val="13"/>
              </w:numPr>
              <w:spacing w:after="0" w:line="240" w:lineRule="auto"/>
            </w:pPr>
            <w:r w:rsidRPr="00804F7D">
              <w:t xml:space="preserve">v Sociálnej poisťovni alebo </w:t>
            </w:r>
          </w:p>
          <w:p w:rsidR="00090B3F" w:rsidRPr="00804F7D" w:rsidRDefault="00090B3F" w:rsidP="00090B3F">
            <w:pPr>
              <w:pStyle w:val="Odsekzoznamu"/>
              <w:numPr>
                <w:ilvl w:val="0"/>
                <w:numId w:val="13"/>
              </w:numPr>
              <w:spacing w:after="0" w:line="240" w:lineRule="auto"/>
            </w:pPr>
            <w:r w:rsidRPr="00804F7D">
              <w:t xml:space="preserve">vo Vašej dôchodkovej správcovskej spoločnosti. </w:t>
            </w:r>
          </w:p>
          <w:p w:rsidR="00090B3F" w:rsidRPr="00804F7D" w:rsidRDefault="00090B3F" w:rsidP="00090B3F"/>
          <w:p w:rsidR="00F770DC" w:rsidRPr="001F675B" w:rsidRDefault="00090B3F" w:rsidP="00090B3F">
            <w:pPr>
              <w:jc w:val="both"/>
            </w:pPr>
            <w:r w:rsidRPr="00804F7D">
              <w:t>Následne Vám Sociálna poisťovňa zašle ponukový list s jednotlivými ponukami dôchodkov. Spôsob zaslania ponukového listu (poštou alebo elektroniky) si určíte v žiadosti o dôchodok.</w:t>
            </w:r>
          </w:p>
        </w:tc>
      </w:tr>
    </w:tbl>
    <w:p w:rsidR="00F770DC" w:rsidRPr="008F3808" w:rsidRDefault="00F770DC" w:rsidP="00C3583A">
      <w:pPr>
        <w:jc w:val="center"/>
        <w:rPr>
          <w:b/>
        </w:rPr>
      </w:pPr>
    </w:p>
    <w:tbl>
      <w:tblPr>
        <w:tblStyle w:val="Mriekatabuky"/>
        <w:tblW w:w="0" w:type="auto"/>
        <w:tblLook w:val="04A0" w:firstRow="1" w:lastRow="0" w:firstColumn="1" w:lastColumn="0" w:noHBand="0" w:noVBand="1"/>
      </w:tblPr>
      <w:tblGrid>
        <w:gridCol w:w="9288"/>
      </w:tblGrid>
      <w:tr w:rsidR="00F770DC" w:rsidRPr="000D3633" w:rsidTr="003832E4">
        <w:trPr>
          <w:trHeight w:val="70"/>
        </w:trPr>
        <w:tc>
          <w:tcPr>
            <w:tcW w:w="10598" w:type="dxa"/>
          </w:tcPr>
          <w:p w:rsidR="00F770DC" w:rsidRPr="000D3633" w:rsidRDefault="007430AE" w:rsidP="00C10668">
            <w:pPr>
              <w:jc w:val="both"/>
            </w:pPr>
            <w:r>
              <w:t xml:space="preserve">Je možné, že </w:t>
            </w:r>
            <w:r w:rsidR="00C205F9">
              <w:t xml:space="preserve">kým </w:t>
            </w:r>
            <w:r>
              <w:t>budete môcť poberať d</w:t>
            </w:r>
            <w:r w:rsidR="008E32CC">
              <w:t>ôchodok</w:t>
            </w:r>
            <w:r>
              <w:t xml:space="preserve"> z</w:t>
            </w:r>
            <w:r w:rsidR="008E32CC">
              <w:t>o</w:t>
            </w:r>
            <w:r>
              <w:t> </w:t>
            </w:r>
            <w:r w:rsidR="008E32CC">
              <w:t xml:space="preserve">starobného </w:t>
            </w:r>
            <w:r>
              <w:t>dôchodkového sporenia, budú prijaté zmeny všeobecn</w:t>
            </w:r>
            <w:r w:rsidR="00B86EFC">
              <w:t xml:space="preserve">e záväzných právnych predpisov týkajúce sa </w:t>
            </w:r>
            <w:r>
              <w:t>podmien</w:t>
            </w:r>
            <w:r w:rsidR="00B86EFC">
              <w:t>o</w:t>
            </w:r>
            <w:r>
              <w:t xml:space="preserve">k </w:t>
            </w:r>
            <w:r w:rsidR="00B86EFC">
              <w:t>pre poberanie</w:t>
            </w:r>
            <w:r>
              <w:t xml:space="preserve"> </w:t>
            </w:r>
            <w:r w:rsidR="00B86EFC">
              <w:t>týchto</w:t>
            </w:r>
            <w:r w:rsidR="008E32CC">
              <w:t xml:space="preserve"> dôchodkov</w:t>
            </w:r>
            <w:r>
              <w:t>. Aktualizovanú informáciu o d</w:t>
            </w:r>
            <w:r w:rsidR="008E32CC">
              <w:t>ôchodkoch</w:t>
            </w:r>
            <w:r>
              <w:t xml:space="preserve"> a ď</w:t>
            </w:r>
            <w:r w:rsidR="00F770DC" w:rsidRPr="000D3633">
              <w:t xml:space="preserve">alšie informácie získate na </w:t>
            </w:r>
            <w:r w:rsidR="00113A31" w:rsidRPr="00113A31">
              <w:t>...</w:t>
            </w:r>
            <w:r w:rsidR="00C10668">
              <w:rPr>
                <w:vertAlign w:val="superscript"/>
              </w:rPr>
              <w:t>f</w:t>
            </w:r>
            <w:r w:rsidR="000D3633" w:rsidRPr="000D3633">
              <w:t>)</w:t>
            </w:r>
            <w:r w:rsidR="00B86EFC">
              <w:t>.</w:t>
            </w:r>
          </w:p>
        </w:tc>
      </w:tr>
    </w:tbl>
    <w:p w:rsidR="005A7A31" w:rsidRDefault="005A7A31" w:rsidP="005164CD"/>
    <w:p w:rsidR="00C10668" w:rsidRDefault="00C10668" w:rsidP="005164CD"/>
    <w:p w:rsidR="00C10668" w:rsidRDefault="00C10668" w:rsidP="005164CD"/>
    <w:p w:rsidR="00C10668" w:rsidRDefault="00C10668" w:rsidP="005164CD"/>
    <w:p w:rsidR="00C10668" w:rsidRDefault="00C10668" w:rsidP="005164CD"/>
    <w:p w:rsidR="00C10668" w:rsidRDefault="00C10668" w:rsidP="005164CD"/>
    <w:p w:rsidR="00C10668" w:rsidRDefault="00C10668" w:rsidP="005164CD"/>
    <w:p w:rsidR="00C10668" w:rsidRDefault="00C10668" w:rsidP="005164CD"/>
    <w:p w:rsidR="00C10668" w:rsidRDefault="00C10668" w:rsidP="005164CD"/>
    <w:p w:rsidR="00C10668" w:rsidRDefault="00C10668" w:rsidP="005164CD"/>
    <w:p w:rsidR="00C10668" w:rsidRDefault="00C10668" w:rsidP="005164CD"/>
    <w:p w:rsidR="00C10668" w:rsidRDefault="00C10668" w:rsidP="005164CD"/>
    <w:p w:rsidR="00C10668" w:rsidRDefault="00C10668" w:rsidP="005164CD"/>
    <w:p w:rsidR="00C10668" w:rsidRDefault="00C10668" w:rsidP="005164CD"/>
    <w:p w:rsidR="00C10668" w:rsidRDefault="00C10668" w:rsidP="005164CD"/>
    <w:p w:rsidR="0017522D" w:rsidRPr="00CA2AB5" w:rsidRDefault="004E0E4A" w:rsidP="005164CD">
      <w:r>
        <w:t>VYSVETLI</w:t>
      </w:r>
      <w:r w:rsidR="00090B3F">
        <w:t xml:space="preserve">VKY NA VYPĹŇANIE </w:t>
      </w:r>
      <w:r w:rsidR="0017522D" w:rsidRPr="00CA2AB5">
        <w:t>:</w:t>
      </w:r>
    </w:p>
    <w:p w:rsidR="0017522D" w:rsidRPr="00CA2AB5" w:rsidRDefault="0017522D" w:rsidP="00377407">
      <w:pPr>
        <w:jc w:val="both"/>
      </w:pPr>
    </w:p>
    <w:p w:rsidR="00805E95" w:rsidRPr="00CA2AB5" w:rsidRDefault="00090B3F" w:rsidP="00377407">
      <w:pPr>
        <w:jc w:val="both"/>
      </w:pPr>
      <w:r>
        <w:t>a</w:t>
      </w:r>
      <w:r w:rsidR="00805E95" w:rsidRPr="00CA2AB5">
        <w:t xml:space="preserve">) </w:t>
      </w:r>
      <w:r w:rsidR="00583D2D" w:rsidRPr="00CA2AB5">
        <w:t>Namiesto slov „Údaje o </w:t>
      </w:r>
      <w:r>
        <w:t>sporiteľovi</w:t>
      </w:r>
      <w:r w:rsidR="00583D2D" w:rsidRPr="00CA2AB5">
        <w:t xml:space="preserve">“ sa uvádza meno a priezvisko </w:t>
      </w:r>
      <w:r>
        <w:t>sporiteľa</w:t>
      </w:r>
      <w:r w:rsidR="00583D2D" w:rsidRPr="00CA2AB5">
        <w:t>, adresa trvalého pobytu</w:t>
      </w:r>
      <w:r w:rsidR="0080148F">
        <w:t>, adresa elektronickej pošty</w:t>
      </w:r>
      <w:r w:rsidR="005164CD">
        <w:t xml:space="preserve"> </w:t>
      </w:r>
      <w:r w:rsidR="00583D2D" w:rsidRPr="00CA2AB5">
        <w:t xml:space="preserve">alebo adresa, </w:t>
      </w:r>
      <w:r w:rsidR="007430AE">
        <w:t>ktorú</w:t>
      </w:r>
      <w:r w:rsidR="007430AE" w:rsidRPr="00CA2AB5">
        <w:t xml:space="preserve"> </w:t>
      </w:r>
      <w:r w:rsidR="00583D2D" w:rsidRPr="00CA2AB5">
        <w:t xml:space="preserve">si </w:t>
      </w:r>
      <w:r>
        <w:t>sporiteľ</w:t>
      </w:r>
      <w:r w:rsidR="00583D2D" w:rsidRPr="00CA2AB5">
        <w:t xml:space="preserve"> </w:t>
      </w:r>
      <w:r w:rsidR="007430AE">
        <w:t>určil</w:t>
      </w:r>
      <w:r w:rsidR="00583D2D" w:rsidRPr="00CA2AB5">
        <w:t xml:space="preserve">, dátum narodenia </w:t>
      </w:r>
      <w:r>
        <w:t>sporiteľa</w:t>
      </w:r>
      <w:r w:rsidR="00583D2D" w:rsidRPr="00CA2AB5">
        <w:t>, číslo zmluvy</w:t>
      </w:r>
      <w:r>
        <w:t xml:space="preserve"> o starobnom dôchodkovom sporení</w:t>
      </w:r>
      <w:r w:rsidR="00805E95" w:rsidRPr="00CA2AB5">
        <w:t>.</w:t>
      </w:r>
      <w:r>
        <w:t xml:space="preserve"> D</w:t>
      </w:r>
      <w:r w:rsidR="00F770DC" w:rsidRPr="00CA2AB5">
        <w:t xml:space="preserve">ôchodková </w:t>
      </w:r>
      <w:r>
        <w:t xml:space="preserve">správcovská </w:t>
      </w:r>
      <w:r w:rsidR="00F770DC" w:rsidRPr="00CA2AB5">
        <w:t xml:space="preserve">spoločnosť môže uviesť aj názvy dôchodkových fondov, ktoré si </w:t>
      </w:r>
      <w:r>
        <w:t>sporiteľ</w:t>
      </w:r>
      <w:r w:rsidR="00F770DC" w:rsidRPr="00CA2AB5">
        <w:t xml:space="preserve"> zvolil.</w:t>
      </w:r>
    </w:p>
    <w:p w:rsidR="00F770DC" w:rsidRPr="00CA2AB5" w:rsidRDefault="00090B3F" w:rsidP="00377407">
      <w:pPr>
        <w:jc w:val="both"/>
      </w:pPr>
      <w:r>
        <w:t>b</w:t>
      </w:r>
      <w:r w:rsidR="00BB37F0" w:rsidRPr="00CA2AB5">
        <w:t xml:space="preserve">) Namiesto slov „Vážený </w:t>
      </w:r>
      <w:r>
        <w:t>sporiteľ</w:t>
      </w:r>
      <w:r w:rsidR="00BB37F0" w:rsidRPr="00CA2AB5">
        <w:t xml:space="preserve">“ sa </w:t>
      </w:r>
      <w:r w:rsidR="007430AE">
        <w:t xml:space="preserve">primerane </w:t>
      </w:r>
      <w:r w:rsidR="00BB37F0" w:rsidRPr="00CA2AB5">
        <w:t>uvedie „Vážený</w:t>
      </w:r>
      <w:r w:rsidR="00783D97">
        <w:t xml:space="preserve"> pán</w:t>
      </w:r>
      <w:r w:rsidR="00BB37F0" w:rsidRPr="00CA2AB5">
        <w:t>/Vážená</w:t>
      </w:r>
      <w:r w:rsidR="00783D97">
        <w:t xml:space="preserve"> pani</w:t>
      </w:r>
      <w:r w:rsidR="00BB37F0" w:rsidRPr="00CA2AB5">
        <w:t xml:space="preserve">“ a meno a priezvisko </w:t>
      </w:r>
      <w:r>
        <w:t>sporiteľa</w:t>
      </w:r>
      <w:r w:rsidR="00BB37F0" w:rsidRPr="00CA2AB5">
        <w:t>.</w:t>
      </w:r>
    </w:p>
    <w:p w:rsidR="0017522D" w:rsidRPr="00CA2AB5" w:rsidRDefault="00090B3F" w:rsidP="00377407">
      <w:pPr>
        <w:jc w:val="both"/>
      </w:pPr>
      <w:r>
        <w:t>c</w:t>
      </w:r>
      <w:r w:rsidR="0017522D" w:rsidRPr="00CA2AB5">
        <w:t xml:space="preserve">) </w:t>
      </w:r>
      <w:r w:rsidR="00583D2D" w:rsidRPr="00CA2AB5">
        <w:t>Uvádza sa dátum</w:t>
      </w:r>
      <w:r w:rsidR="00970799" w:rsidRPr="00CA2AB5">
        <w:t xml:space="preserve"> </w:t>
      </w:r>
      <w:r w:rsidR="001245E8" w:rsidRPr="00CA2AB5">
        <w:t>zostavenia informácie o d</w:t>
      </w:r>
      <w:r>
        <w:t>ôchodkoch</w:t>
      </w:r>
      <w:r w:rsidR="001245E8" w:rsidRPr="00CA2AB5">
        <w:t>.</w:t>
      </w:r>
    </w:p>
    <w:p w:rsidR="0017522D" w:rsidRPr="00CA2AB5" w:rsidRDefault="00090B3F" w:rsidP="00377407">
      <w:pPr>
        <w:jc w:val="both"/>
      </w:pPr>
      <w:r>
        <w:t>d</w:t>
      </w:r>
      <w:r w:rsidR="0017522D" w:rsidRPr="00CA2AB5">
        <w:t>)</w:t>
      </w:r>
      <w:r w:rsidR="00DA64C9" w:rsidRPr="00CA2AB5">
        <w:t xml:space="preserve"> Uvádza sa suma zodpovedajúca aktuálnej hodnote osobného</w:t>
      </w:r>
      <w:r>
        <w:t xml:space="preserve"> dôchodkového</w:t>
      </w:r>
      <w:r w:rsidR="00DA64C9" w:rsidRPr="00CA2AB5">
        <w:t xml:space="preserve"> účtu </w:t>
      </w:r>
      <w:r>
        <w:t>sporiteľa</w:t>
      </w:r>
      <w:r w:rsidR="00970799" w:rsidRPr="00CA2AB5">
        <w:t xml:space="preserve"> k dátumu</w:t>
      </w:r>
      <w:r w:rsidR="00DA64C9" w:rsidRPr="00CA2AB5">
        <w:t xml:space="preserve"> </w:t>
      </w:r>
      <w:r w:rsidR="001245E8" w:rsidRPr="00CA2AB5">
        <w:t>zostavenia informácie o</w:t>
      </w:r>
      <w:r w:rsidR="00E54AC1">
        <w:t> </w:t>
      </w:r>
      <w:r w:rsidR="001245E8" w:rsidRPr="00CA2AB5">
        <w:t>d</w:t>
      </w:r>
      <w:r>
        <w:t>ôchodkoch</w:t>
      </w:r>
      <w:r w:rsidR="0017522D" w:rsidRPr="00CA2AB5">
        <w:t>.</w:t>
      </w:r>
    </w:p>
    <w:p w:rsidR="00EF727D" w:rsidRDefault="00EF727D" w:rsidP="00377407">
      <w:pPr>
        <w:jc w:val="both"/>
      </w:pPr>
      <w:r>
        <w:t>e</w:t>
      </w:r>
      <w:r w:rsidR="00B33EE8" w:rsidRPr="00CA2AB5">
        <w:t xml:space="preserve">) </w:t>
      </w:r>
      <w:r w:rsidR="00183151" w:rsidRPr="00CA2AB5">
        <w:t xml:space="preserve">Uvádza sa počet </w:t>
      </w:r>
      <w:r w:rsidR="00796B98">
        <w:t xml:space="preserve">rokov a </w:t>
      </w:r>
      <w:r w:rsidR="00183151" w:rsidRPr="00CA2AB5">
        <w:t xml:space="preserve">mesiacov, za ktoré </w:t>
      </w:r>
      <w:r w:rsidR="00F45D46">
        <w:t>boli zaplatené</w:t>
      </w:r>
      <w:r w:rsidR="00183151" w:rsidRPr="00CA2AB5">
        <w:t xml:space="preserve"> príspevky. </w:t>
      </w:r>
    </w:p>
    <w:p w:rsidR="00657FCB" w:rsidRDefault="00C10668" w:rsidP="00AF21B4">
      <w:pPr>
        <w:jc w:val="both"/>
      </w:pPr>
      <w:r>
        <w:t>f</w:t>
      </w:r>
      <w:r w:rsidR="00C85D52" w:rsidRPr="008F3808">
        <w:t>)</w:t>
      </w:r>
      <w:r w:rsidR="00657FCB" w:rsidRPr="008F3808">
        <w:t xml:space="preserve"> Uvádza sa </w:t>
      </w:r>
      <w:r w:rsidR="00113A31">
        <w:t xml:space="preserve">hypertextové prepojenie na bezplatný pasívny elektronický prístup k  osobnému </w:t>
      </w:r>
      <w:r>
        <w:t xml:space="preserve">dôchodkovému </w:t>
      </w:r>
      <w:r w:rsidR="00113A31">
        <w:t>účtu</w:t>
      </w:r>
      <w:r w:rsidR="00657FCB" w:rsidRPr="008F3808">
        <w:t xml:space="preserve"> </w:t>
      </w:r>
      <w:r>
        <w:t>sporiteľa</w:t>
      </w:r>
      <w:r w:rsidR="00657FCB" w:rsidRPr="008F3808">
        <w:t>.</w:t>
      </w:r>
    </w:p>
    <w:p w:rsidR="00506E3D" w:rsidRDefault="00506E3D" w:rsidP="00AF21B4">
      <w:pPr>
        <w:jc w:val="both"/>
      </w:pPr>
    </w:p>
    <w:p w:rsidR="00506E3D" w:rsidRPr="008F3808" w:rsidRDefault="00506E3D" w:rsidP="00AF21B4">
      <w:pPr>
        <w:jc w:val="both"/>
      </w:pPr>
    </w:p>
    <w:sectPr w:rsidR="00506E3D" w:rsidRPr="008F3808" w:rsidSect="00062CC0">
      <w:headerReference w:type="default" r:id="rId10"/>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F8" w:rsidRDefault="00646FF8" w:rsidP="0017522D">
      <w:r>
        <w:separator/>
      </w:r>
    </w:p>
  </w:endnote>
  <w:endnote w:type="continuationSeparator" w:id="0">
    <w:p w:rsidR="00646FF8" w:rsidRDefault="00646FF8" w:rsidP="0017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206793"/>
      <w:docPartObj>
        <w:docPartGallery w:val="Page Numbers (Bottom of Page)"/>
        <w:docPartUnique/>
      </w:docPartObj>
    </w:sdtPr>
    <w:sdtEndPr/>
    <w:sdtContent>
      <w:p w:rsidR="000C2335" w:rsidRDefault="000C2335">
        <w:pPr>
          <w:pStyle w:val="Pta"/>
          <w:jc w:val="center"/>
        </w:pPr>
        <w:r>
          <w:fldChar w:fldCharType="begin"/>
        </w:r>
        <w:r>
          <w:instrText>PAGE   \* MERGEFORMAT</w:instrText>
        </w:r>
        <w:r>
          <w:fldChar w:fldCharType="separate"/>
        </w:r>
        <w:r w:rsidR="004E7619">
          <w:rPr>
            <w:noProof/>
          </w:rPr>
          <w:t>6</w:t>
        </w:r>
        <w:r>
          <w:fldChar w:fldCharType="end"/>
        </w:r>
      </w:p>
    </w:sdtContent>
  </w:sdt>
  <w:p w:rsidR="000C2335" w:rsidRDefault="000C233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311801"/>
      <w:docPartObj>
        <w:docPartGallery w:val="Page Numbers (Bottom of Page)"/>
        <w:docPartUnique/>
      </w:docPartObj>
    </w:sdtPr>
    <w:sdtEndPr/>
    <w:sdtContent>
      <w:p w:rsidR="000C2335" w:rsidRDefault="000C2335">
        <w:pPr>
          <w:pStyle w:val="Pta"/>
          <w:jc w:val="center"/>
        </w:pPr>
        <w:r>
          <w:fldChar w:fldCharType="begin"/>
        </w:r>
        <w:r>
          <w:instrText>PAGE   \* MERGEFORMAT</w:instrText>
        </w:r>
        <w:r>
          <w:fldChar w:fldCharType="separate"/>
        </w:r>
        <w:r w:rsidR="00646FF8">
          <w:rPr>
            <w:noProof/>
          </w:rPr>
          <w:t>1</w:t>
        </w:r>
        <w:r>
          <w:fldChar w:fldCharType="end"/>
        </w:r>
      </w:p>
    </w:sdtContent>
  </w:sdt>
  <w:p w:rsidR="000C2335" w:rsidRDefault="000C233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F8" w:rsidRDefault="00646FF8" w:rsidP="0017522D">
      <w:r>
        <w:separator/>
      </w:r>
    </w:p>
  </w:footnote>
  <w:footnote w:type="continuationSeparator" w:id="0">
    <w:p w:rsidR="00646FF8" w:rsidRDefault="00646FF8" w:rsidP="0017522D">
      <w:r>
        <w:continuationSeparator/>
      </w:r>
    </w:p>
  </w:footnote>
  <w:footnote w:id="1">
    <w:p w:rsidR="00C10668" w:rsidRPr="00055449" w:rsidRDefault="00C10668" w:rsidP="005D3FFA">
      <w:pPr>
        <w:pStyle w:val="Textpoznmkypodiarou"/>
        <w:ind w:left="284" w:hanging="284"/>
        <w:rPr>
          <w:rFonts w:ascii="Times New Roman" w:hAnsi="Times New Roman" w:cs="Times New Roman"/>
          <w:sz w:val="24"/>
          <w:szCs w:val="24"/>
        </w:rPr>
      </w:pPr>
      <w:r w:rsidRPr="00055449">
        <w:rPr>
          <w:rStyle w:val="Odkaznapoznmkupodiarou"/>
          <w:rFonts w:ascii="Times New Roman" w:hAnsi="Times New Roman" w:cs="Times New Roman"/>
          <w:sz w:val="24"/>
          <w:szCs w:val="24"/>
        </w:rPr>
        <w:footnoteRef/>
      </w:r>
      <w:r>
        <w:rPr>
          <w:rFonts w:ascii="Times New Roman" w:hAnsi="Times New Roman" w:cs="Times New Roman"/>
          <w:sz w:val="24"/>
          <w:szCs w:val="24"/>
        </w:rPr>
        <w:t>)</w:t>
      </w:r>
      <w:r w:rsidRPr="00055449">
        <w:rPr>
          <w:rFonts w:ascii="Times New Roman" w:hAnsi="Times New Roman" w:cs="Times New Roman"/>
          <w:sz w:val="24"/>
          <w:szCs w:val="24"/>
        </w:rPr>
        <w:t xml:space="preserve"> § 65a ods. 2 písm. b) zákona č. 461/2003 Z. z. o sociálnom poistení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668" w:rsidRDefault="00C10668" w:rsidP="00C10668">
    <w:pPr>
      <w:pStyle w:val="Hlavik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FE1"/>
    <w:multiLevelType w:val="hybridMultilevel"/>
    <w:tmpl w:val="F050B3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026E56"/>
    <w:multiLevelType w:val="hybridMultilevel"/>
    <w:tmpl w:val="31EED408"/>
    <w:lvl w:ilvl="0" w:tplc="24DC612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7222D4"/>
    <w:multiLevelType w:val="multilevel"/>
    <w:tmpl w:val="4B94FE30"/>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3C72DB"/>
    <w:multiLevelType w:val="hybridMultilevel"/>
    <w:tmpl w:val="AC44527C"/>
    <w:lvl w:ilvl="0" w:tplc="F4B66BC8">
      <w:start w:val="1"/>
      <w:numFmt w:val="decimal"/>
      <w:lvlText w:val="%1."/>
      <w:lvlJc w:val="left"/>
      <w:pPr>
        <w:ind w:left="1080" w:hanging="360"/>
      </w:pPr>
      <w:rPr>
        <w:rFonts w:ascii="Times New Roman" w:hAnsi="Times New Roman" w:cs="Times New Roman" w:hint="default"/>
        <w:b w:val="0"/>
        <w:i w:val="0"/>
        <w:color w:val="auto"/>
        <w:sz w:val="24"/>
        <w:szCs w:val="24"/>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nsid w:val="1885580C"/>
    <w:multiLevelType w:val="hybridMultilevel"/>
    <w:tmpl w:val="2FB0C196"/>
    <w:lvl w:ilvl="0" w:tplc="24DC612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6BF2BF1"/>
    <w:multiLevelType w:val="hybridMultilevel"/>
    <w:tmpl w:val="F5D22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32A7219"/>
    <w:multiLevelType w:val="hybridMultilevel"/>
    <w:tmpl w:val="8E4A5110"/>
    <w:lvl w:ilvl="0" w:tplc="4808BABC">
      <w:start w:val="1"/>
      <w:numFmt w:val="bullet"/>
      <w:lvlText w:val=""/>
      <w:lvlJc w:val="left"/>
      <w:pPr>
        <w:ind w:left="767" w:hanging="360"/>
      </w:pPr>
      <w:rPr>
        <w:rFonts w:ascii="Symbol" w:hAnsi="Symbol" w:hint="default"/>
        <w:sz w:val="18"/>
        <w:szCs w:val="18"/>
      </w:rPr>
    </w:lvl>
    <w:lvl w:ilvl="1" w:tplc="041B0003" w:tentative="1">
      <w:start w:val="1"/>
      <w:numFmt w:val="bullet"/>
      <w:lvlText w:val="o"/>
      <w:lvlJc w:val="left"/>
      <w:pPr>
        <w:ind w:left="1487" w:hanging="360"/>
      </w:pPr>
      <w:rPr>
        <w:rFonts w:ascii="Courier New" w:hAnsi="Courier New" w:cs="Courier New" w:hint="default"/>
      </w:rPr>
    </w:lvl>
    <w:lvl w:ilvl="2" w:tplc="041B0005" w:tentative="1">
      <w:start w:val="1"/>
      <w:numFmt w:val="bullet"/>
      <w:lvlText w:val=""/>
      <w:lvlJc w:val="left"/>
      <w:pPr>
        <w:ind w:left="2207" w:hanging="360"/>
      </w:pPr>
      <w:rPr>
        <w:rFonts w:ascii="Wingdings" w:hAnsi="Wingdings" w:hint="default"/>
      </w:rPr>
    </w:lvl>
    <w:lvl w:ilvl="3" w:tplc="041B0001" w:tentative="1">
      <w:start w:val="1"/>
      <w:numFmt w:val="bullet"/>
      <w:lvlText w:val=""/>
      <w:lvlJc w:val="left"/>
      <w:pPr>
        <w:ind w:left="2927" w:hanging="360"/>
      </w:pPr>
      <w:rPr>
        <w:rFonts w:ascii="Symbol" w:hAnsi="Symbol" w:hint="default"/>
      </w:rPr>
    </w:lvl>
    <w:lvl w:ilvl="4" w:tplc="041B0003" w:tentative="1">
      <w:start w:val="1"/>
      <w:numFmt w:val="bullet"/>
      <w:lvlText w:val="o"/>
      <w:lvlJc w:val="left"/>
      <w:pPr>
        <w:ind w:left="3647" w:hanging="360"/>
      </w:pPr>
      <w:rPr>
        <w:rFonts w:ascii="Courier New" w:hAnsi="Courier New" w:cs="Courier New" w:hint="default"/>
      </w:rPr>
    </w:lvl>
    <w:lvl w:ilvl="5" w:tplc="041B0005" w:tentative="1">
      <w:start w:val="1"/>
      <w:numFmt w:val="bullet"/>
      <w:lvlText w:val=""/>
      <w:lvlJc w:val="left"/>
      <w:pPr>
        <w:ind w:left="4367" w:hanging="360"/>
      </w:pPr>
      <w:rPr>
        <w:rFonts w:ascii="Wingdings" w:hAnsi="Wingdings" w:hint="default"/>
      </w:rPr>
    </w:lvl>
    <w:lvl w:ilvl="6" w:tplc="041B0001" w:tentative="1">
      <w:start w:val="1"/>
      <w:numFmt w:val="bullet"/>
      <w:lvlText w:val=""/>
      <w:lvlJc w:val="left"/>
      <w:pPr>
        <w:ind w:left="5087" w:hanging="360"/>
      </w:pPr>
      <w:rPr>
        <w:rFonts w:ascii="Symbol" w:hAnsi="Symbol" w:hint="default"/>
      </w:rPr>
    </w:lvl>
    <w:lvl w:ilvl="7" w:tplc="041B0003" w:tentative="1">
      <w:start w:val="1"/>
      <w:numFmt w:val="bullet"/>
      <w:lvlText w:val="o"/>
      <w:lvlJc w:val="left"/>
      <w:pPr>
        <w:ind w:left="5807" w:hanging="360"/>
      </w:pPr>
      <w:rPr>
        <w:rFonts w:ascii="Courier New" w:hAnsi="Courier New" w:cs="Courier New" w:hint="default"/>
      </w:rPr>
    </w:lvl>
    <w:lvl w:ilvl="8" w:tplc="041B0005" w:tentative="1">
      <w:start w:val="1"/>
      <w:numFmt w:val="bullet"/>
      <w:lvlText w:val=""/>
      <w:lvlJc w:val="left"/>
      <w:pPr>
        <w:ind w:left="6527" w:hanging="360"/>
      </w:pPr>
      <w:rPr>
        <w:rFonts w:ascii="Wingdings" w:hAnsi="Wingdings" w:hint="default"/>
      </w:rPr>
    </w:lvl>
  </w:abstractNum>
  <w:abstractNum w:abstractNumId="7">
    <w:nsid w:val="47E7333A"/>
    <w:multiLevelType w:val="hybridMultilevel"/>
    <w:tmpl w:val="04CC640E"/>
    <w:lvl w:ilvl="0" w:tplc="24DC612E">
      <w:start w:val="1"/>
      <w:numFmt w:val="bullet"/>
      <w:lvlText w:val="-"/>
      <w:lvlJc w:val="left"/>
      <w:pPr>
        <w:ind w:left="776" w:hanging="360"/>
      </w:pPr>
      <w:rPr>
        <w:rFonts w:ascii="Times New Roman" w:hAnsi="Times New Roman" w:cs="Times New Roman" w:hint="default"/>
      </w:rPr>
    </w:lvl>
    <w:lvl w:ilvl="1" w:tplc="041B0003" w:tentative="1">
      <w:start w:val="1"/>
      <w:numFmt w:val="bullet"/>
      <w:lvlText w:val="o"/>
      <w:lvlJc w:val="left"/>
      <w:pPr>
        <w:ind w:left="1496" w:hanging="360"/>
      </w:pPr>
      <w:rPr>
        <w:rFonts w:ascii="Courier New" w:hAnsi="Courier New" w:cs="Courier New" w:hint="default"/>
      </w:rPr>
    </w:lvl>
    <w:lvl w:ilvl="2" w:tplc="041B0005" w:tentative="1">
      <w:start w:val="1"/>
      <w:numFmt w:val="bullet"/>
      <w:lvlText w:val=""/>
      <w:lvlJc w:val="left"/>
      <w:pPr>
        <w:ind w:left="2216" w:hanging="360"/>
      </w:pPr>
      <w:rPr>
        <w:rFonts w:ascii="Wingdings" w:hAnsi="Wingdings" w:hint="default"/>
      </w:rPr>
    </w:lvl>
    <w:lvl w:ilvl="3" w:tplc="041B0001" w:tentative="1">
      <w:start w:val="1"/>
      <w:numFmt w:val="bullet"/>
      <w:lvlText w:val=""/>
      <w:lvlJc w:val="left"/>
      <w:pPr>
        <w:ind w:left="2936" w:hanging="360"/>
      </w:pPr>
      <w:rPr>
        <w:rFonts w:ascii="Symbol" w:hAnsi="Symbol" w:hint="default"/>
      </w:rPr>
    </w:lvl>
    <w:lvl w:ilvl="4" w:tplc="041B0003" w:tentative="1">
      <w:start w:val="1"/>
      <w:numFmt w:val="bullet"/>
      <w:lvlText w:val="o"/>
      <w:lvlJc w:val="left"/>
      <w:pPr>
        <w:ind w:left="3656" w:hanging="360"/>
      </w:pPr>
      <w:rPr>
        <w:rFonts w:ascii="Courier New" w:hAnsi="Courier New" w:cs="Courier New" w:hint="default"/>
      </w:rPr>
    </w:lvl>
    <w:lvl w:ilvl="5" w:tplc="041B0005" w:tentative="1">
      <w:start w:val="1"/>
      <w:numFmt w:val="bullet"/>
      <w:lvlText w:val=""/>
      <w:lvlJc w:val="left"/>
      <w:pPr>
        <w:ind w:left="4376" w:hanging="360"/>
      </w:pPr>
      <w:rPr>
        <w:rFonts w:ascii="Wingdings" w:hAnsi="Wingdings" w:hint="default"/>
      </w:rPr>
    </w:lvl>
    <w:lvl w:ilvl="6" w:tplc="041B0001" w:tentative="1">
      <w:start w:val="1"/>
      <w:numFmt w:val="bullet"/>
      <w:lvlText w:val=""/>
      <w:lvlJc w:val="left"/>
      <w:pPr>
        <w:ind w:left="5096" w:hanging="360"/>
      </w:pPr>
      <w:rPr>
        <w:rFonts w:ascii="Symbol" w:hAnsi="Symbol" w:hint="default"/>
      </w:rPr>
    </w:lvl>
    <w:lvl w:ilvl="7" w:tplc="041B0003" w:tentative="1">
      <w:start w:val="1"/>
      <w:numFmt w:val="bullet"/>
      <w:lvlText w:val="o"/>
      <w:lvlJc w:val="left"/>
      <w:pPr>
        <w:ind w:left="5816" w:hanging="360"/>
      </w:pPr>
      <w:rPr>
        <w:rFonts w:ascii="Courier New" w:hAnsi="Courier New" w:cs="Courier New" w:hint="default"/>
      </w:rPr>
    </w:lvl>
    <w:lvl w:ilvl="8" w:tplc="041B0005" w:tentative="1">
      <w:start w:val="1"/>
      <w:numFmt w:val="bullet"/>
      <w:lvlText w:val=""/>
      <w:lvlJc w:val="left"/>
      <w:pPr>
        <w:ind w:left="6536" w:hanging="360"/>
      </w:pPr>
      <w:rPr>
        <w:rFonts w:ascii="Wingdings" w:hAnsi="Wingdings" w:hint="default"/>
      </w:rPr>
    </w:lvl>
  </w:abstractNum>
  <w:abstractNum w:abstractNumId="8">
    <w:nsid w:val="4E623C69"/>
    <w:multiLevelType w:val="hybridMultilevel"/>
    <w:tmpl w:val="B716496A"/>
    <w:lvl w:ilvl="0" w:tplc="24DC612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F0878E8"/>
    <w:multiLevelType w:val="hybridMultilevel"/>
    <w:tmpl w:val="819804C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nsid w:val="63044FDB"/>
    <w:multiLevelType w:val="hybridMultilevel"/>
    <w:tmpl w:val="75384E20"/>
    <w:lvl w:ilvl="0" w:tplc="24DC612E">
      <w:start w:val="1"/>
      <w:numFmt w:val="bullet"/>
      <w:lvlText w:val="-"/>
      <w:lvlJc w:val="left"/>
      <w:pPr>
        <w:ind w:left="851" w:hanging="360"/>
      </w:pPr>
      <w:rPr>
        <w:rFonts w:ascii="Times New Roman" w:hAnsi="Times New Roman" w:cs="Times New Roman" w:hint="default"/>
      </w:rPr>
    </w:lvl>
    <w:lvl w:ilvl="1" w:tplc="041B0003" w:tentative="1">
      <w:start w:val="1"/>
      <w:numFmt w:val="bullet"/>
      <w:lvlText w:val="o"/>
      <w:lvlJc w:val="left"/>
      <w:pPr>
        <w:ind w:left="1571" w:hanging="360"/>
      </w:pPr>
      <w:rPr>
        <w:rFonts w:ascii="Courier New" w:hAnsi="Courier New" w:cs="Courier New" w:hint="default"/>
      </w:rPr>
    </w:lvl>
    <w:lvl w:ilvl="2" w:tplc="041B0005" w:tentative="1">
      <w:start w:val="1"/>
      <w:numFmt w:val="bullet"/>
      <w:lvlText w:val=""/>
      <w:lvlJc w:val="left"/>
      <w:pPr>
        <w:ind w:left="2291" w:hanging="360"/>
      </w:pPr>
      <w:rPr>
        <w:rFonts w:ascii="Wingdings" w:hAnsi="Wingdings" w:hint="default"/>
      </w:rPr>
    </w:lvl>
    <w:lvl w:ilvl="3" w:tplc="041B0001" w:tentative="1">
      <w:start w:val="1"/>
      <w:numFmt w:val="bullet"/>
      <w:lvlText w:val=""/>
      <w:lvlJc w:val="left"/>
      <w:pPr>
        <w:ind w:left="3011" w:hanging="360"/>
      </w:pPr>
      <w:rPr>
        <w:rFonts w:ascii="Symbol" w:hAnsi="Symbol" w:hint="default"/>
      </w:rPr>
    </w:lvl>
    <w:lvl w:ilvl="4" w:tplc="041B0003" w:tentative="1">
      <w:start w:val="1"/>
      <w:numFmt w:val="bullet"/>
      <w:lvlText w:val="o"/>
      <w:lvlJc w:val="left"/>
      <w:pPr>
        <w:ind w:left="3731" w:hanging="360"/>
      </w:pPr>
      <w:rPr>
        <w:rFonts w:ascii="Courier New" w:hAnsi="Courier New" w:cs="Courier New" w:hint="default"/>
      </w:rPr>
    </w:lvl>
    <w:lvl w:ilvl="5" w:tplc="041B0005" w:tentative="1">
      <w:start w:val="1"/>
      <w:numFmt w:val="bullet"/>
      <w:lvlText w:val=""/>
      <w:lvlJc w:val="left"/>
      <w:pPr>
        <w:ind w:left="4451" w:hanging="360"/>
      </w:pPr>
      <w:rPr>
        <w:rFonts w:ascii="Wingdings" w:hAnsi="Wingdings" w:hint="default"/>
      </w:rPr>
    </w:lvl>
    <w:lvl w:ilvl="6" w:tplc="041B0001" w:tentative="1">
      <w:start w:val="1"/>
      <w:numFmt w:val="bullet"/>
      <w:lvlText w:val=""/>
      <w:lvlJc w:val="left"/>
      <w:pPr>
        <w:ind w:left="5171" w:hanging="360"/>
      </w:pPr>
      <w:rPr>
        <w:rFonts w:ascii="Symbol" w:hAnsi="Symbol" w:hint="default"/>
      </w:rPr>
    </w:lvl>
    <w:lvl w:ilvl="7" w:tplc="041B0003" w:tentative="1">
      <w:start w:val="1"/>
      <w:numFmt w:val="bullet"/>
      <w:lvlText w:val="o"/>
      <w:lvlJc w:val="left"/>
      <w:pPr>
        <w:ind w:left="5891" w:hanging="360"/>
      </w:pPr>
      <w:rPr>
        <w:rFonts w:ascii="Courier New" w:hAnsi="Courier New" w:cs="Courier New" w:hint="default"/>
      </w:rPr>
    </w:lvl>
    <w:lvl w:ilvl="8" w:tplc="041B0005" w:tentative="1">
      <w:start w:val="1"/>
      <w:numFmt w:val="bullet"/>
      <w:lvlText w:val=""/>
      <w:lvlJc w:val="left"/>
      <w:pPr>
        <w:ind w:left="6611" w:hanging="360"/>
      </w:pPr>
      <w:rPr>
        <w:rFonts w:ascii="Wingdings" w:hAnsi="Wingdings" w:hint="default"/>
      </w:rPr>
    </w:lvl>
  </w:abstractNum>
  <w:abstractNum w:abstractNumId="11">
    <w:nsid w:val="6C3C07DD"/>
    <w:multiLevelType w:val="hybridMultilevel"/>
    <w:tmpl w:val="92926F2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2574D33"/>
    <w:multiLevelType w:val="hybridMultilevel"/>
    <w:tmpl w:val="AC44527C"/>
    <w:lvl w:ilvl="0" w:tplc="F4B66BC8">
      <w:start w:val="1"/>
      <w:numFmt w:val="decimal"/>
      <w:lvlText w:val="%1."/>
      <w:lvlJc w:val="left"/>
      <w:pPr>
        <w:ind w:left="1080" w:hanging="360"/>
      </w:pPr>
      <w:rPr>
        <w:rFonts w:ascii="Times New Roman" w:hAnsi="Times New Roman" w:cs="Times New Roman" w:hint="default"/>
        <w:b w:val="0"/>
        <w:i w:val="0"/>
        <w:color w:val="auto"/>
        <w:sz w:val="24"/>
        <w:szCs w:val="24"/>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12"/>
  </w:num>
  <w:num w:numId="2">
    <w:abstractNumId w:val="6"/>
  </w:num>
  <w:num w:numId="3">
    <w:abstractNumId w:val="3"/>
  </w:num>
  <w:num w:numId="4">
    <w:abstractNumId w:val="5"/>
  </w:num>
  <w:num w:numId="5">
    <w:abstractNumId w:val="0"/>
  </w:num>
  <w:num w:numId="6">
    <w:abstractNumId w:val="8"/>
  </w:num>
  <w:num w:numId="7">
    <w:abstractNumId w:val="2"/>
  </w:num>
  <w:num w:numId="8">
    <w:abstractNumId w:val="4"/>
  </w:num>
  <w:num w:numId="9">
    <w:abstractNumId w:val="1"/>
  </w:num>
  <w:num w:numId="10">
    <w:abstractNumId w:val="11"/>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DA"/>
    <w:rsid w:val="0000588C"/>
    <w:rsid w:val="0000643F"/>
    <w:rsid w:val="000077AE"/>
    <w:rsid w:val="00013947"/>
    <w:rsid w:val="00013D78"/>
    <w:rsid w:val="0002678C"/>
    <w:rsid w:val="0004502B"/>
    <w:rsid w:val="00055449"/>
    <w:rsid w:val="00062CC0"/>
    <w:rsid w:val="00063FCD"/>
    <w:rsid w:val="0007780E"/>
    <w:rsid w:val="00080AC7"/>
    <w:rsid w:val="00081736"/>
    <w:rsid w:val="00085227"/>
    <w:rsid w:val="00090B3F"/>
    <w:rsid w:val="000B1BAA"/>
    <w:rsid w:val="000B6E8B"/>
    <w:rsid w:val="000C2335"/>
    <w:rsid w:val="000D2C5F"/>
    <w:rsid w:val="000D3633"/>
    <w:rsid w:val="000D7300"/>
    <w:rsid w:val="00103890"/>
    <w:rsid w:val="0010754C"/>
    <w:rsid w:val="00113A31"/>
    <w:rsid w:val="001245E8"/>
    <w:rsid w:val="00136402"/>
    <w:rsid w:val="00144640"/>
    <w:rsid w:val="00165388"/>
    <w:rsid w:val="0017522D"/>
    <w:rsid w:val="00183151"/>
    <w:rsid w:val="00185BB7"/>
    <w:rsid w:val="00192555"/>
    <w:rsid w:val="0019558A"/>
    <w:rsid w:val="001A4010"/>
    <w:rsid w:val="001A5AF5"/>
    <w:rsid w:val="001A7F41"/>
    <w:rsid w:val="001E6345"/>
    <w:rsid w:val="001F36B9"/>
    <w:rsid w:val="001F4B61"/>
    <w:rsid w:val="001F4F0A"/>
    <w:rsid w:val="001F675B"/>
    <w:rsid w:val="001F68B2"/>
    <w:rsid w:val="002029A9"/>
    <w:rsid w:val="00214FB5"/>
    <w:rsid w:val="00217FA7"/>
    <w:rsid w:val="00226F9C"/>
    <w:rsid w:val="00250F8E"/>
    <w:rsid w:val="00260343"/>
    <w:rsid w:val="00262A4C"/>
    <w:rsid w:val="00262F64"/>
    <w:rsid w:val="002646E5"/>
    <w:rsid w:val="002745A9"/>
    <w:rsid w:val="002770B6"/>
    <w:rsid w:val="00282AC8"/>
    <w:rsid w:val="002A0243"/>
    <w:rsid w:val="002A44E9"/>
    <w:rsid w:val="002C2A24"/>
    <w:rsid w:val="002E0D14"/>
    <w:rsid w:val="002F1CB1"/>
    <w:rsid w:val="002F4FEE"/>
    <w:rsid w:val="002F58A7"/>
    <w:rsid w:val="003003AF"/>
    <w:rsid w:val="0030753C"/>
    <w:rsid w:val="00314383"/>
    <w:rsid w:val="00352C2C"/>
    <w:rsid w:val="0036369B"/>
    <w:rsid w:val="003707C9"/>
    <w:rsid w:val="00371842"/>
    <w:rsid w:val="003736E2"/>
    <w:rsid w:val="00377407"/>
    <w:rsid w:val="0037764E"/>
    <w:rsid w:val="003832E4"/>
    <w:rsid w:val="003A198F"/>
    <w:rsid w:val="003A2B70"/>
    <w:rsid w:val="003C0592"/>
    <w:rsid w:val="003D4451"/>
    <w:rsid w:val="003D5DAD"/>
    <w:rsid w:val="004055DB"/>
    <w:rsid w:val="00410856"/>
    <w:rsid w:val="00410EE7"/>
    <w:rsid w:val="00416A52"/>
    <w:rsid w:val="0043251F"/>
    <w:rsid w:val="004454DD"/>
    <w:rsid w:val="004521DA"/>
    <w:rsid w:val="004559CD"/>
    <w:rsid w:val="0045758D"/>
    <w:rsid w:val="00460F6A"/>
    <w:rsid w:val="0046447C"/>
    <w:rsid w:val="00476326"/>
    <w:rsid w:val="004812B3"/>
    <w:rsid w:val="0048230D"/>
    <w:rsid w:val="00482C14"/>
    <w:rsid w:val="00491316"/>
    <w:rsid w:val="00496501"/>
    <w:rsid w:val="004A0CE1"/>
    <w:rsid w:val="004A42CF"/>
    <w:rsid w:val="004B2C44"/>
    <w:rsid w:val="004C2BE5"/>
    <w:rsid w:val="004C7E89"/>
    <w:rsid w:val="004D39EB"/>
    <w:rsid w:val="004E0E4A"/>
    <w:rsid w:val="004E21E6"/>
    <w:rsid w:val="004E35ED"/>
    <w:rsid w:val="004E7619"/>
    <w:rsid w:val="004F584F"/>
    <w:rsid w:val="00506E3D"/>
    <w:rsid w:val="005072BC"/>
    <w:rsid w:val="00515664"/>
    <w:rsid w:val="005164CD"/>
    <w:rsid w:val="005279E6"/>
    <w:rsid w:val="00530CA1"/>
    <w:rsid w:val="00536519"/>
    <w:rsid w:val="00544369"/>
    <w:rsid w:val="00555798"/>
    <w:rsid w:val="0057224D"/>
    <w:rsid w:val="0057323A"/>
    <w:rsid w:val="00577AA4"/>
    <w:rsid w:val="00577B02"/>
    <w:rsid w:val="00583D2D"/>
    <w:rsid w:val="005904C9"/>
    <w:rsid w:val="005973D4"/>
    <w:rsid w:val="005A7A31"/>
    <w:rsid w:val="005B7D15"/>
    <w:rsid w:val="005D3005"/>
    <w:rsid w:val="005D3FFA"/>
    <w:rsid w:val="005D7988"/>
    <w:rsid w:val="005F6963"/>
    <w:rsid w:val="006045B2"/>
    <w:rsid w:val="0061757E"/>
    <w:rsid w:val="0064231B"/>
    <w:rsid w:val="00646D35"/>
    <w:rsid w:val="00646FF8"/>
    <w:rsid w:val="00650B65"/>
    <w:rsid w:val="00654E10"/>
    <w:rsid w:val="00657FCB"/>
    <w:rsid w:val="00665BFA"/>
    <w:rsid w:val="00683FD8"/>
    <w:rsid w:val="00696A71"/>
    <w:rsid w:val="006A15AB"/>
    <w:rsid w:val="006A2DF8"/>
    <w:rsid w:val="006C27EE"/>
    <w:rsid w:val="006C3DB2"/>
    <w:rsid w:val="006D3FBA"/>
    <w:rsid w:val="006D4939"/>
    <w:rsid w:val="006F05EA"/>
    <w:rsid w:val="0072357C"/>
    <w:rsid w:val="007430AE"/>
    <w:rsid w:val="00744A83"/>
    <w:rsid w:val="007540D9"/>
    <w:rsid w:val="00762C6D"/>
    <w:rsid w:val="00783D97"/>
    <w:rsid w:val="0079248C"/>
    <w:rsid w:val="00794D7B"/>
    <w:rsid w:val="00796B98"/>
    <w:rsid w:val="007A0F30"/>
    <w:rsid w:val="007A2047"/>
    <w:rsid w:val="007B28F4"/>
    <w:rsid w:val="007B6B2E"/>
    <w:rsid w:val="007C6667"/>
    <w:rsid w:val="007D3CBB"/>
    <w:rsid w:val="007D44A5"/>
    <w:rsid w:val="007E0867"/>
    <w:rsid w:val="007E1404"/>
    <w:rsid w:val="007E491F"/>
    <w:rsid w:val="007E61DE"/>
    <w:rsid w:val="007F5F0B"/>
    <w:rsid w:val="0080148F"/>
    <w:rsid w:val="00805B26"/>
    <w:rsid w:val="00805E95"/>
    <w:rsid w:val="0080696C"/>
    <w:rsid w:val="008172A6"/>
    <w:rsid w:val="0082128A"/>
    <w:rsid w:val="00832084"/>
    <w:rsid w:val="008335F5"/>
    <w:rsid w:val="00834EE8"/>
    <w:rsid w:val="0084450E"/>
    <w:rsid w:val="00850C94"/>
    <w:rsid w:val="008515C5"/>
    <w:rsid w:val="00864BA9"/>
    <w:rsid w:val="00867A51"/>
    <w:rsid w:val="00867DCE"/>
    <w:rsid w:val="008729B8"/>
    <w:rsid w:val="00872FCD"/>
    <w:rsid w:val="00877F71"/>
    <w:rsid w:val="00891594"/>
    <w:rsid w:val="00893234"/>
    <w:rsid w:val="00894CC1"/>
    <w:rsid w:val="008D3ED9"/>
    <w:rsid w:val="008D4865"/>
    <w:rsid w:val="008E32CC"/>
    <w:rsid w:val="008F2125"/>
    <w:rsid w:val="008F3808"/>
    <w:rsid w:val="00901166"/>
    <w:rsid w:val="009076A3"/>
    <w:rsid w:val="00913F22"/>
    <w:rsid w:val="0092225F"/>
    <w:rsid w:val="0092700D"/>
    <w:rsid w:val="0093701C"/>
    <w:rsid w:val="00937AAB"/>
    <w:rsid w:val="00956902"/>
    <w:rsid w:val="00961AA5"/>
    <w:rsid w:val="00966771"/>
    <w:rsid w:val="00970799"/>
    <w:rsid w:val="00983A00"/>
    <w:rsid w:val="009A29AE"/>
    <w:rsid w:val="009A574F"/>
    <w:rsid w:val="009C4528"/>
    <w:rsid w:val="009C4A56"/>
    <w:rsid w:val="009D4A64"/>
    <w:rsid w:val="009E4896"/>
    <w:rsid w:val="009E74B3"/>
    <w:rsid w:val="009F2C20"/>
    <w:rsid w:val="009F6637"/>
    <w:rsid w:val="00A0216E"/>
    <w:rsid w:val="00A03427"/>
    <w:rsid w:val="00A10328"/>
    <w:rsid w:val="00A11BD5"/>
    <w:rsid w:val="00A1710D"/>
    <w:rsid w:val="00A20CA1"/>
    <w:rsid w:val="00A30C11"/>
    <w:rsid w:val="00A32A71"/>
    <w:rsid w:val="00A41F8E"/>
    <w:rsid w:val="00A507F0"/>
    <w:rsid w:val="00A52C64"/>
    <w:rsid w:val="00A54A7F"/>
    <w:rsid w:val="00A56F92"/>
    <w:rsid w:val="00A7045B"/>
    <w:rsid w:val="00A86E74"/>
    <w:rsid w:val="00A87ADA"/>
    <w:rsid w:val="00A9161A"/>
    <w:rsid w:val="00A96C24"/>
    <w:rsid w:val="00AA034C"/>
    <w:rsid w:val="00AA5D03"/>
    <w:rsid w:val="00AB3C3A"/>
    <w:rsid w:val="00AB79E4"/>
    <w:rsid w:val="00AD1887"/>
    <w:rsid w:val="00AD6E73"/>
    <w:rsid w:val="00AF0CDB"/>
    <w:rsid w:val="00AF21B4"/>
    <w:rsid w:val="00AF6AF0"/>
    <w:rsid w:val="00AF7099"/>
    <w:rsid w:val="00B13354"/>
    <w:rsid w:val="00B25E56"/>
    <w:rsid w:val="00B27F99"/>
    <w:rsid w:val="00B3210A"/>
    <w:rsid w:val="00B322B0"/>
    <w:rsid w:val="00B33EE8"/>
    <w:rsid w:val="00B4327F"/>
    <w:rsid w:val="00B46F16"/>
    <w:rsid w:val="00B54023"/>
    <w:rsid w:val="00B54AE3"/>
    <w:rsid w:val="00B5739B"/>
    <w:rsid w:val="00B77F88"/>
    <w:rsid w:val="00B86EFC"/>
    <w:rsid w:val="00B95276"/>
    <w:rsid w:val="00B954EC"/>
    <w:rsid w:val="00BA0373"/>
    <w:rsid w:val="00BA747C"/>
    <w:rsid w:val="00BB37F0"/>
    <w:rsid w:val="00BC272C"/>
    <w:rsid w:val="00BC680C"/>
    <w:rsid w:val="00BD6C72"/>
    <w:rsid w:val="00BE4022"/>
    <w:rsid w:val="00BE7805"/>
    <w:rsid w:val="00BF261B"/>
    <w:rsid w:val="00C10668"/>
    <w:rsid w:val="00C1145A"/>
    <w:rsid w:val="00C1167A"/>
    <w:rsid w:val="00C12C1D"/>
    <w:rsid w:val="00C205F9"/>
    <w:rsid w:val="00C256CC"/>
    <w:rsid w:val="00C3583A"/>
    <w:rsid w:val="00C373CA"/>
    <w:rsid w:val="00C52AB3"/>
    <w:rsid w:val="00C76A70"/>
    <w:rsid w:val="00C844E4"/>
    <w:rsid w:val="00C85D52"/>
    <w:rsid w:val="00CA18FA"/>
    <w:rsid w:val="00CA2AB5"/>
    <w:rsid w:val="00CB117D"/>
    <w:rsid w:val="00CB41ED"/>
    <w:rsid w:val="00CB59B7"/>
    <w:rsid w:val="00CB75D4"/>
    <w:rsid w:val="00CC46A0"/>
    <w:rsid w:val="00CD1A65"/>
    <w:rsid w:val="00CD6C9A"/>
    <w:rsid w:val="00CD7E6E"/>
    <w:rsid w:val="00CE0D63"/>
    <w:rsid w:val="00CE3E89"/>
    <w:rsid w:val="00CF0297"/>
    <w:rsid w:val="00CF1CEB"/>
    <w:rsid w:val="00CF2C68"/>
    <w:rsid w:val="00CF6AB6"/>
    <w:rsid w:val="00CF7DC8"/>
    <w:rsid w:val="00D02B17"/>
    <w:rsid w:val="00D0324B"/>
    <w:rsid w:val="00D14611"/>
    <w:rsid w:val="00D14930"/>
    <w:rsid w:val="00D17B43"/>
    <w:rsid w:val="00D17DF2"/>
    <w:rsid w:val="00D21E6E"/>
    <w:rsid w:val="00D2755B"/>
    <w:rsid w:val="00D41D48"/>
    <w:rsid w:val="00D44D33"/>
    <w:rsid w:val="00D80E3B"/>
    <w:rsid w:val="00D8330F"/>
    <w:rsid w:val="00D83731"/>
    <w:rsid w:val="00D866CF"/>
    <w:rsid w:val="00D86AEE"/>
    <w:rsid w:val="00D93AC1"/>
    <w:rsid w:val="00D94BB0"/>
    <w:rsid w:val="00DA0906"/>
    <w:rsid w:val="00DA64A4"/>
    <w:rsid w:val="00DA64C9"/>
    <w:rsid w:val="00DB5DAC"/>
    <w:rsid w:val="00DC5D9D"/>
    <w:rsid w:val="00DD132A"/>
    <w:rsid w:val="00DE57A3"/>
    <w:rsid w:val="00DF5C2B"/>
    <w:rsid w:val="00E1172B"/>
    <w:rsid w:val="00E22726"/>
    <w:rsid w:val="00E24B9E"/>
    <w:rsid w:val="00E262FE"/>
    <w:rsid w:val="00E31FFC"/>
    <w:rsid w:val="00E466B3"/>
    <w:rsid w:val="00E4731B"/>
    <w:rsid w:val="00E51B35"/>
    <w:rsid w:val="00E54AC1"/>
    <w:rsid w:val="00E578CA"/>
    <w:rsid w:val="00E61B30"/>
    <w:rsid w:val="00E64C89"/>
    <w:rsid w:val="00E65B48"/>
    <w:rsid w:val="00E70ABD"/>
    <w:rsid w:val="00E71BA2"/>
    <w:rsid w:val="00E73D4C"/>
    <w:rsid w:val="00E779AB"/>
    <w:rsid w:val="00EB1227"/>
    <w:rsid w:val="00EB7478"/>
    <w:rsid w:val="00EC02B4"/>
    <w:rsid w:val="00EC1589"/>
    <w:rsid w:val="00EC2E24"/>
    <w:rsid w:val="00EC3F4E"/>
    <w:rsid w:val="00EF3973"/>
    <w:rsid w:val="00EF727D"/>
    <w:rsid w:val="00EF746A"/>
    <w:rsid w:val="00EF74DB"/>
    <w:rsid w:val="00F00CE9"/>
    <w:rsid w:val="00F0783B"/>
    <w:rsid w:val="00F1254F"/>
    <w:rsid w:val="00F25F8D"/>
    <w:rsid w:val="00F26DFD"/>
    <w:rsid w:val="00F31BA4"/>
    <w:rsid w:val="00F36A4B"/>
    <w:rsid w:val="00F45D46"/>
    <w:rsid w:val="00F50227"/>
    <w:rsid w:val="00F535E2"/>
    <w:rsid w:val="00F65489"/>
    <w:rsid w:val="00F770DC"/>
    <w:rsid w:val="00F832E0"/>
    <w:rsid w:val="00F913E4"/>
    <w:rsid w:val="00FA2BED"/>
    <w:rsid w:val="00FB3DB2"/>
    <w:rsid w:val="00FC6AC8"/>
    <w:rsid w:val="00FD0872"/>
    <w:rsid w:val="00FE02BD"/>
    <w:rsid w:val="00FE7F26"/>
    <w:rsid w:val="00FF58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ADA"/>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540D9"/>
    <w:pPr>
      <w:keepNext/>
      <w:spacing w:before="240" w:after="60"/>
      <w:outlineLvl w:val="0"/>
    </w:pPr>
    <w:rPr>
      <w:rFonts w:ascii="Arial" w:hAnsi="Arial" w:cs="Arial"/>
      <w:b/>
      <w:bCs/>
      <w:kern w:val="32"/>
      <w:sz w:val="32"/>
      <w:szCs w:val="32"/>
    </w:rPr>
  </w:style>
  <w:style w:type="paragraph" w:styleId="Nadpis2">
    <w:name w:val="heading 2"/>
    <w:basedOn w:val="Normlny"/>
    <w:link w:val="Nadpis2Char"/>
    <w:uiPriority w:val="9"/>
    <w:unhideWhenUsed/>
    <w:qFormat/>
    <w:rsid w:val="007540D9"/>
    <w:pPr>
      <w:spacing w:before="100" w:beforeAutospacing="1" w:after="100" w:afterAutospacing="1"/>
      <w:outlineLvl w:val="1"/>
    </w:pPr>
    <w:rPr>
      <w:b/>
      <w:bCs/>
      <w:color w:val="005496"/>
      <w:sz w:val="21"/>
      <w:szCs w:val="21"/>
    </w:rPr>
  </w:style>
  <w:style w:type="paragraph" w:styleId="Nadpis3">
    <w:name w:val="heading 3"/>
    <w:basedOn w:val="Normlny"/>
    <w:link w:val="Nadpis3Char"/>
    <w:uiPriority w:val="9"/>
    <w:unhideWhenUsed/>
    <w:qFormat/>
    <w:rsid w:val="007540D9"/>
    <w:pPr>
      <w:spacing w:before="100" w:beforeAutospacing="1" w:after="100" w:afterAutospacing="1"/>
      <w:outlineLvl w:val="2"/>
    </w:pPr>
    <w:rPr>
      <w:b/>
      <w:bCs/>
      <w:sz w:val="27"/>
      <w:szCs w:val="27"/>
    </w:rPr>
  </w:style>
  <w:style w:type="paragraph" w:styleId="Nadpis4">
    <w:name w:val="heading 4"/>
    <w:basedOn w:val="Normlny"/>
    <w:link w:val="Nadpis4Char"/>
    <w:uiPriority w:val="9"/>
    <w:semiHidden/>
    <w:unhideWhenUsed/>
    <w:qFormat/>
    <w:rsid w:val="007540D9"/>
    <w:pPr>
      <w:spacing w:before="100" w:beforeAutospacing="1" w:after="100" w:afterAutospacing="1"/>
      <w:outlineLvl w:val="3"/>
    </w:pPr>
    <w:rPr>
      <w:b/>
      <w:bCs/>
    </w:rPr>
  </w:style>
  <w:style w:type="paragraph" w:styleId="Nadpis5">
    <w:name w:val="heading 5"/>
    <w:basedOn w:val="Normlny"/>
    <w:link w:val="Nadpis5Char"/>
    <w:uiPriority w:val="9"/>
    <w:semiHidden/>
    <w:unhideWhenUsed/>
    <w:qFormat/>
    <w:rsid w:val="007540D9"/>
    <w:pPr>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cimalAligned">
    <w:name w:val="Decimal Aligned"/>
    <w:basedOn w:val="Normlny"/>
    <w:uiPriority w:val="40"/>
    <w:qFormat/>
    <w:rsid w:val="007540D9"/>
    <w:pPr>
      <w:tabs>
        <w:tab w:val="decimal" w:pos="360"/>
      </w:tabs>
      <w:spacing w:after="200" w:line="276" w:lineRule="auto"/>
    </w:pPr>
  </w:style>
  <w:style w:type="character" w:customStyle="1" w:styleId="Nadpis1Char">
    <w:name w:val="Nadpis 1 Char"/>
    <w:basedOn w:val="Predvolenpsmoodseku"/>
    <w:link w:val="Nadpis1"/>
    <w:uiPriority w:val="9"/>
    <w:rsid w:val="007540D9"/>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7540D9"/>
    <w:rPr>
      <w:rFonts w:ascii="Times New Roman" w:eastAsia="Times New Roman" w:hAnsi="Times New Roman" w:cs="Times New Roman"/>
      <w:b/>
      <w:bCs/>
      <w:color w:val="005496"/>
      <w:sz w:val="21"/>
      <w:szCs w:val="21"/>
      <w:lang w:eastAsia="sk-SK"/>
    </w:rPr>
  </w:style>
  <w:style w:type="character" w:customStyle="1" w:styleId="Nadpis3Char">
    <w:name w:val="Nadpis 3 Char"/>
    <w:basedOn w:val="Predvolenpsmoodseku"/>
    <w:link w:val="Nadpis3"/>
    <w:uiPriority w:val="9"/>
    <w:rsid w:val="007540D9"/>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semiHidden/>
    <w:rsid w:val="007540D9"/>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540D9"/>
    <w:rPr>
      <w:rFonts w:ascii="Times New Roman" w:eastAsia="Times New Roman" w:hAnsi="Times New Roman" w:cs="Times New Roman"/>
      <w:b/>
      <w:bCs/>
      <w:sz w:val="20"/>
      <w:szCs w:val="20"/>
      <w:lang w:eastAsia="sk-SK"/>
    </w:rPr>
  </w:style>
  <w:style w:type="paragraph" w:styleId="Popis">
    <w:name w:val="caption"/>
    <w:basedOn w:val="Normlny"/>
    <w:next w:val="Normlny"/>
    <w:uiPriority w:val="35"/>
    <w:unhideWhenUsed/>
    <w:qFormat/>
    <w:rsid w:val="007540D9"/>
    <w:pPr>
      <w:spacing w:after="200"/>
    </w:pPr>
    <w:rPr>
      <w:b/>
      <w:bCs/>
      <w:color w:val="4F81BD" w:themeColor="accent1"/>
      <w:sz w:val="18"/>
      <w:szCs w:val="18"/>
    </w:rPr>
  </w:style>
  <w:style w:type="paragraph" w:styleId="Nzov">
    <w:name w:val="Title"/>
    <w:basedOn w:val="Normlny"/>
    <w:next w:val="Normlny"/>
    <w:link w:val="NzovChar"/>
    <w:uiPriority w:val="10"/>
    <w:qFormat/>
    <w:rsid w:val="00754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7540D9"/>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7540D9"/>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7540D9"/>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7540D9"/>
    <w:rPr>
      <w:b/>
      <w:bCs/>
    </w:rPr>
  </w:style>
  <w:style w:type="paragraph" w:styleId="Odsekzoznamu">
    <w:name w:val="List Paragraph"/>
    <w:aliases w:val="body,Odsek zoznamu2,Odsek,Odsek zoznamu1"/>
    <w:basedOn w:val="Normlny"/>
    <w:link w:val="OdsekzoznamuChar"/>
    <w:uiPriority w:val="34"/>
    <w:qFormat/>
    <w:rsid w:val="007540D9"/>
    <w:pPr>
      <w:spacing w:after="200" w:line="276" w:lineRule="auto"/>
      <w:ind w:left="720"/>
      <w:contextualSpacing/>
    </w:pPr>
  </w:style>
  <w:style w:type="paragraph" w:styleId="Citcia">
    <w:name w:val="Quote"/>
    <w:basedOn w:val="Normlny"/>
    <w:next w:val="Normlny"/>
    <w:link w:val="CitciaChar"/>
    <w:uiPriority w:val="29"/>
    <w:qFormat/>
    <w:rsid w:val="007540D9"/>
    <w:rPr>
      <w:i/>
      <w:iCs/>
      <w:color w:val="000000" w:themeColor="text1"/>
    </w:rPr>
  </w:style>
  <w:style w:type="character" w:customStyle="1" w:styleId="CitciaChar">
    <w:name w:val="Citácia Char"/>
    <w:basedOn w:val="Predvolenpsmoodseku"/>
    <w:link w:val="Citcia"/>
    <w:uiPriority w:val="29"/>
    <w:rsid w:val="007540D9"/>
    <w:rPr>
      <w:i/>
      <w:iCs/>
      <w:color w:val="000000" w:themeColor="text1"/>
    </w:rPr>
  </w:style>
  <w:style w:type="paragraph" w:styleId="Zvraznencitcia">
    <w:name w:val="Intense Quote"/>
    <w:basedOn w:val="Normlny"/>
    <w:next w:val="Normlny"/>
    <w:link w:val="ZvraznencitciaChar"/>
    <w:uiPriority w:val="30"/>
    <w:qFormat/>
    <w:rsid w:val="007540D9"/>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7540D9"/>
    <w:rPr>
      <w:b/>
      <w:bCs/>
      <w:i/>
      <w:iCs/>
      <w:color w:val="4F81BD" w:themeColor="accent1"/>
    </w:rPr>
  </w:style>
  <w:style w:type="character" w:styleId="Jemnzvraznenie">
    <w:name w:val="Subtle Emphasis"/>
    <w:basedOn w:val="Predvolenpsmoodseku"/>
    <w:uiPriority w:val="19"/>
    <w:qFormat/>
    <w:rsid w:val="007540D9"/>
    <w:rPr>
      <w:i/>
      <w:iCs/>
      <w:color w:val="7F7F7F" w:themeColor="text1" w:themeTint="80"/>
    </w:rPr>
  </w:style>
  <w:style w:type="character" w:customStyle="1" w:styleId="OdsekzoznamuChar">
    <w:name w:val="Odsek zoznamu Char"/>
    <w:aliases w:val="body Char,Odsek zoznamu2 Char,Odsek Char,Odsek zoznamu1 Char"/>
    <w:basedOn w:val="Predvolenpsmoodseku"/>
    <w:link w:val="Odsekzoznamu"/>
    <w:uiPriority w:val="34"/>
    <w:rsid w:val="00A87ADA"/>
  </w:style>
  <w:style w:type="table" w:styleId="Mriekatabuky">
    <w:name w:val="Table Grid"/>
    <w:basedOn w:val="Normlnatabuka"/>
    <w:uiPriority w:val="59"/>
    <w:rsid w:val="0017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binding">
    <w:name w:val="ng-binding"/>
    <w:basedOn w:val="Normlny"/>
    <w:rsid w:val="0017522D"/>
    <w:pPr>
      <w:spacing w:after="150"/>
    </w:pPr>
  </w:style>
  <w:style w:type="paragraph" w:styleId="Textpoznmkypodiarou">
    <w:name w:val="footnote text"/>
    <w:basedOn w:val="Normlny"/>
    <w:link w:val="TextpoznmkypodiarouChar"/>
    <w:uiPriority w:val="99"/>
    <w:semiHidden/>
    <w:unhideWhenUsed/>
    <w:rsid w:val="0017522D"/>
    <w:pPr>
      <w:jc w:val="both"/>
    </w:pPr>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17522D"/>
    <w:rPr>
      <w:sz w:val="20"/>
      <w:szCs w:val="20"/>
    </w:rPr>
  </w:style>
  <w:style w:type="character" w:styleId="Odkaznapoznmkupodiarou">
    <w:name w:val="footnote reference"/>
    <w:basedOn w:val="Predvolenpsmoodseku"/>
    <w:uiPriority w:val="99"/>
    <w:semiHidden/>
    <w:unhideWhenUsed/>
    <w:rsid w:val="0017522D"/>
    <w:rPr>
      <w:vertAlign w:val="superscript"/>
    </w:rPr>
  </w:style>
  <w:style w:type="paragraph" w:styleId="Hlavika">
    <w:name w:val="header"/>
    <w:basedOn w:val="Normlny"/>
    <w:link w:val="HlavikaChar"/>
    <w:uiPriority w:val="99"/>
    <w:unhideWhenUsed/>
    <w:rsid w:val="0017522D"/>
    <w:pPr>
      <w:tabs>
        <w:tab w:val="center" w:pos="4536"/>
        <w:tab w:val="right" w:pos="9072"/>
      </w:tabs>
    </w:pPr>
  </w:style>
  <w:style w:type="character" w:customStyle="1" w:styleId="HlavikaChar">
    <w:name w:val="Hlavička Char"/>
    <w:basedOn w:val="Predvolenpsmoodseku"/>
    <w:link w:val="Hlavika"/>
    <w:uiPriority w:val="99"/>
    <w:rsid w:val="0017522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7522D"/>
    <w:pPr>
      <w:tabs>
        <w:tab w:val="center" w:pos="4536"/>
        <w:tab w:val="right" w:pos="9072"/>
      </w:tabs>
    </w:pPr>
  </w:style>
  <w:style w:type="character" w:customStyle="1" w:styleId="PtaChar">
    <w:name w:val="Päta Char"/>
    <w:basedOn w:val="Predvolenpsmoodseku"/>
    <w:link w:val="Pta"/>
    <w:uiPriority w:val="99"/>
    <w:rsid w:val="0017522D"/>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335F5"/>
    <w:rPr>
      <w:sz w:val="16"/>
      <w:szCs w:val="16"/>
    </w:rPr>
  </w:style>
  <w:style w:type="paragraph" w:styleId="Textkomentra">
    <w:name w:val="annotation text"/>
    <w:basedOn w:val="Normlny"/>
    <w:link w:val="TextkomentraChar"/>
    <w:uiPriority w:val="99"/>
    <w:semiHidden/>
    <w:unhideWhenUsed/>
    <w:rsid w:val="008335F5"/>
    <w:rPr>
      <w:sz w:val="20"/>
      <w:szCs w:val="20"/>
    </w:rPr>
  </w:style>
  <w:style w:type="character" w:customStyle="1" w:styleId="TextkomentraChar">
    <w:name w:val="Text komentára Char"/>
    <w:basedOn w:val="Predvolenpsmoodseku"/>
    <w:link w:val="Textkomentra"/>
    <w:uiPriority w:val="99"/>
    <w:semiHidden/>
    <w:rsid w:val="008335F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335F5"/>
    <w:rPr>
      <w:b/>
      <w:bCs/>
    </w:rPr>
  </w:style>
  <w:style w:type="character" w:customStyle="1" w:styleId="PredmetkomentraChar">
    <w:name w:val="Predmet komentára Char"/>
    <w:basedOn w:val="TextkomentraChar"/>
    <w:link w:val="Predmetkomentra"/>
    <w:uiPriority w:val="99"/>
    <w:semiHidden/>
    <w:rsid w:val="008335F5"/>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8335F5"/>
    <w:rPr>
      <w:rFonts w:ascii="Tahoma" w:hAnsi="Tahoma" w:cs="Tahoma"/>
      <w:sz w:val="16"/>
      <w:szCs w:val="16"/>
    </w:rPr>
  </w:style>
  <w:style w:type="character" w:customStyle="1" w:styleId="TextbublinyChar">
    <w:name w:val="Text bubliny Char"/>
    <w:basedOn w:val="Predvolenpsmoodseku"/>
    <w:link w:val="Textbubliny"/>
    <w:uiPriority w:val="99"/>
    <w:semiHidden/>
    <w:rsid w:val="008335F5"/>
    <w:rPr>
      <w:rFonts w:ascii="Tahoma" w:eastAsia="Times New Roman" w:hAnsi="Tahoma" w:cs="Tahoma"/>
      <w:sz w:val="16"/>
      <w:szCs w:val="16"/>
      <w:lang w:eastAsia="sk-SK"/>
    </w:rPr>
  </w:style>
  <w:style w:type="paragraph" w:styleId="Revzia">
    <w:name w:val="Revision"/>
    <w:hidden/>
    <w:uiPriority w:val="99"/>
    <w:semiHidden/>
    <w:rsid w:val="009F2C20"/>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0077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ADA"/>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540D9"/>
    <w:pPr>
      <w:keepNext/>
      <w:spacing w:before="240" w:after="60"/>
      <w:outlineLvl w:val="0"/>
    </w:pPr>
    <w:rPr>
      <w:rFonts w:ascii="Arial" w:hAnsi="Arial" w:cs="Arial"/>
      <w:b/>
      <w:bCs/>
      <w:kern w:val="32"/>
      <w:sz w:val="32"/>
      <w:szCs w:val="32"/>
    </w:rPr>
  </w:style>
  <w:style w:type="paragraph" w:styleId="Nadpis2">
    <w:name w:val="heading 2"/>
    <w:basedOn w:val="Normlny"/>
    <w:link w:val="Nadpis2Char"/>
    <w:uiPriority w:val="9"/>
    <w:unhideWhenUsed/>
    <w:qFormat/>
    <w:rsid w:val="007540D9"/>
    <w:pPr>
      <w:spacing w:before="100" w:beforeAutospacing="1" w:after="100" w:afterAutospacing="1"/>
      <w:outlineLvl w:val="1"/>
    </w:pPr>
    <w:rPr>
      <w:b/>
      <w:bCs/>
      <w:color w:val="005496"/>
      <w:sz w:val="21"/>
      <w:szCs w:val="21"/>
    </w:rPr>
  </w:style>
  <w:style w:type="paragraph" w:styleId="Nadpis3">
    <w:name w:val="heading 3"/>
    <w:basedOn w:val="Normlny"/>
    <w:link w:val="Nadpis3Char"/>
    <w:uiPriority w:val="9"/>
    <w:unhideWhenUsed/>
    <w:qFormat/>
    <w:rsid w:val="007540D9"/>
    <w:pPr>
      <w:spacing w:before="100" w:beforeAutospacing="1" w:after="100" w:afterAutospacing="1"/>
      <w:outlineLvl w:val="2"/>
    </w:pPr>
    <w:rPr>
      <w:b/>
      <w:bCs/>
      <w:sz w:val="27"/>
      <w:szCs w:val="27"/>
    </w:rPr>
  </w:style>
  <w:style w:type="paragraph" w:styleId="Nadpis4">
    <w:name w:val="heading 4"/>
    <w:basedOn w:val="Normlny"/>
    <w:link w:val="Nadpis4Char"/>
    <w:uiPriority w:val="9"/>
    <w:semiHidden/>
    <w:unhideWhenUsed/>
    <w:qFormat/>
    <w:rsid w:val="007540D9"/>
    <w:pPr>
      <w:spacing w:before="100" w:beforeAutospacing="1" w:after="100" w:afterAutospacing="1"/>
      <w:outlineLvl w:val="3"/>
    </w:pPr>
    <w:rPr>
      <w:b/>
      <w:bCs/>
    </w:rPr>
  </w:style>
  <w:style w:type="paragraph" w:styleId="Nadpis5">
    <w:name w:val="heading 5"/>
    <w:basedOn w:val="Normlny"/>
    <w:link w:val="Nadpis5Char"/>
    <w:uiPriority w:val="9"/>
    <w:semiHidden/>
    <w:unhideWhenUsed/>
    <w:qFormat/>
    <w:rsid w:val="007540D9"/>
    <w:pPr>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cimalAligned">
    <w:name w:val="Decimal Aligned"/>
    <w:basedOn w:val="Normlny"/>
    <w:uiPriority w:val="40"/>
    <w:qFormat/>
    <w:rsid w:val="007540D9"/>
    <w:pPr>
      <w:tabs>
        <w:tab w:val="decimal" w:pos="360"/>
      </w:tabs>
      <w:spacing w:after="200" w:line="276" w:lineRule="auto"/>
    </w:pPr>
  </w:style>
  <w:style w:type="character" w:customStyle="1" w:styleId="Nadpis1Char">
    <w:name w:val="Nadpis 1 Char"/>
    <w:basedOn w:val="Predvolenpsmoodseku"/>
    <w:link w:val="Nadpis1"/>
    <w:uiPriority w:val="9"/>
    <w:rsid w:val="007540D9"/>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7540D9"/>
    <w:rPr>
      <w:rFonts w:ascii="Times New Roman" w:eastAsia="Times New Roman" w:hAnsi="Times New Roman" w:cs="Times New Roman"/>
      <w:b/>
      <w:bCs/>
      <w:color w:val="005496"/>
      <w:sz w:val="21"/>
      <w:szCs w:val="21"/>
      <w:lang w:eastAsia="sk-SK"/>
    </w:rPr>
  </w:style>
  <w:style w:type="character" w:customStyle="1" w:styleId="Nadpis3Char">
    <w:name w:val="Nadpis 3 Char"/>
    <w:basedOn w:val="Predvolenpsmoodseku"/>
    <w:link w:val="Nadpis3"/>
    <w:uiPriority w:val="9"/>
    <w:rsid w:val="007540D9"/>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semiHidden/>
    <w:rsid w:val="007540D9"/>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540D9"/>
    <w:rPr>
      <w:rFonts w:ascii="Times New Roman" w:eastAsia="Times New Roman" w:hAnsi="Times New Roman" w:cs="Times New Roman"/>
      <w:b/>
      <w:bCs/>
      <w:sz w:val="20"/>
      <w:szCs w:val="20"/>
      <w:lang w:eastAsia="sk-SK"/>
    </w:rPr>
  </w:style>
  <w:style w:type="paragraph" w:styleId="Popis">
    <w:name w:val="caption"/>
    <w:basedOn w:val="Normlny"/>
    <w:next w:val="Normlny"/>
    <w:uiPriority w:val="35"/>
    <w:unhideWhenUsed/>
    <w:qFormat/>
    <w:rsid w:val="007540D9"/>
    <w:pPr>
      <w:spacing w:after="200"/>
    </w:pPr>
    <w:rPr>
      <w:b/>
      <w:bCs/>
      <w:color w:val="4F81BD" w:themeColor="accent1"/>
      <w:sz w:val="18"/>
      <w:szCs w:val="18"/>
    </w:rPr>
  </w:style>
  <w:style w:type="paragraph" w:styleId="Nzov">
    <w:name w:val="Title"/>
    <w:basedOn w:val="Normlny"/>
    <w:next w:val="Normlny"/>
    <w:link w:val="NzovChar"/>
    <w:uiPriority w:val="10"/>
    <w:qFormat/>
    <w:rsid w:val="00754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7540D9"/>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7540D9"/>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7540D9"/>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7540D9"/>
    <w:rPr>
      <w:b/>
      <w:bCs/>
    </w:rPr>
  </w:style>
  <w:style w:type="paragraph" w:styleId="Odsekzoznamu">
    <w:name w:val="List Paragraph"/>
    <w:aliases w:val="body,Odsek zoznamu2,Odsek,Odsek zoznamu1"/>
    <w:basedOn w:val="Normlny"/>
    <w:link w:val="OdsekzoznamuChar"/>
    <w:uiPriority w:val="34"/>
    <w:qFormat/>
    <w:rsid w:val="007540D9"/>
    <w:pPr>
      <w:spacing w:after="200" w:line="276" w:lineRule="auto"/>
      <w:ind w:left="720"/>
      <w:contextualSpacing/>
    </w:pPr>
  </w:style>
  <w:style w:type="paragraph" w:styleId="Citcia">
    <w:name w:val="Quote"/>
    <w:basedOn w:val="Normlny"/>
    <w:next w:val="Normlny"/>
    <w:link w:val="CitciaChar"/>
    <w:uiPriority w:val="29"/>
    <w:qFormat/>
    <w:rsid w:val="007540D9"/>
    <w:rPr>
      <w:i/>
      <w:iCs/>
      <w:color w:val="000000" w:themeColor="text1"/>
    </w:rPr>
  </w:style>
  <w:style w:type="character" w:customStyle="1" w:styleId="CitciaChar">
    <w:name w:val="Citácia Char"/>
    <w:basedOn w:val="Predvolenpsmoodseku"/>
    <w:link w:val="Citcia"/>
    <w:uiPriority w:val="29"/>
    <w:rsid w:val="007540D9"/>
    <w:rPr>
      <w:i/>
      <w:iCs/>
      <w:color w:val="000000" w:themeColor="text1"/>
    </w:rPr>
  </w:style>
  <w:style w:type="paragraph" w:styleId="Zvraznencitcia">
    <w:name w:val="Intense Quote"/>
    <w:basedOn w:val="Normlny"/>
    <w:next w:val="Normlny"/>
    <w:link w:val="ZvraznencitciaChar"/>
    <w:uiPriority w:val="30"/>
    <w:qFormat/>
    <w:rsid w:val="007540D9"/>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7540D9"/>
    <w:rPr>
      <w:b/>
      <w:bCs/>
      <w:i/>
      <w:iCs/>
      <w:color w:val="4F81BD" w:themeColor="accent1"/>
    </w:rPr>
  </w:style>
  <w:style w:type="character" w:styleId="Jemnzvraznenie">
    <w:name w:val="Subtle Emphasis"/>
    <w:basedOn w:val="Predvolenpsmoodseku"/>
    <w:uiPriority w:val="19"/>
    <w:qFormat/>
    <w:rsid w:val="007540D9"/>
    <w:rPr>
      <w:i/>
      <w:iCs/>
      <w:color w:val="7F7F7F" w:themeColor="text1" w:themeTint="80"/>
    </w:rPr>
  </w:style>
  <w:style w:type="character" w:customStyle="1" w:styleId="OdsekzoznamuChar">
    <w:name w:val="Odsek zoznamu Char"/>
    <w:aliases w:val="body Char,Odsek zoznamu2 Char,Odsek Char,Odsek zoznamu1 Char"/>
    <w:basedOn w:val="Predvolenpsmoodseku"/>
    <w:link w:val="Odsekzoznamu"/>
    <w:uiPriority w:val="34"/>
    <w:rsid w:val="00A87ADA"/>
  </w:style>
  <w:style w:type="table" w:styleId="Mriekatabuky">
    <w:name w:val="Table Grid"/>
    <w:basedOn w:val="Normlnatabuka"/>
    <w:uiPriority w:val="59"/>
    <w:rsid w:val="0017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binding">
    <w:name w:val="ng-binding"/>
    <w:basedOn w:val="Normlny"/>
    <w:rsid w:val="0017522D"/>
    <w:pPr>
      <w:spacing w:after="150"/>
    </w:pPr>
  </w:style>
  <w:style w:type="paragraph" w:styleId="Textpoznmkypodiarou">
    <w:name w:val="footnote text"/>
    <w:basedOn w:val="Normlny"/>
    <w:link w:val="TextpoznmkypodiarouChar"/>
    <w:uiPriority w:val="99"/>
    <w:semiHidden/>
    <w:unhideWhenUsed/>
    <w:rsid w:val="0017522D"/>
    <w:pPr>
      <w:jc w:val="both"/>
    </w:pPr>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17522D"/>
    <w:rPr>
      <w:sz w:val="20"/>
      <w:szCs w:val="20"/>
    </w:rPr>
  </w:style>
  <w:style w:type="character" w:styleId="Odkaznapoznmkupodiarou">
    <w:name w:val="footnote reference"/>
    <w:basedOn w:val="Predvolenpsmoodseku"/>
    <w:uiPriority w:val="99"/>
    <w:semiHidden/>
    <w:unhideWhenUsed/>
    <w:rsid w:val="0017522D"/>
    <w:rPr>
      <w:vertAlign w:val="superscript"/>
    </w:rPr>
  </w:style>
  <w:style w:type="paragraph" w:styleId="Hlavika">
    <w:name w:val="header"/>
    <w:basedOn w:val="Normlny"/>
    <w:link w:val="HlavikaChar"/>
    <w:uiPriority w:val="99"/>
    <w:unhideWhenUsed/>
    <w:rsid w:val="0017522D"/>
    <w:pPr>
      <w:tabs>
        <w:tab w:val="center" w:pos="4536"/>
        <w:tab w:val="right" w:pos="9072"/>
      </w:tabs>
    </w:pPr>
  </w:style>
  <w:style w:type="character" w:customStyle="1" w:styleId="HlavikaChar">
    <w:name w:val="Hlavička Char"/>
    <w:basedOn w:val="Predvolenpsmoodseku"/>
    <w:link w:val="Hlavika"/>
    <w:uiPriority w:val="99"/>
    <w:rsid w:val="0017522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7522D"/>
    <w:pPr>
      <w:tabs>
        <w:tab w:val="center" w:pos="4536"/>
        <w:tab w:val="right" w:pos="9072"/>
      </w:tabs>
    </w:pPr>
  </w:style>
  <w:style w:type="character" w:customStyle="1" w:styleId="PtaChar">
    <w:name w:val="Päta Char"/>
    <w:basedOn w:val="Predvolenpsmoodseku"/>
    <w:link w:val="Pta"/>
    <w:uiPriority w:val="99"/>
    <w:rsid w:val="0017522D"/>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335F5"/>
    <w:rPr>
      <w:sz w:val="16"/>
      <w:szCs w:val="16"/>
    </w:rPr>
  </w:style>
  <w:style w:type="paragraph" w:styleId="Textkomentra">
    <w:name w:val="annotation text"/>
    <w:basedOn w:val="Normlny"/>
    <w:link w:val="TextkomentraChar"/>
    <w:uiPriority w:val="99"/>
    <w:semiHidden/>
    <w:unhideWhenUsed/>
    <w:rsid w:val="008335F5"/>
    <w:rPr>
      <w:sz w:val="20"/>
      <w:szCs w:val="20"/>
    </w:rPr>
  </w:style>
  <w:style w:type="character" w:customStyle="1" w:styleId="TextkomentraChar">
    <w:name w:val="Text komentára Char"/>
    <w:basedOn w:val="Predvolenpsmoodseku"/>
    <w:link w:val="Textkomentra"/>
    <w:uiPriority w:val="99"/>
    <w:semiHidden/>
    <w:rsid w:val="008335F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335F5"/>
    <w:rPr>
      <w:b/>
      <w:bCs/>
    </w:rPr>
  </w:style>
  <w:style w:type="character" w:customStyle="1" w:styleId="PredmetkomentraChar">
    <w:name w:val="Predmet komentára Char"/>
    <w:basedOn w:val="TextkomentraChar"/>
    <w:link w:val="Predmetkomentra"/>
    <w:uiPriority w:val="99"/>
    <w:semiHidden/>
    <w:rsid w:val="008335F5"/>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8335F5"/>
    <w:rPr>
      <w:rFonts w:ascii="Tahoma" w:hAnsi="Tahoma" w:cs="Tahoma"/>
      <w:sz w:val="16"/>
      <w:szCs w:val="16"/>
    </w:rPr>
  </w:style>
  <w:style w:type="character" w:customStyle="1" w:styleId="TextbublinyChar">
    <w:name w:val="Text bubliny Char"/>
    <w:basedOn w:val="Predvolenpsmoodseku"/>
    <w:link w:val="Textbubliny"/>
    <w:uiPriority w:val="99"/>
    <w:semiHidden/>
    <w:rsid w:val="008335F5"/>
    <w:rPr>
      <w:rFonts w:ascii="Tahoma" w:eastAsia="Times New Roman" w:hAnsi="Tahoma" w:cs="Tahoma"/>
      <w:sz w:val="16"/>
      <w:szCs w:val="16"/>
      <w:lang w:eastAsia="sk-SK"/>
    </w:rPr>
  </w:style>
  <w:style w:type="paragraph" w:styleId="Revzia">
    <w:name w:val="Revision"/>
    <w:hidden/>
    <w:uiPriority w:val="99"/>
    <w:semiHidden/>
    <w:rsid w:val="009F2C20"/>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007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90186">
      <w:bodyDiv w:val="1"/>
      <w:marLeft w:val="0"/>
      <w:marRight w:val="0"/>
      <w:marTop w:val="0"/>
      <w:marBottom w:val="0"/>
      <w:divBdr>
        <w:top w:val="none" w:sz="0" w:space="0" w:color="auto"/>
        <w:left w:val="none" w:sz="0" w:space="0" w:color="auto"/>
        <w:bottom w:val="none" w:sz="0" w:space="0" w:color="auto"/>
        <w:right w:val="none" w:sz="0" w:space="0" w:color="auto"/>
      </w:divBdr>
    </w:div>
    <w:div w:id="1245606840">
      <w:bodyDiv w:val="1"/>
      <w:marLeft w:val="0"/>
      <w:marRight w:val="0"/>
      <w:marTop w:val="0"/>
      <w:marBottom w:val="0"/>
      <w:divBdr>
        <w:top w:val="none" w:sz="0" w:space="0" w:color="auto"/>
        <w:left w:val="none" w:sz="0" w:space="0" w:color="auto"/>
        <w:bottom w:val="none" w:sz="0" w:space="0" w:color="auto"/>
        <w:right w:val="none" w:sz="0" w:space="0" w:color="auto"/>
      </w:divBdr>
      <w:divsChild>
        <w:div w:id="1637175592">
          <w:marLeft w:val="0"/>
          <w:marRight w:val="0"/>
          <w:marTop w:val="0"/>
          <w:marBottom w:val="240"/>
          <w:divBdr>
            <w:top w:val="none" w:sz="0" w:space="0" w:color="auto"/>
            <w:left w:val="none" w:sz="0" w:space="0" w:color="auto"/>
            <w:bottom w:val="none" w:sz="0" w:space="0" w:color="auto"/>
            <w:right w:val="none" w:sz="0" w:space="0" w:color="auto"/>
          </w:divBdr>
        </w:div>
        <w:div w:id="312298181">
          <w:marLeft w:val="0"/>
          <w:marRight w:val="0"/>
          <w:marTop w:val="100"/>
          <w:marBottom w:val="100"/>
          <w:divBdr>
            <w:top w:val="none" w:sz="0" w:space="0" w:color="auto"/>
            <w:left w:val="none" w:sz="0" w:space="0" w:color="auto"/>
            <w:bottom w:val="none" w:sz="0" w:space="0" w:color="auto"/>
            <w:right w:val="none" w:sz="0" w:space="0" w:color="auto"/>
          </w:divBdr>
        </w:div>
        <w:div w:id="2057385219">
          <w:marLeft w:val="0"/>
          <w:marRight w:val="0"/>
          <w:marTop w:val="0"/>
          <w:marBottom w:val="300"/>
          <w:divBdr>
            <w:top w:val="none" w:sz="0" w:space="0" w:color="auto"/>
            <w:left w:val="none" w:sz="0" w:space="0" w:color="auto"/>
            <w:bottom w:val="single" w:sz="6" w:space="8" w:color="EFEFEF"/>
            <w:right w:val="none" w:sz="0" w:space="0" w:color="auto"/>
          </w:divBdr>
        </w:div>
      </w:divsChild>
    </w:div>
    <w:div w:id="1359430755">
      <w:bodyDiv w:val="1"/>
      <w:marLeft w:val="0"/>
      <w:marRight w:val="0"/>
      <w:marTop w:val="0"/>
      <w:marBottom w:val="0"/>
      <w:divBdr>
        <w:top w:val="none" w:sz="0" w:space="0" w:color="auto"/>
        <w:left w:val="none" w:sz="0" w:space="0" w:color="auto"/>
        <w:bottom w:val="none" w:sz="0" w:space="0" w:color="auto"/>
        <w:right w:val="none" w:sz="0" w:space="0" w:color="auto"/>
      </w:divBdr>
    </w:div>
    <w:div w:id="176595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
    <f:field ref="objsubject" par="" edit="true" text=""/>
    <f:field ref="objcreatedby" par="" text="Simanová, Katarína"/>
    <f:field ref="objcreatedat" par="" text="3.7.2018 11:49:44"/>
    <f:field ref="objchangedby" par="" text="Administrator, System"/>
    <f:field ref="objmodifiedat" par="" text="3.7.2018 11:49: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6C0F81D-C95D-4A93-9B49-EE9E88E5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1290</Words>
  <Characters>7359</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Slavka Fujdová</dc:creator>
  <cp:lastModifiedBy>Duricova Elena</cp:lastModifiedBy>
  <cp:revision>2</cp:revision>
  <cp:lastPrinted>2019-04-16T12:56:00Z</cp:lastPrinted>
  <dcterms:created xsi:type="dcterms:W3CDTF">2019-04-24T09:18:00Z</dcterms:created>
  <dcterms:modified xsi:type="dcterms:W3CDTF">2019-04-24T09:18:00Z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align="center"&gt;&amp;nbsp;&lt;/p&gt;&lt;p&gt;Verejnosť bola o&amp;nbsp;príprave návrhu opatrenia Ministerstva práce, sociálnych vecí a rodiny Slovenskej republiky o&amp;nbsp;informácii o&amp;nbsp;dávkach z&amp;nbsp;doplnkového dôchodkového sporenia informovaná prostredníctvom predbežn</vt:lpwstr>
  </property>
  <property fmtid="{D5CDD505-2E9C-101B-9397-08002B2CF9AE}" pid="3" name="FSC#SKEDITIONSLOVLEX@103.510:typpredpis">
    <vt:lpwstr>Opatrenie</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Dôchodkové zabezpečenie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Katarína Simanová</vt:lpwstr>
  </property>
  <property fmtid="{D5CDD505-2E9C-101B-9397-08002B2CF9AE}" pid="12" name="FSC#SKEDITIONSLOVLEX@103.510:zodppredkladatel">
    <vt:lpwstr>Ján Richter</vt:lpwstr>
  </property>
  <property fmtid="{D5CDD505-2E9C-101B-9397-08002B2CF9AE}" pid="13" name="FSC#SKEDITIONSLOVLEX@103.510:dalsipredkladatel">
    <vt:lpwstr/>
  </property>
  <property fmtid="{D5CDD505-2E9C-101B-9397-08002B2CF9AE}" pid="14" name="FSC#SKEDITIONSLOVLEX@103.510:nazovpredpis">
    <vt:lpwstr>  o informácii o dávkach z doplnkového dôchodkového sporenia</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na základe § 66b  ods. 1 zákona č. 650/2004 Z. z. o doplnkovom dôchodkovom sporení a o zmene a doplnení niektorých zákonov v znení zákona č. 109/2018 Z. z._x000d_
</vt:lpwstr>
  </property>
  <property fmtid="{D5CDD505-2E9C-101B-9397-08002B2CF9AE}" pid="23" name="FSC#SKEDITIONSLOVLEX@103.510:plnynazovpredpis">
    <vt:lpwstr> Opatrenie Ministerstva práce, sociálnych vecí a rodiny Slovenskej republiky  o informácii o dávkach z doplnkového dôchodkového sporenia</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12561/2018–M_OPVA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LP/2018/478</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	Zmluva o fungovaní Európskej únie (Konsolidované znenie) (Ú. v. C 202, 7.6.2016), v článku 46, 53, 62 a 114 ods. 1</vt:lpwstr>
  </property>
  <property fmtid="{D5CDD505-2E9C-101B-9397-08002B2CF9AE}" pid="47" name="FSC#SKEDITIONSLOVLEX@103.510:AttrStrListDocPropSekundarneLegPravoPO">
    <vt:lpwstr>Nariadenie Európskeho parlamentu a Rady (EÚ) č. 1094/2010 z 24. novembra 2010,  ktorým sa zriaďuje Európsky orgán dohľadu (Európsky orgán pre poisťovníctvo a dôchodkové poistenie zamestnancov), a ktorým sa mení a dopĺňa rozhodnutie č. 716/2009/ES a zrušuj</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neprebieha_x000d_
</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práce, sociálnych vecí a rodiny Slovenskej republiky</vt:lpwstr>
  </property>
  <property fmtid="{D5CDD505-2E9C-101B-9397-08002B2CF9AE}" pid="58" name="FSC#SKEDITIONSLOVLEX@103.510:AttrDateDocPropZaciatokPKK">
    <vt:lpwstr>18. 6. 2018</vt:lpwstr>
  </property>
  <property fmtid="{D5CDD505-2E9C-101B-9397-08002B2CF9AE}" pid="59" name="FSC#SKEDITIONSLOVLEX@103.510:AttrDateDocPropUkonceniePKK">
    <vt:lpwstr>29. 6. 2018</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Vplyv na podnikateľské prostredie: Doplnkové dôchodkové spoločnosti na základe návrhu opatrenia budú mať povinnosť zasielať informáciu o dávkach z doplnkového dôchodkového sporenia účastníkovi doplnkového dôchodkového sporenia, ktorý sa blíži k dosiahnuti</vt:lpwstr>
  </property>
  <property fmtid="{D5CDD505-2E9C-101B-9397-08002B2CF9AE}" pid="66" name="FSC#SKEDITIONSLOVLEX@103.510:AttrStrListDocPropAltRiesenia">
    <vt:lpwstr>Alternatívne riešenia v prípade uvedeného vykonávacieho predpisu sú bezpredmetné, vzhľadom na skutočnosť, že obsah dokumentu informácia o dávkach z doplnkového dôchodkového sporenia je definovaný smernicou. V súčasnosti účastníci doplnkového dôchodkového </vt:lpwstr>
  </property>
  <property fmtid="{D5CDD505-2E9C-101B-9397-08002B2CF9AE}" pid="67" name="FSC#SKEDITIONSLOVLEX@103.510:AttrStrListDocPropStanoviskoGest">
    <vt:lpwstr>STANOVISKO KOMISIE (PREDBEŽNÉ PRIPOMIENKOVÉ KONANIE)K MATERIÁLU NÁVRH OPATRENIA MINISTERSTVA PRÁCE, SOCIÁLNYCH VECÍ A RODINY SLOVENSKEJ REPUBLIKY Z ... 2018, O INFORMÁCII O DÁVKACH Z DOPLNKOVÉHO DÔCHODKOVÉHO SPORENIA. I. Úvod: Ministerstvo práce, sociálny</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ministrovi práce, sociálnych vecí a rodiny Slovenskej republiky</vt:lpwstr>
  </property>
  <property fmtid="{D5CDD505-2E9C-101B-9397-08002B2CF9AE}" pid="143" name="FSC#SKEDITIONSLOVLEX@103.510:funkciaZodpPredDativ">
    <vt:lpwstr>ministra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Richter_x000d_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práce, sociálnych vecí a&amp;nbsp;rodiny Slovenskej republiky na základe § 66b &amp;nbsp;ods. 1 zákona č. 650/2004 Z. z. o&amp;nbsp;doplnkovom dôchodkovom sporení a o zmene a doplnení niektorých zákonov v znení zákona č. 1</vt:lpwstr>
  </property>
  <property fmtid="{D5CDD505-2E9C-101B-9397-08002B2CF9AE}" pid="150" name="FSC#SKEDITIONSLOVLEX@103.510:vytvorenedna">
    <vt:lpwstr>3. 7. 2018</vt:lpwstr>
  </property>
  <property fmtid="{D5CDD505-2E9C-101B-9397-08002B2CF9AE}" pid="151" name="FSC#COOSYSTEM@1.1:Container">
    <vt:lpwstr>COO.2145.1000.3.2811647</vt:lpwstr>
  </property>
  <property fmtid="{D5CDD505-2E9C-101B-9397-08002B2CF9AE}" pid="152" name="FSC#FSCFOLIO@1.1001:docpropproject">
    <vt:lpwstr/>
  </property>
</Properties>
</file>