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2A33D" w14:textId="77777777" w:rsidR="00D968EA" w:rsidRPr="00AA4C18" w:rsidRDefault="00D968EA" w:rsidP="00182BC0">
      <w:pPr>
        <w:widowControl/>
        <w:spacing w:before="100" w:beforeAutospacing="1" w:after="100" w:afterAutospacing="1"/>
        <w:jc w:val="center"/>
        <w:rPr>
          <w:b/>
          <w:caps/>
          <w:spacing w:val="30"/>
        </w:rPr>
      </w:pPr>
      <w:r w:rsidRPr="00AA4C18">
        <w:rPr>
          <w:b/>
          <w:caps/>
          <w:spacing w:val="30"/>
        </w:rPr>
        <w:t>Dôvodová správa</w:t>
      </w:r>
    </w:p>
    <w:p w14:paraId="20C3012B" w14:textId="77777777" w:rsidR="005123A1" w:rsidRPr="00AA4C18" w:rsidRDefault="00D968EA" w:rsidP="00182BC0">
      <w:pPr>
        <w:widowControl/>
        <w:spacing w:before="100" w:beforeAutospacing="1" w:after="100" w:afterAutospacing="1"/>
        <w:jc w:val="both"/>
        <w:rPr>
          <w:b/>
        </w:rPr>
      </w:pPr>
      <w:r w:rsidRPr="00AA4C18">
        <w:rPr>
          <w:b/>
        </w:rPr>
        <w:t>Všeobecná časť</w:t>
      </w:r>
    </w:p>
    <w:p w14:paraId="3D581155" w14:textId="4D11260F" w:rsidR="005123A1" w:rsidRPr="00AA4C18" w:rsidRDefault="00D968EA" w:rsidP="00182BC0">
      <w:pPr>
        <w:widowControl/>
        <w:spacing w:before="100" w:beforeAutospacing="1" w:after="100" w:afterAutospacing="1"/>
        <w:jc w:val="both"/>
        <w:rPr>
          <w:b/>
        </w:rPr>
      </w:pPr>
      <w:r w:rsidRPr="00AA4C18">
        <w:rPr>
          <w:noProof/>
        </w:rPr>
        <w:t>Štatistický úrad Slovenskej republiky predkladá návrh zákona</w:t>
      </w:r>
      <w:r w:rsidR="005123A1" w:rsidRPr="00AA4C18">
        <w:rPr>
          <w:noProof/>
        </w:rPr>
        <w:t xml:space="preserve"> o sčítaní obyvateľov, domov a bytov v roku 2021</w:t>
      </w:r>
      <w:r w:rsidR="002C143A" w:rsidRPr="00AA4C18">
        <w:rPr>
          <w:noProof/>
        </w:rPr>
        <w:t xml:space="preserve"> a o zmene a doplnení niektorých zákonov</w:t>
      </w:r>
      <w:r w:rsidR="005123A1" w:rsidRPr="00AA4C18">
        <w:rPr>
          <w:noProof/>
        </w:rPr>
        <w:t>.</w:t>
      </w:r>
      <w:r w:rsidRPr="00AA4C18">
        <w:rPr>
          <w:noProof/>
        </w:rPr>
        <w:t xml:space="preserve"> Návrh zákona sa predkladá </w:t>
      </w:r>
      <w:r w:rsidR="005123A1" w:rsidRPr="00AA4C18">
        <w:rPr>
          <w:noProof/>
        </w:rPr>
        <w:t>na</w:t>
      </w:r>
      <w:r w:rsidR="002C143A" w:rsidRPr="00AA4C18">
        <w:rPr>
          <w:noProof/>
        </w:rPr>
        <w:t> </w:t>
      </w:r>
      <w:r w:rsidR="005123A1" w:rsidRPr="00AA4C18">
        <w:rPr>
          <w:noProof/>
        </w:rPr>
        <w:t xml:space="preserve">základe uznesenia vlády Slovenskej republiky (ďalej len „SR“) č. 587 z 13. decembra 2017, ktorým bola predsedovi Štatistického úradu SR uložená úloha </w:t>
      </w:r>
      <w:r w:rsidR="005123A1" w:rsidRPr="00AA4C18">
        <w:t>predložiť na rokovanie vlády návrh zákona o sčítaní obyvateľov, domov a bytov v roku 2021 do 30. júna 2019. Týmto uznesením vláda SR zároveň schválila Legislatívny zámer zákona o sčítaní obyvateľov, domov a bytov v roku 2021.</w:t>
      </w:r>
      <w:r w:rsidR="00687BE6" w:rsidRPr="00AA4C18">
        <w:t xml:space="preserve"> Predloženie zákona ukladá Štatistickému úradu SR aj Plán legislatívnych úloh vlády SR na rok 2019 schválený uznesením vlády č. 607/2018 z 21. decembra 2018.</w:t>
      </w:r>
    </w:p>
    <w:p w14:paraId="1F1F27DC" w14:textId="77777777" w:rsidR="00437FA0" w:rsidRPr="00AA4C18" w:rsidRDefault="00D968EA" w:rsidP="00182BC0">
      <w:pPr>
        <w:spacing w:before="100" w:beforeAutospacing="1" w:after="100" w:afterAutospacing="1"/>
        <w:jc w:val="both"/>
      </w:pPr>
      <w:r w:rsidRPr="00AA4C18">
        <w:t>Cieľom navrhovaného právneho predpisu je</w:t>
      </w:r>
      <w:r w:rsidR="001227EC" w:rsidRPr="00AA4C18">
        <w:t xml:space="preserve"> úprava rozsahu a spôsobu vykonania sčítania obyvateľov, domov a bytov (ďalej len „sčítanie“) v roku 2021. </w:t>
      </w:r>
    </w:p>
    <w:p w14:paraId="4E272CC1" w14:textId="67A87F64" w:rsidR="001227EC" w:rsidRPr="00AA4C18" w:rsidRDefault="001227EC" w:rsidP="00182BC0">
      <w:pPr>
        <w:spacing w:before="100" w:beforeAutospacing="1" w:after="100" w:afterAutospacing="1"/>
        <w:jc w:val="both"/>
      </w:pPr>
      <w:r w:rsidRPr="00AA4C18">
        <w:t>Sčítanie v roku 2021 bude súčasťou celosvetového programu populačných, domových a</w:t>
      </w:r>
      <w:r w:rsidR="00FD5E0B" w:rsidRPr="00AA4C18">
        <w:t> </w:t>
      </w:r>
      <w:r w:rsidRPr="00AA4C18">
        <w:t>bytových cenzov, ktorý sa uskutočňuje pod záštitou Európskej únie (ďalej aj „EÚ“) a</w:t>
      </w:r>
      <w:r w:rsidR="00FD5E0B" w:rsidRPr="00AA4C18">
        <w:t> </w:t>
      </w:r>
      <w:r w:rsidRPr="00AA4C18">
        <w:t>Organizácie Spojených národov. Členské štáty EÚ majú povinnosť uskutočniť sčítanie v tom istom roku (2021) a zisťovať údaje podľa rovnakých, resp. porovnateľných definícií.</w:t>
      </w:r>
      <w:r w:rsidR="00A222FD" w:rsidRPr="00AA4C18">
        <w:t xml:space="preserve"> Návrhom zákona dochádza k vykonaniu nariadení E</w:t>
      </w:r>
      <w:r w:rsidR="00182BC0" w:rsidRPr="00AA4C18">
        <w:t>Ú</w:t>
      </w:r>
      <w:r w:rsidR="00A222FD" w:rsidRPr="00AA4C18">
        <w:t xml:space="preserve"> vo vzťahu k sčítaniu v roku 2021.</w:t>
      </w:r>
    </w:p>
    <w:p w14:paraId="4B85A088" w14:textId="3F0D72A2" w:rsidR="001227EC" w:rsidRPr="00AA4C18" w:rsidRDefault="001227EC" w:rsidP="00182BC0">
      <w:pPr>
        <w:spacing w:before="100" w:beforeAutospacing="1" w:after="100" w:afterAutospacing="1"/>
        <w:jc w:val="both"/>
      </w:pPr>
      <w:r w:rsidRPr="00AA4C18">
        <w:t>Doteraz sa na Slovensku uskutočňovalo tradičné sčítanie. Štatistický úrad SR zisťoval údaje priamo od obyvateľov, ktorí mali povinnosť spolu s cudzincami zdržiavajúcimi sa na území nášho štátu v rozhodujúcom okamihu sčítania vyplniť buď sami (metóda samosčítania), alebo</w:t>
      </w:r>
      <w:r w:rsidR="00FD5E0B" w:rsidRPr="00AA4C18">
        <w:t> </w:t>
      </w:r>
      <w:r w:rsidRPr="00AA4C18">
        <w:t>s</w:t>
      </w:r>
      <w:r w:rsidR="00FD5E0B" w:rsidRPr="00AA4C18">
        <w:t> </w:t>
      </w:r>
      <w:r w:rsidRPr="00AA4C18">
        <w:t>pomocou asistentov sčítacie formuláre. Zámerom pre rok 2021 je maximálne využiť údaje z registrov a administratívnych zdrojov a doplniť ich údajmi získanými od obyvateľov.</w:t>
      </w:r>
    </w:p>
    <w:p w14:paraId="3A6235A0" w14:textId="2402932C" w:rsidR="001227EC" w:rsidRPr="00AA4C18" w:rsidRDefault="001227EC" w:rsidP="00182BC0">
      <w:pPr>
        <w:spacing w:before="100" w:beforeAutospacing="1" w:after="100" w:afterAutospacing="1"/>
        <w:jc w:val="both"/>
      </w:pPr>
      <w:r w:rsidRPr="00AA4C18">
        <w:t>V roku 2021 sa na Slovensku prvýkrát v histórii uskutoční sčítanie, ktoré bude integrovať údaje získané od obyvateľov, z vybraných administratívnych zdrojov a registrov. Očakáva sa, že</w:t>
      </w:r>
      <w:r w:rsidR="00FD5E0B" w:rsidRPr="00AA4C18">
        <w:t> </w:t>
      </w:r>
      <w:r w:rsidRPr="00AA4C18">
        <w:t>integrované sčítanie okrem zníženia administratívnej záťaže respondentov zvýši kvalitu údajov a informácií (vo vyčerpávajúcich sčítaniach sa v súčasnosti zvyšuje miera neodpovedania na niektoré otázky), ich efektívnosť (využitie už existujúcich zdrojov údajov) a</w:t>
      </w:r>
      <w:r w:rsidR="00FD5E0B" w:rsidRPr="00AA4C18">
        <w:t> </w:t>
      </w:r>
      <w:r w:rsidRPr="00AA4C18">
        <w:t>prispeje k harmonizácii údajov o počte obyvateľov (osobitne v demografickej štatistike a</w:t>
      </w:r>
      <w:r w:rsidR="00FD5E0B" w:rsidRPr="00AA4C18">
        <w:t> </w:t>
      </w:r>
      <w:r w:rsidRPr="00AA4C18">
        <w:t>evidencii obcí).</w:t>
      </w:r>
    </w:p>
    <w:p w14:paraId="50E4E7A1" w14:textId="11D4B490" w:rsidR="001227EC" w:rsidRPr="00AA4C18" w:rsidRDefault="001227EC" w:rsidP="00182BC0">
      <w:pPr>
        <w:spacing w:before="100" w:beforeAutospacing="1" w:after="100" w:afterAutospacing="1"/>
        <w:jc w:val="both"/>
      </w:pPr>
      <w:r w:rsidRPr="00AA4C18">
        <w:t>Spoľahlivá a dôveryhodná štátna štatistika má nezastupiteľné miesto pri tvorbe, realizácii a</w:t>
      </w:r>
      <w:r w:rsidR="00FD5E0B" w:rsidRPr="00AA4C18">
        <w:t> </w:t>
      </w:r>
      <w:r w:rsidRPr="00AA4C18">
        <w:t xml:space="preserve">aktualizácii programov zabezpečujúcich rozvoj štátneho i súkromného sektora. Je kľúčovým zdrojom informácií na národnej i medzinárodnej úrovni. </w:t>
      </w:r>
    </w:p>
    <w:p w14:paraId="4EC9261F" w14:textId="161F095E" w:rsidR="004358F0" w:rsidRPr="00AA4C18" w:rsidRDefault="001227EC" w:rsidP="00182BC0">
      <w:pPr>
        <w:spacing w:before="100" w:beforeAutospacing="1" w:after="100" w:afterAutospacing="1"/>
        <w:jc w:val="both"/>
      </w:pPr>
      <w:r w:rsidRPr="00AA4C18">
        <w:t>Cieľom sčítania v roku 2021 je získať vzájomne prepojené, spoľahlivé, porovnateľné, unikátne údaje a informácie o stave spoločnosti, o jej demografických, sociálno-ekonomických a</w:t>
      </w:r>
      <w:r w:rsidR="00FD5E0B" w:rsidRPr="00AA4C18">
        <w:t> </w:t>
      </w:r>
      <w:r w:rsidRPr="00AA4C18">
        <w:t>kultúrnych štruktúrach, o životných podmienkach obyvateľov a bývaní. K sčítaniu 2021 je</w:t>
      </w:r>
      <w:r w:rsidR="00FD5E0B" w:rsidRPr="00AA4C18">
        <w:t> </w:t>
      </w:r>
      <w:r w:rsidRPr="00AA4C18">
        <w:t>potrebné pr</w:t>
      </w:r>
      <w:r w:rsidR="004358F0" w:rsidRPr="00AA4C18">
        <w:t xml:space="preserve">eto pristupovať ako </w:t>
      </w:r>
      <w:r w:rsidRPr="00AA4C18">
        <w:t>k požiadavkám na rešpektovanie medzinárodných a</w:t>
      </w:r>
      <w:r w:rsidR="00FD5E0B" w:rsidRPr="00AA4C18">
        <w:t> </w:t>
      </w:r>
      <w:r w:rsidRPr="00AA4C18">
        <w:t xml:space="preserve">národných záväzkov a na akceptovanie relevantných potrieb používateľov údajov pri zvážení administratívnej záťaže </w:t>
      </w:r>
      <w:r w:rsidR="004358F0" w:rsidRPr="00AA4C18">
        <w:t xml:space="preserve">obyvateľov Slovenskej republiky. Cieľom sčítania je taktiež </w:t>
      </w:r>
      <w:r w:rsidRPr="00AA4C18">
        <w:t>zachovať čo najväčšiu porovnateľnosť údajov s údajmi získanými z predchádzajúcich sčítaní, pričom</w:t>
      </w:r>
      <w:r w:rsidR="00FD5E0B" w:rsidRPr="00AA4C18">
        <w:t> </w:t>
      </w:r>
      <w:r w:rsidRPr="00AA4C18">
        <w:t>úroveň územného a klasifikačného detailu jednotlivých ukazovateľov bude výsledk</w:t>
      </w:r>
      <w:r w:rsidR="004358F0" w:rsidRPr="00AA4C18">
        <w:t xml:space="preserve">om použitej metódy zberu údajov. </w:t>
      </w:r>
    </w:p>
    <w:p w14:paraId="3EBBC1B5" w14:textId="04454BB7" w:rsidR="001227EC" w:rsidRPr="00AA4C18" w:rsidRDefault="004358F0" w:rsidP="00182BC0">
      <w:pPr>
        <w:spacing w:before="100" w:beforeAutospacing="1" w:after="100" w:afterAutospacing="1"/>
        <w:jc w:val="both"/>
      </w:pPr>
      <w:r w:rsidRPr="00AA4C18">
        <w:t xml:space="preserve">Sčítanie a proces jeho prípravy a realizácie je vhodné uchopiť aj na príslušných orgánoch </w:t>
      </w:r>
      <w:r w:rsidRPr="00AA4C18">
        <w:lastRenderedPageBreak/>
        <w:t>verejnej moci ako v</w:t>
      </w:r>
      <w:r w:rsidR="001227EC" w:rsidRPr="00AA4C18">
        <w:t>ýzv</w:t>
      </w:r>
      <w:r w:rsidRPr="00AA4C18">
        <w:t>u</w:t>
      </w:r>
      <w:r w:rsidR="001227EC" w:rsidRPr="00AA4C18">
        <w:t xml:space="preserve"> na vzájomnú harmonizáciu údajov demografickej štatistiky, registrov, prípadne evidencie obcí zameranej na zvyšovanie kvality výstupov.</w:t>
      </w:r>
      <w:r w:rsidRPr="00AA4C18">
        <w:t xml:space="preserve"> </w:t>
      </w:r>
      <w:r w:rsidR="001227EC" w:rsidRPr="00AA4C18">
        <w:t>S</w:t>
      </w:r>
      <w:r w:rsidR="00182BC0" w:rsidRPr="00AA4C18">
        <w:t>čítanie</w:t>
      </w:r>
      <w:r w:rsidR="001227EC" w:rsidRPr="00AA4C18">
        <w:t xml:space="preserve"> 2021 </w:t>
      </w:r>
      <w:r w:rsidRPr="00AA4C18">
        <w:t xml:space="preserve">totiž </w:t>
      </w:r>
      <w:r w:rsidR="001227EC" w:rsidRPr="00AA4C18">
        <w:t>predpokladá integráciu údajov z viacerých zdrojov. Údaje, ktoré nie je možné zabezpečiť z registrov a administratívnych zdrojov, bude Štatistický úrad SR zisťovať priamo od</w:t>
      </w:r>
      <w:r w:rsidR="00FD5E0B" w:rsidRPr="00AA4C18">
        <w:t> </w:t>
      </w:r>
      <w:r w:rsidR="001227EC" w:rsidRPr="00AA4C18">
        <w:t>obyvateľov.</w:t>
      </w:r>
    </w:p>
    <w:p w14:paraId="43367188" w14:textId="3C3E15B4" w:rsidR="001227EC" w:rsidRPr="00AA4C18" w:rsidRDefault="001227EC" w:rsidP="00182BC0">
      <w:pPr>
        <w:spacing w:before="100" w:beforeAutospacing="1" w:after="100" w:afterAutospacing="1"/>
        <w:jc w:val="both"/>
      </w:pPr>
      <w:r w:rsidRPr="00AA4C18">
        <w:t>S</w:t>
      </w:r>
      <w:r w:rsidR="00182BC0" w:rsidRPr="00AA4C18">
        <w:t>čítanie</w:t>
      </w:r>
      <w:r w:rsidRPr="00AA4C18">
        <w:t xml:space="preserve"> patrí z hľadiska prípravy a realizácie k najnáročnejším štatistickým zisťovaniam. Je</w:t>
      </w:r>
      <w:r w:rsidR="00FD5E0B" w:rsidRPr="00AA4C18">
        <w:t> </w:t>
      </w:r>
      <w:r w:rsidRPr="00AA4C18">
        <w:t>to</w:t>
      </w:r>
      <w:r w:rsidR="00FD5E0B" w:rsidRPr="00AA4C18">
        <w:t> </w:t>
      </w:r>
      <w:r w:rsidRPr="00AA4C18">
        <w:t>j</w:t>
      </w:r>
      <w:r w:rsidRPr="00AA4C18">
        <w:rPr>
          <w:rFonts w:ascii="Times" w:hAnsi="Times" w:cs="Arial"/>
          <w:bCs/>
        </w:rPr>
        <w:t xml:space="preserve">ediné štatistické zisťovanie, ktorého obsah, rozsah a spôsob vykonania ustanovuje osobitný zákon. V </w:t>
      </w:r>
      <w:r w:rsidRPr="00AA4C18">
        <w:rPr>
          <w:rFonts w:ascii="Times" w:hAnsi="Times"/>
        </w:rPr>
        <w:t xml:space="preserve">§ 15 zákona č. 540/2001 Z. z. o štátnej štatistike </w:t>
      </w:r>
      <w:r w:rsidRPr="00AA4C18">
        <w:rPr>
          <w:rFonts w:ascii="Times" w:hAnsi="Times" w:cs="Arial"/>
          <w:bCs/>
        </w:rPr>
        <w:t>sa uvádza, že „</w:t>
      </w:r>
      <w:r w:rsidRPr="00AA4C18">
        <w:rPr>
          <w:rFonts w:ascii="Times" w:hAnsi="Times" w:cs="Segoe UI"/>
          <w:shd w:val="clear" w:color="auto" w:fill="FFFFFF"/>
        </w:rPr>
        <w:t>Sčítanie obyvateľov, domov a bytov upravuje osobitný zákon.“</w:t>
      </w:r>
      <w:r w:rsidRPr="00AA4C18">
        <w:t xml:space="preserve"> Takýto postup garantuje sčítaniu osobitné postavenie najmä preto, že má nielen štatistický, ale aj celospoločenský význam. Potvrdzuje to aj jeden zo strategických cieľov Národného akčného plánu Sčítania obyvateľov, domov a bytov v roku 2021 na roky 2017 – 2020.</w:t>
      </w:r>
    </w:p>
    <w:p w14:paraId="2BC2E2CD" w14:textId="1A91B2FA" w:rsidR="00601667" w:rsidRPr="00AA4C18" w:rsidRDefault="00601667" w:rsidP="00182BC0">
      <w:pPr>
        <w:spacing w:before="100" w:beforeAutospacing="1" w:after="100" w:afterAutospacing="1"/>
        <w:jc w:val="both"/>
      </w:pPr>
      <w:r w:rsidRPr="00AA4C18">
        <w:t>Po analýze spoločenskej situácie a v súlade s Programovým vyhlásením vlády Slovenskej republiky na roky 2016 – 2020, ktoré vyjadruje podporu sčítaniu so zníženou administratívnou záťažou obyvateľov, Štatistický úrad SR navrhol uskutočniť na Slovensku v roku 2021 integrované sčítanie. Takéto sčítanie bude založené na integrácii údajov z viacerých zdrojov so</w:t>
      </w:r>
      <w:r w:rsidR="00FD5E0B" w:rsidRPr="00AA4C18">
        <w:t> </w:t>
      </w:r>
      <w:r w:rsidRPr="00AA4C18">
        <w:t>zámerom maximálne využiť údaje z registrov a administratívnych zdrojov a doplniť ich údajmi získanými od obyvateľov.</w:t>
      </w:r>
    </w:p>
    <w:p w14:paraId="6562E2E2" w14:textId="33D85D9A" w:rsidR="00687BE6" w:rsidRPr="00AA4C18" w:rsidRDefault="00687BE6" w:rsidP="00182BC0">
      <w:pPr>
        <w:spacing w:before="100" w:beforeAutospacing="1" w:after="100" w:afterAutospacing="1"/>
        <w:jc w:val="both"/>
      </w:pPr>
      <w:r w:rsidRPr="00AA4C18">
        <w:t>Návrh zákona vymedzuje údaje, ktoré sa zisťujú sčítaním</w:t>
      </w:r>
      <w:r w:rsidR="00BB0270" w:rsidRPr="00AA4C18">
        <w:t>,</w:t>
      </w:r>
      <w:r w:rsidRPr="00AA4C18">
        <w:t xml:space="preserve"> a základné pojmy, určuje činnosti kontaktného miesta, postavenie, práva a povinnosti asistenta sčítania vrátane podmienok jeho vymenovania, úlohy Štatistického úradu SR, obce a spolupracujúcich ministerstiev, postup pri</w:t>
      </w:r>
      <w:r w:rsidR="00FD5E0B" w:rsidRPr="00AA4C18">
        <w:t> </w:t>
      </w:r>
      <w:r w:rsidRPr="00AA4C18">
        <w:t xml:space="preserve">sčítaní osobitných kategórií obyvateľov, inštitúty </w:t>
      </w:r>
      <w:r w:rsidR="00FD5E0B" w:rsidRPr="00AA4C18">
        <w:t>postcenzu a </w:t>
      </w:r>
      <w:proofErr w:type="spellStart"/>
      <w:r w:rsidR="00FD5E0B" w:rsidRPr="00AA4C18">
        <w:t>dosčítania</w:t>
      </w:r>
      <w:proofErr w:type="spellEnd"/>
      <w:r w:rsidR="00FD5E0B" w:rsidRPr="00AA4C18">
        <w:t xml:space="preserve">, spôsob </w:t>
      </w:r>
      <w:r w:rsidRPr="00AA4C18">
        <w:t>spracovania údajov z elektronických formulárov a administratívnych zdrojov, ochranu pred</w:t>
      </w:r>
      <w:r w:rsidR="00FD5E0B" w:rsidRPr="00AA4C18">
        <w:t> </w:t>
      </w:r>
      <w:r w:rsidRPr="00AA4C18">
        <w:t xml:space="preserve">zneužitím získaných údajov a podmienky ich poskytovania fyzickým osobám a právnickým osobám na žiadosť, správne delikty za porušenie povinností podľa zákona a vytvára právny rámec fungovania elektronického </w:t>
      </w:r>
      <w:r w:rsidR="00DC25BB" w:rsidRPr="00AA4C18">
        <w:t>systému</w:t>
      </w:r>
      <w:r w:rsidRPr="00AA4C18">
        <w:t xml:space="preserve"> pre sčítanie ako informačného systému verejnej správy.</w:t>
      </w:r>
    </w:p>
    <w:p w14:paraId="1F8CC9B8" w14:textId="77777777" w:rsidR="00601667" w:rsidRPr="00AA4C18" w:rsidRDefault="00601667" w:rsidP="00182BC0">
      <w:pPr>
        <w:spacing w:before="100" w:beforeAutospacing="1" w:after="100" w:afterAutospacing="1"/>
        <w:jc w:val="both"/>
      </w:pPr>
      <w:r w:rsidRPr="00AA4C18">
        <w:rPr>
          <w:bCs/>
        </w:rPr>
        <w:t xml:space="preserve">Návrh zákona je v súlade s Ústavou Slovenskej republiky, ústavnými zákonmi a nálezmi ústavného súdu, zákonmi a medzinárodnými zmluvami, ktorými je Slovenská republika viazaná, ako aj s právom EÚ.  </w:t>
      </w:r>
    </w:p>
    <w:p w14:paraId="374837EA" w14:textId="7776A981" w:rsidR="0076357A" w:rsidRPr="00AA4C18" w:rsidRDefault="00601667" w:rsidP="00182BC0">
      <w:pPr>
        <w:spacing w:before="100" w:beforeAutospacing="1" w:after="100" w:afterAutospacing="1"/>
        <w:jc w:val="both"/>
        <w:rPr>
          <w:bCs/>
        </w:rPr>
      </w:pPr>
      <w:r w:rsidRPr="00AA4C18">
        <w:rPr>
          <w:bCs/>
        </w:rPr>
        <w:t xml:space="preserve">Predkladaný návrh zákona má negatívny </w:t>
      </w:r>
      <w:r w:rsidR="00706181" w:rsidRPr="00AA4C18">
        <w:rPr>
          <w:bCs/>
        </w:rPr>
        <w:t xml:space="preserve">aj pozitívny </w:t>
      </w:r>
      <w:r w:rsidRPr="00AA4C18">
        <w:rPr>
          <w:bCs/>
        </w:rPr>
        <w:t>vplyv na rozpočet verejnej správy, negatívny aj</w:t>
      </w:r>
      <w:r w:rsidR="00FD5E0B" w:rsidRPr="00AA4C18">
        <w:rPr>
          <w:bCs/>
        </w:rPr>
        <w:t> </w:t>
      </w:r>
      <w:r w:rsidRPr="00AA4C18">
        <w:rPr>
          <w:bCs/>
        </w:rPr>
        <w:t xml:space="preserve">pozitívny vplyv na podnikateľské prostredie a pozitívny vplyv na informatizáciu spoločnosti. Návrh zákona nemá žiadne sociálne vplyvy, </w:t>
      </w:r>
      <w:r w:rsidR="00706181" w:rsidRPr="00AA4C18">
        <w:rPr>
          <w:bCs/>
        </w:rPr>
        <w:t xml:space="preserve">žiadne vplyvy na manželstvo, rodičovstvo a rodinu, </w:t>
      </w:r>
      <w:r w:rsidRPr="00AA4C18">
        <w:rPr>
          <w:bCs/>
        </w:rPr>
        <w:t xml:space="preserve">žiaden vplyv na životné prostredie, ani </w:t>
      </w:r>
      <w:r w:rsidR="00706181" w:rsidRPr="00AA4C18">
        <w:rPr>
          <w:bCs/>
        </w:rPr>
        <w:t xml:space="preserve">vplyvy </w:t>
      </w:r>
      <w:r w:rsidRPr="00AA4C18">
        <w:rPr>
          <w:bCs/>
        </w:rPr>
        <w:t>na služby verejnej správy pre občana.</w:t>
      </w:r>
    </w:p>
    <w:p w14:paraId="1E51B739" w14:textId="77777777" w:rsidR="0076357A" w:rsidRPr="00AA4C18" w:rsidRDefault="0076357A">
      <w:pPr>
        <w:widowControl/>
        <w:adjustRightInd/>
        <w:spacing w:after="200" w:line="276" w:lineRule="auto"/>
        <w:rPr>
          <w:bCs/>
        </w:rPr>
      </w:pPr>
      <w:r w:rsidRPr="00AA4C18">
        <w:rPr>
          <w:bCs/>
        </w:rPr>
        <w:br w:type="page"/>
      </w:r>
    </w:p>
    <w:p w14:paraId="40A3479F" w14:textId="77777777" w:rsidR="0076357A" w:rsidRPr="00AA4C18" w:rsidRDefault="0076357A" w:rsidP="0076357A">
      <w:pPr>
        <w:pStyle w:val="Normlnywebov"/>
        <w:spacing w:before="0" w:beforeAutospacing="0" w:after="0" w:afterAutospacing="0"/>
        <w:jc w:val="center"/>
        <w:rPr>
          <w:b/>
          <w:bCs/>
          <w:sz w:val="28"/>
          <w:szCs w:val="28"/>
        </w:rPr>
      </w:pPr>
      <w:r w:rsidRPr="00AA4C18">
        <w:rPr>
          <w:b/>
          <w:bCs/>
          <w:sz w:val="28"/>
          <w:szCs w:val="28"/>
        </w:rPr>
        <w:lastRenderedPageBreak/>
        <w:t>Doložka vybraných vplyvov</w:t>
      </w:r>
    </w:p>
    <w:p w14:paraId="52FF882F" w14:textId="77777777" w:rsidR="0076357A" w:rsidRPr="00AA4C18" w:rsidRDefault="0076357A" w:rsidP="0076357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76357A" w:rsidRPr="00AA4C18" w14:paraId="328FF90C" w14:textId="77777777" w:rsidTr="0076357A">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01862B8"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1.  Základné údaje</w:t>
            </w:r>
          </w:p>
        </w:tc>
      </w:tr>
      <w:tr w:rsidR="0076357A" w:rsidRPr="00AA4C18" w14:paraId="5F5AB72D" w14:textId="77777777" w:rsidTr="0076357A">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585210C8"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Názov materiálu</w:t>
            </w:r>
          </w:p>
        </w:tc>
      </w:tr>
      <w:tr w:rsidR="0076357A" w:rsidRPr="00AA4C18" w14:paraId="39A10F6A" w14:textId="77777777" w:rsidTr="0076357A">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3632101E" w14:textId="77777777" w:rsidR="0076357A" w:rsidRPr="00AA4C18" w:rsidRDefault="0076357A" w:rsidP="0076357A">
            <w:pPr>
              <w:rPr>
                <w:rFonts w:ascii="Times" w:hAnsi="Times" w:cs="Times"/>
                <w:sz w:val="20"/>
                <w:szCs w:val="20"/>
              </w:rPr>
            </w:pPr>
            <w:r w:rsidRPr="00AA4C18">
              <w:rPr>
                <w:rFonts w:ascii="Times" w:hAnsi="Times" w:cs="Times"/>
                <w:sz w:val="20"/>
                <w:szCs w:val="20"/>
              </w:rPr>
              <w:t>Zákon o sčítaní obyvateľov, domov a bytov v roku 2021 a o zmene a doplnení niektorých zákonov</w:t>
            </w:r>
          </w:p>
        </w:tc>
      </w:tr>
      <w:tr w:rsidR="0076357A" w:rsidRPr="00AA4C18" w14:paraId="0D7C433A" w14:textId="77777777" w:rsidTr="0076357A">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72D9180B"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Predkladateľ (a spolupredkladateľ)</w:t>
            </w:r>
          </w:p>
        </w:tc>
      </w:tr>
      <w:tr w:rsidR="0076357A" w:rsidRPr="00AA4C18" w14:paraId="72112125" w14:textId="77777777" w:rsidTr="0076357A">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732BCAD4" w14:textId="77777777" w:rsidR="0076357A" w:rsidRPr="00AA4C18" w:rsidRDefault="0076357A" w:rsidP="0076357A">
            <w:pPr>
              <w:rPr>
                <w:rFonts w:ascii="Times" w:hAnsi="Times" w:cs="Times"/>
                <w:sz w:val="20"/>
                <w:szCs w:val="20"/>
              </w:rPr>
            </w:pPr>
            <w:r w:rsidRPr="00AA4C18">
              <w:rPr>
                <w:rFonts w:ascii="Times" w:hAnsi="Times" w:cs="Times"/>
                <w:sz w:val="20"/>
                <w:szCs w:val="20"/>
              </w:rPr>
              <w:t>Štatistický úrad Slovenskej republiky</w:t>
            </w:r>
          </w:p>
        </w:tc>
      </w:tr>
      <w:tr w:rsidR="0076357A" w:rsidRPr="00AA4C18" w14:paraId="3BB912EC" w14:textId="77777777" w:rsidTr="0076357A">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6318BA5" w14:textId="77777777" w:rsidR="0076357A" w:rsidRPr="00AA4C18" w:rsidRDefault="0076357A" w:rsidP="0076357A">
            <w:pPr>
              <w:jc w:val="center"/>
              <w:rPr>
                <w:rFonts w:ascii="Times" w:hAnsi="Times" w:cs="Times"/>
                <w:b/>
                <w:bCs/>
                <w:sz w:val="22"/>
                <w:szCs w:val="22"/>
              </w:rPr>
            </w:pPr>
            <w:r w:rsidRPr="00AA4C18">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05C6EE85" w14:textId="77777777" w:rsidR="0076357A" w:rsidRPr="00AA4C18" w:rsidRDefault="0076357A" w:rsidP="0076357A">
            <w:pPr>
              <w:rPr>
                <w:rFonts w:ascii="Times" w:hAnsi="Times" w:cs="Times"/>
                <w:sz w:val="20"/>
                <w:szCs w:val="20"/>
              </w:rPr>
            </w:pPr>
            <w:r w:rsidRPr="00AA4C18">
              <w:rPr>
                <w:rFonts w:ascii="Times" w:hAnsi="Times" w:cs="Times"/>
                <w:sz w:val="20"/>
                <w:szCs w:val="20"/>
              </w:rPr>
              <w:t> </w:t>
            </w:r>
            <w:r w:rsidRPr="00AA4C18">
              <w:rPr>
                <w:rFonts w:ascii="Wingdings 2" w:hAnsi="Wingdings 2" w:cs="Times"/>
                <w:sz w:val="28"/>
                <w:szCs w:val="28"/>
              </w:rPr>
              <w:t></w:t>
            </w:r>
            <w:r w:rsidRPr="00AA4C18">
              <w:rPr>
                <w:rFonts w:ascii="Times" w:hAnsi="Times" w:cs="Times"/>
                <w:sz w:val="20"/>
                <w:szCs w:val="20"/>
              </w:rPr>
              <w:t>  Materiál nelegislatívnej povahy</w:t>
            </w:r>
          </w:p>
        </w:tc>
      </w:tr>
      <w:tr w:rsidR="0076357A" w:rsidRPr="00AA4C18" w14:paraId="6551ED62" w14:textId="77777777" w:rsidTr="0076357A">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617C0D3" w14:textId="77777777" w:rsidR="0076357A" w:rsidRPr="00AA4C18" w:rsidRDefault="0076357A" w:rsidP="0076357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184D375F" w14:textId="77777777" w:rsidR="0076357A" w:rsidRPr="00AA4C18" w:rsidRDefault="0076357A" w:rsidP="0076357A">
            <w:pPr>
              <w:rPr>
                <w:rFonts w:ascii="Times" w:hAnsi="Times" w:cs="Times"/>
                <w:sz w:val="20"/>
                <w:szCs w:val="20"/>
              </w:rPr>
            </w:pPr>
            <w:r w:rsidRPr="00AA4C18">
              <w:rPr>
                <w:rFonts w:ascii="Times" w:hAnsi="Times" w:cs="Times"/>
                <w:sz w:val="20"/>
                <w:szCs w:val="20"/>
              </w:rPr>
              <w:t> </w:t>
            </w:r>
            <w:r w:rsidRPr="00AA4C18">
              <w:rPr>
                <w:rFonts w:ascii="Wingdings 2" w:hAnsi="Wingdings 2" w:cs="Times"/>
                <w:sz w:val="20"/>
                <w:szCs w:val="20"/>
              </w:rPr>
              <w:t></w:t>
            </w:r>
            <w:r w:rsidRPr="00AA4C18">
              <w:rPr>
                <w:rFonts w:ascii="Times" w:hAnsi="Times" w:cs="Times"/>
                <w:sz w:val="20"/>
                <w:szCs w:val="20"/>
              </w:rPr>
              <w:t xml:space="preserve">  Materiál legislatívnej povahy </w:t>
            </w:r>
          </w:p>
        </w:tc>
      </w:tr>
      <w:tr w:rsidR="0076357A" w:rsidRPr="00AA4C18" w14:paraId="446D8108" w14:textId="77777777" w:rsidTr="0076357A">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30CB972" w14:textId="77777777" w:rsidR="0076357A" w:rsidRPr="00AA4C18" w:rsidRDefault="0076357A" w:rsidP="0076357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6A331304" w14:textId="77777777" w:rsidR="0076357A" w:rsidRPr="00AA4C18" w:rsidRDefault="0076357A" w:rsidP="0076357A">
            <w:pPr>
              <w:rPr>
                <w:rFonts w:ascii="Times" w:hAnsi="Times" w:cs="Times"/>
                <w:sz w:val="20"/>
                <w:szCs w:val="20"/>
              </w:rPr>
            </w:pPr>
            <w:r w:rsidRPr="00AA4C18">
              <w:rPr>
                <w:rFonts w:ascii="Times" w:hAnsi="Times" w:cs="Times"/>
                <w:sz w:val="20"/>
                <w:szCs w:val="20"/>
              </w:rPr>
              <w:t> </w:t>
            </w:r>
            <w:r w:rsidRPr="00AA4C18">
              <w:rPr>
                <w:rFonts w:ascii="Wingdings 2" w:hAnsi="Wingdings 2" w:cs="Times"/>
                <w:sz w:val="28"/>
                <w:szCs w:val="28"/>
              </w:rPr>
              <w:t></w:t>
            </w:r>
            <w:r w:rsidRPr="00AA4C18">
              <w:rPr>
                <w:rFonts w:ascii="Times" w:hAnsi="Times" w:cs="Times"/>
                <w:sz w:val="20"/>
                <w:szCs w:val="20"/>
              </w:rPr>
              <w:t xml:space="preserve">  Transpozícia práva EÚ </w:t>
            </w:r>
          </w:p>
        </w:tc>
      </w:tr>
      <w:tr w:rsidR="0076357A" w:rsidRPr="00AA4C18" w14:paraId="5482AA3C" w14:textId="77777777" w:rsidTr="0076357A">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37FBDE0F" w14:textId="77777777" w:rsidR="0076357A" w:rsidRPr="00AA4C18" w:rsidRDefault="0076357A" w:rsidP="0076357A">
            <w:pPr>
              <w:rPr>
                <w:rFonts w:ascii="Times" w:hAnsi="Times" w:cs="Times"/>
                <w:sz w:val="20"/>
                <w:szCs w:val="20"/>
              </w:rPr>
            </w:pPr>
          </w:p>
        </w:tc>
      </w:tr>
      <w:tr w:rsidR="0076357A" w:rsidRPr="00AA4C18" w14:paraId="2566BF12" w14:textId="77777777" w:rsidTr="0076357A">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33C98FE5"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14:paraId="56A224B3" w14:textId="77777777" w:rsidR="0076357A" w:rsidRPr="00AA4C18" w:rsidRDefault="0076357A" w:rsidP="0076357A">
            <w:pPr>
              <w:rPr>
                <w:rFonts w:ascii="Times" w:hAnsi="Times" w:cs="Times"/>
                <w:sz w:val="20"/>
                <w:szCs w:val="20"/>
              </w:rPr>
            </w:pPr>
            <w:r w:rsidRPr="00AA4C18">
              <w:rPr>
                <w:rFonts w:ascii="Times" w:hAnsi="Times" w:cs="Times"/>
                <w:sz w:val="20"/>
                <w:szCs w:val="20"/>
              </w:rPr>
              <w:t>Začiatok:    5.2.2019</w:t>
            </w:r>
            <w:r w:rsidRPr="00AA4C18">
              <w:rPr>
                <w:rFonts w:ascii="Times" w:hAnsi="Times" w:cs="Times"/>
                <w:sz w:val="20"/>
                <w:szCs w:val="20"/>
              </w:rPr>
              <w:br/>
              <w:t>Ukončenie: 19.2.2019</w:t>
            </w:r>
          </w:p>
        </w:tc>
      </w:tr>
      <w:tr w:rsidR="0076357A" w:rsidRPr="00AA4C18" w14:paraId="67AEEB24" w14:textId="77777777" w:rsidTr="0076357A">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71BCD96C"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14:paraId="74EDF3CD" w14:textId="77777777" w:rsidR="0076357A" w:rsidRPr="00AA4C18" w:rsidRDefault="0076357A" w:rsidP="0076357A">
            <w:pPr>
              <w:rPr>
                <w:rFonts w:ascii="Times" w:hAnsi="Times" w:cs="Times"/>
                <w:b/>
                <w:bCs/>
                <w:sz w:val="22"/>
                <w:szCs w:val="22"/>
              </w:rPr>
            </w:pPr>
          </w:p>
        </w:tc>
      </w:tr>
      <w:tr w:rsidR="0076357A" w:rsidRPr="00AA4C18" w14:paraId="5286F450" w14:textId="77777777" w:rsidTr="0076357A">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3C7FC508"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Predpokladaný termín predloženia na Rokovanie vlády</w:t>
            </w:r>
            <w:r w:rsidRPr="00AA4C18">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14:paraId="0CB68E8A" w14:textId="77777777" w:rsidR="0076357A" w:rsidRPr="00AA4C18" w:rsidRDefault="0076357A" w:rsidP="0076357A">
            <w:pPr>
              <w:rPr>
                <w:rFonts w:ascii="Times" w:hAnsi="Times" w:cs="Times"/>
                <w:b/>
                <w:bCs/>
                <w:sz w:val="22"/>
                <w:szCs w:val="22"/>
              </w:rPr>
            </w:pPr>
          </w:p>
        </w:tc>
      </w:tr>
    </w:tbl>
    <w:p w14:paraId="1E577309" w14:textId="77777777" w:rsidR="0076357A" w:rsidRPr="00AA4C18" w:rsidRDefault="0076357A" w:rsidP="0076357A">
      <w:pPr>
        <w:pStyle w:val="Normlnywebov"/>
        <w:spacing w:before="0" w:beforeAutospacing="0" w:after="0" w:afterAutospacing="0"/>
        <w:rPr>
          <w:bCs/>
          <w:sz w:val="22"/>
          <w:szCs w:val="22"/>
        </w:rPr>
      </w:pPr>
    </w:p>
    <w:p w14:paraId="1BE4EF2C" w14:textId="77777777" w:rsidR="0076357A" w:rsidRPr="00AA4C18" w:rsidRDefault="0076357A" w:rsidP="0076357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28" w:type="dxa"/>
          <w:left w:w="57" w:type="dxa"/>
          <w:bottom w:w="28" w:type="dxa"/>
          <w:right w:w="57" w:type="dxa"/>
        </w:tblCellMar>
        <w:tblLook w:val="04A0" w:firstRow="1" w:lastRow="0" w:firstColumn="1" w:lastColumn="0" w:noHBand="0" w:noVBand="1"/>
      </w:tblPr>
      <w:tblGrid>
        <w:gridCol w:w="9056"/>
      </w:tblGrid>
      <w:tr w:rsidR="0076357A" w:rsidRPr="00AA4C18" w14:paraId="0BFF34D3"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38B828BA"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2.  Definícia problému</w:t>
            </w:r>
          </w:p>
        </w:tc>
      </w:tr>
      <w:tr w:rsidR="0076357A" w:rsidRPr="00AA4C18" w14:paraId="30AAEFAF"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89A408B" w14:textId="77777777" w:rsidR="0076357A" w:rsidRPr="00AA4C18" w:rsidRDefault="0076357A" w:rsidP="0076357A">
            <w:pPr>
              <w:rPr>
                <w:rFonts w:ascii="Times" w:hAnsi="Times" w:cs="Times"/>
                <w:sz w:val="20"/>
                <w:szCs w:val="20"/>
              </w:rPr>
            </w:pPr>
            <w:r w:rsidRPr="00AA4C18">
              <w:rPr>
                <w:rFonts w:ascii="Times" w:hAnsi="Times" w:cs="Times"/>
                <w:sz w:val="20"/>
                <w:szCs w:val="20"/>
              </w:rPr>
              <w:t>Sčítanie obyvateľov, domov a bytov (ďalej aj „sčítanie“) v roku 2021 je národným a celospoločenským záväzkom Slovenskej republiky a je jedinečnou možnosťou ako získať vzájomne prepojené, spoľahlivé, porovnateľné údaje a informácie o stave spoločnosti, o jej demografických, sociálno-ekonomických a kultúrnych štruktúrach, o životných podmienkach obyvateľov a bývaní. Sčítanie je zdrojom aktuálnych informácií, ktoré vláda, podnikatelia, tvorcovia politík na štátnej a lokálnej úrovni používajú pre plánovanie a rozdeľovanie služieb, financií a iných prostriedkov vo všetkých oblastiach v rámci Slovenskej republiky (ďalej len „SR“). Údaje získané sčítaním predstavujú pre vládu a ďalších užívateľov hodnoverné informácie, ktoré podporujú plánovanie, administratívu, rozvoj politík a vyhodnocovanie ich aktivít.</w:t>
            </w:r>
            <w:r w:rsidRPr="00AA4C18">
              <w:rPr>
                <w:rFonts w:ascii="Times" w:hAnsi="Times" w:cs="Times"/>
                <w:sz w:val="20"/>
                <w:szCs w:val="20"/>
              </w:rPr>
              <w:br/>
            </w:r>
            <w:r w:rsidRPr="00AA4C18">
              <w:rPr>
                <w:rFonts w:ascii="Times" w:hAnsi="Times" w:cs="Times"/>
                <w:sz w:val="20"/>
                <w:szCs w:val="20"/>
              </w:rPr>
              <w:br/>
              <w:t xml:space="preserve">Sčítanie obyvateľov, domov a bytov je obsahovo najrozsiahlejšie štatistické zisťovanie, ktorým sa na Slovensku spravidla každých desať rokov získavajú údaje o obyvateľoch, domoch a bytoch. Sčítanie v roku 2021 bude súčasťou celosvetového programu populačných, domových a bytových cenzov pod záštitou Európskej únie a Organizácie Spojených národov. Z nariadenia Európskeho parlamentu a Rady (ES) č. 763/2008 z 9. júna 2008 o sčítaní obyvateľov, domov a bytov (Ú. v. EÚ L 218, 13.8.2008), ktoré </w:t>
            </w:r>
            <w:proofErr w:type="spellStart"/>
            <w:r w:rsidRPr="00AA4C18">
              <w:rPr>
                <w:rFonts w:ascii="Times" w:hAnsi="Times" w:cs="Times"/>
                <w:sz w:val="20"/>
                <w:szCs w:val="20"/>
              </w:rPr>
              <w:t>Eurostat</w:t>
            </w:r>
            <w:proofErr w:type="spellEnd"/>
            <w:r w:rsidRPr="00AA4C18">
              <w:rPr>
                <w:rFonts w:ascii="Times" w:hAnsi="Times" w:cs="Times"/>
                <w:sz w:val="20"/>
                <w:szCs w:val="20"/>
              </w:rPr>
              <w:t xml:space="preserve"> ponechal v platnosti aj pre rok 2021, členským štátom EÚ vyplýva povinnosť uskutočniť sčítanie v tom istom roku (2021) a zisťovať v ňom údaje podľa rovnakých, resp. porovnateľných definícií. So sčítaním v roku 2021 súvisia ďalšie vykonávacie nariadenia Európskej komisie, ktoré upravujú podrobnosti sčítania.</w:t>
            </w:r>
            <w:r w:rsidRPr="00AA4C18">
              <w:rPr>
                <w:rFonts w:ascii="Times" w:hAnsi="Times" w:cs="Times"/>
                <w:sz w:val="20"/>
                <w:szCs w:val="20"/>
              </w:rPr>
              <w:br/>
            </w:r>
            <w:r w:rsidRPr="00AA4C18">
              <w:rPr>
                <w:rFonts w:ascii="Times" w:hAnsi="Times" w:cs="Times"/>
                <w:sz w:val="20"/>
                <w:szCs w:val="20"/>
              </w:rPr>
              <w:br/>
              <w:t>Podľa § 15 ods. 1 zákona č. 540/2001 Z. z. o štátnej štatistike v znení zákona č. 157/2018 Z. z. je sčítanie obyvateľov, domov a bytov osobitným druhom štatistického zisťovania vykonávaným Štatistickým úradom SR (ďalej len „úrad“), ktoré je súčasťou štátnej štatistiky a ktorého obsah, rozsah a spôsob vykonania upravuje osobitný predpis.</w:t>
            </w:r>
            <w:r w:rsidRPr="00AA4C18">
              <w:rPr>
                <w:rFonts w:ascii="Times" w:hAnsi="Times" w:cs="Times"/>
                <w:sz w:val="20"/>
                <w:szCs w:val="20"/>
              </w:rPr>
              <w:br/>
            </w:r>
            <w:r w:rsidRPr="00AA4C18">
              <w:rPr>
                <w:rFonts w:ascii="Times" w:hAnsi="Times" w:cs="Times"/>
                <w:sz w:val="20"/>
                <w:szCs w:val="20"/>
              </w:rPr>
              <w:br/>
              <w:t xml:space="preserve">Ostatné sčítanie upravoval zákon č. 263/2008 Z. z. o sčítaní obyvateľov, domov a bytov v roku 2011 a ktorým sa mení a dopĺňa zákon č. 5/2004 Z. z. o službách zamestnanosti a o zmene a doplnení niektorých zákonov v znení neskorších predpisov. Z uvedeného je zrejmé, že pre budúce sčítanie obyvateľov, domov a bytov v roku 2021 musí byť prijatý nový osobitný zákon. </w:t>
            </w:r>
          </w:p>
        </w:tc>
      </w:tr>
      <w:tr w:rsidR="0076357A" w:rsidRPr="00AA4C18" w14:paraId="7F1C9E6D"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8B9E897"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3.  Ciele a výsledný stav</w:t>
            </w:r>
          </w:p>
        </w:tc>
      </w:tr>
      <w:tr w:rsidR="0076357A" w:rsidRPr="00AA4C18" w14:paraId="1ED4A1B4"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7F6B6EF" w14:textId="77777777" w:rsidR="0076357A" w:rsidRPr="00AA4C18" w:rsidRDefault="0076357A" w:rsidP="0076357A">
            <w:pPr>
              <w:rPr>
                <w:rFonts w:ascii="Times" w:hAnsi="Times" w:cs="Times"/>
                <w:sz w:val="20"/>
                <w:szCs w:val="20"/>
              </w:rPr>
            </w:pPr>
            <w:r w:rsidRPr="00AA4C18">
              <w:rPr>
                <w:rFonts w:ascii="Times" w:hAnsi="Times" w:cs="Times"/>
                <w:sz w:val="20"/>
                <w:szCs w:val="20"/>
              </w:rPr>
              <w:t>Cieľom predloženého návrhu zákona je upraviť podmienky sčítania obyvateľov, domov a bytov v roku 2021 tak, aby došlo k jeho riadnej a včasnej realizácii.</w:t>
            </w:r>
          </w:p>
        </w:tc>
      </w:tr>
      <w:tr w:rsidR="0076357A" w:rsidRPr="00AA4C18" w14:paraId="2CDA8535"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E4C36AD"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lastRenderedPageBreak/>
              <w:t>  4.  Dotknuté subjekty</w:t>
            </w:r>
          </w:p>
        </w:tc>
      </w:tr>
      <w:tr w:rsidR="0076357A" w:rsidRPr="00AA4C18" w14:paraId="4C530F9C"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6350D7B" w14:textId="77777777" w:rsidR="0076357A" w:rsidRPr="00AA4C18" w:rsidRDefault="0076357A" w:rsidP="0076357A">
            <w:pPr>
              <w:rPr>
                <w:rFonts w:ascii="Times" w:hAnsi="Times" w:cs="Times"/>
                <w:sz w:val="20"/>
                <w:szCs w:val="20"/>
              </w:rPr>
            </w:pPr>
            <w:r w:rsidRPr="00AA4C18">
              <w:rPr>
                <w:rFonts w:ascii="Times" w:hAnsi="Times" w:cs="Times"/>
                <w:sz w:val="20"/>
                <w:szCs w:val="20"/>
              </w:rPr>
              <w:t>Predložený návrh zákona sa priamo dotýka:</w:t>
            </w:r>
            <w:r w:rsidRPr="00AA4C18">
              <w:rPr>
                <w:rFonts w:ascii="Times" w:hAnsi="Times" w:cs="Times"/>
                <w:sz w:val="20"/>
                <w:szCs w:val="20"/>
              </w:rPr>
              <w:br/>
              <w:t>- povinných osôb pre sčítanie, ktorými sú:</w:t>
            </w:r>
            <w:r w:rsidRPr="00AA4C18">
              <w:rPr>
                <w:rFonts w:ascii="Times" w:hAnsi="Times" w:cs="Times"/>
                <w:sz w:val="20"/>
                <w:szCs w:val="20"/>
              </w:rPr>
              <w:br/>
              <w:t>a) obyvateľ, o ktorom sa údaje zisťujú, pričom za obyvateľa sa na účely tohto zákona rozumie:</w:t>
            </w:r>
            <w:r w:rsidRPr="00AA4C18">
              <w:rPr>
                <w:rFonts w:ascii="Times" w:hAnsi="Times" w:cs="Times"/>
                <w:sz w:val="20"/>
                <w:szCs w:val="20"/>
              </w:rPr>
              <w:br/>
              <w:t xml:space="preserve">1. štátny občan SR s trvalým alebo prechodným pobytom na území SR, </w:t>
            </w:r>
            <w:r w:rsidRPr="00AA4C18">
              <w:rPr>
                <w:rFonts w:ascii="Times" w:hAnsi="Times" w:cs="Times"/>
                <w:sz w:val="20"/>
                <w:szCs w:val="20"/>
              </w:rPr>
              <w:br/>
              <w:t xml:space="preserve">2. cudzinec s trvalým, prechodným alebo tolerovaným pobytom na území SR, okrem cudzinca požívajúceho diplomatické výsady a imunity na území SR podľa medzinárodného práva, </w:t>
            </w:r>
            <w:r w:rsidRPr="00AA4C18">
              <w:rPr>
                <w:rFonts w:ascii="Times" w:hAnsi="Times" w:cs="Times"/>
                <w:sz w:val="20"/>
                <w:szCs w:val="20"/>
              </w:rPr>
              <w:br/>
              <w:t>3. osoba s obvyklým pobytom na území SR,</w:t>
            </w:r>
            <w:r w:rsidRPr="00AA4C18">
              <w:rPr>
                <w:rFonts w:ascii="Times" w:hAnsi="Times" w:cs="Times"/>
                <w:sz w:val="20"/>
                <w:szCs w:val="20"/>
              </w:rPr>
              <w:br/>
              <w:t xml:space="preserve">b) zákonný zástupca obyvateľa, ak ide o neplnoletého obyvateľa, obyvateľa s obmedzenou spôsobilosťou na právne úkony alebo obyvateľa, ktorý nemôže sám poskytnúť údaje z iných dôvodov, </w:t>
            </w:r>
            <w:r w:rsidRPr="00AA4C18">
              <w:rPr>
                <w:rFonts w:ascii="Times" w:hAnsi="Times" w:cs="Times"/>
                <w:sz w:val="20"/>
                <w:szCs w:val="20"/>
              </w:rPr>
              <w:br/>
              <w:t xml:space="preserve">c) zriaďovateľ alebo zakladateľ zariadenia; ak takej osoby niet, štatutárny orgán zariadenia. </w:t>
            </w:r>
            <w:r w:rsidRPr="00AA4C18">
              <w:rPr>
                <w:rFonts w:ascii="Times" w:hAnsi="Times" w:cs="Times"/>
                <w:sz w:val="20"/>
                <w:szCs w:val="20"/>
              </w:rPr>
              <w:br/>
              <w:t>d) spoločenstvo vlastníkov bytov a nebytových priestorov a správca,</w:t>
            </w:r>
            <w:r w:rsidRPr="00AA4C18">
              <w:rPr>
                <w:rFonts w:ascii="Times" w:hAnsi="Times" w:cs="Times"/>
                <w:sz w:val="20"/>
                <w:szCs w:val="20"/>
              </w:rPr>
              <w:br/>
              <w:t>e) obec.</w:t>
            </w:r>
            <w:r w:rsidRPr="00AA4C18">
              <w:rPr>
                <w:rFonts w:ascii="Times" w:hAnsi="Times" w:cs="Times"/>
                <w:sz w:val="20"/>
                <w:szCs w:val="20"/>
              </w:rPr>
              <w:br/>
              <w:t>- osôb, ktoré budú vymenované za asistentov sčítania,</w:t>
            </w:r>
            <w:r w:rsidRPr="00AA4C18">
              <w:rPr>
                <w:rFonts w:ascii="Times" w:hAnsi="Times" w:cs="Times"/>
                <w:sz w:val="20"/>
                <w:szCs w:val="20"/>
              </w:rPr>
              <w:br/>
              <w:t>- ústredných orgánov štátnej správy:</w:t>
            </w:r>
            <w:r w:rsidRPr="00AA4C18">
              <w:rPr>
                <w:rFonts w:ascii="Times" w:hAnsi="Times" w:cs="Times"/>
                <w:sz w:val="20"/>
                <w:szCs w:val="20"/>
              </w:rPr>
              <w:br/>
              <w:t>a) Štatistický úrad SR,</w:t>
            </w:r>
            <w:r w:rsidRPr="00AA4C18">
              <w:rPr>
                <w:rFonts w:ascii="Times" w:hAnsi="Times" w:cs="Times"/>
                <w:sz w:val="20"/>
                <w:szCs w:val="20"/>
              </w:rPr>
              <w:br/>
              <w:t>b) Ministerstvo financií SR,</w:t>
            </w:r>
            <w:r w:rsidRPr="00AA4C18">
              <w:rPr>
                <w:rFonts w:ascii="Times" w:hAnsi="Times" w:cs="Times"/>
                <w:sz w:val="20"/>
                <w:szCs w:val="20"/>
              </w:rPr>
              <w:br/>
              <w:t>c) Ministerstvo obrany SR,</w:t>
            </w:r>
            <w:r w:rsidRPr="00AA4C18">
              <w:rPr>
                <w:rFonts w:ascii="Times" w:hAnsi="Times" w:cs="Times"/>
                <w:sz w:val="20"/>
                <w:szCs w:val="20"/>
              </w:rPr>
              <w:br/>
              <w:t>d) Ministerstvo kultúry SR,</w:t>
            </w:r>
            <w:r w:rsidRPr="00AA4C18">
              <w:rPr>
                <w:rFonts w:ascii="Times" w:hAnsi="Times" w:cs="Times"/>
                <w:sz w:val="20"/>
                <w:szCs w:val="20"/>
              </w:rPr>
              <w:br/>
              <w:t>e) Ministerstvo práce, sociálnych vecí a rodiny SR,</w:t>
            </w:r>
            <w:r w:rsidRPr="00AA4C18">
              <w:rPr>
                <w:rFonts w:ascii="Times" w:hAnsi="Times" w:cs="Times"/>
                <w:sz w:val="20"/>
                <w:szCs w:val="20"/>
              </w:rPr>
              <w:br/>
              <w:t>f) Ministerstvo spravodlivosti SR,</w:t>
            </w:r>
            <w:r w:rsidRPr="00AA4C18">
              <w:rPr>
                <w:rFonts w:ascii="Times" w:hAnsi="Times" w:cs="Times"/>
                <w:sz w:val="20"/>
                <w:szCs w:val="20"/>
              </w:rPr>
              <w:br/>
              <w:t>g) Ministerstvo vnútra SR,</w:t>
            </w:r>
            <w:r w:rsidRPr="00AA4C18">
              <w:rPr>
                <w:rFonts w:ascii="Times" w:hAnsi="Times" w:cs="Times"/>
                <w:sz w:val="20"/>
                <w:szCs w:val="20"/>
              </w:rPr>
              <w:br/>
              <w:t>h) Ministerstvo zahraničných vecí a európskych záležitostí SR,</w:t>
            </w:r>
            <w:r w:rsidRPr="00AA4C18">
              <w:rPr>
                <w:rFonts w:ascii="Times" w:hAnsi="Times" w:cs="Times"/>
                <w:sz w:val="20"/>
                <w:szCs w:val="20"/>
              </w:rPr>
              <w:br/>
              <w:t>i) Ministerstvo životného prostredia SR,</w:t>
            </w:r>
            <w:r w:rsidRPr="00AA4C18">
              <w:rPr>
                <w:rFonts w:ascii="Times" w:hAnsi="Times" w:cs="Times"/>
                <w:sz w:val="20"/>
                <w:szCs w:val="20"/>
              </w:rPr>
              <w:br/>
              <w:t>j) Ministerstvo školstva, vedy, výskumu a športu SR,</w:t>
            </w:r>
            <w:r w:rsidRPr="00AA4C18">
              <w:rPr>
                <w:rFonts w:ascii="Times" w:hAnsi="Times" w:cs="Times"/>
                <w:sz w:val="20"/>
                <w:szCs w:val="20"/>
              </w:rPr>
              <w:br/>
              <w:t>k) Úrad geodézie, kartografie a katastra SR,</w:t>
            </w:r>
            <w:r w:rsidRPr="00AA4C18">
              <w:rPr>
                <w:rFonts w:ascii="Times" w:hAnsi="Times" w:cs="Times"/>
                <w:sz w:val="20"/>
                <w:szCs w:val="20"/>
              </w:rPr>
              <w:br/>
              <w:t>- Úrad pre dohľad nad zdravotnou starostlivosťou,</w:t>
            </w:r>
            <w:r w:rsidRPr="00AA4C18">
              <w:rPr>
                <w:rFonts w:ascii="Times" w:hAnsi="Times" w:cs="Times"/>
                <w:sz w:val="20"/>
                <w:szCs w:val="20"/>
              </w:rPr>
              <w:br/>
              <w:t>- Sociálna poisťovňa,</w:t>
            </w:r>
            <w:r w:rsidRPr="00AA4C18">
              <w:rPr>
                <w:rFonts w:ascii="Times" w:hAnsi="Times" w:cs="Times"/>
                <w:sz w:val="20"/>
                <w:szCs w:val="20"/>
              </w:rPr>
              <w:br/>
              <w:t>- Zbor väzenskej a justičnej stráže,</w:t>
            </w:r>
            <w:r w:rsidRPr="00AA4C18">
              <w:rPr>
                <w:rFonts w:ascii="Times" w:hAnsi="Times" w:cs="Times"/>
                <w:sz w:val="20"/>
                <w:szCs w:val="20"/>
              </w:rPr>
              <w:br/>
              <w:t>- Finančné riaditeľstvo SR,</w:t>
            </w:r>
            <w:r w:rsidRPr="00AA4C18">
              <w:rPr>
                <w:rFonts w:ascii="Times" w:hAnsi="Times" w:cs="Times"/>
                <w:sz w:val="20"/>
                <w:szCs w:val="20"/>
              </w:rPr>
              <w:br/>
              <w:t>- Ústredie práce, sociálnych vecí a rodiny,</w:t>
            </w:r>
            <w:r w:rsidRPr="00AA4C18">
              <w:rPr>
                <w:rFonts w:ascii="Times" w:hAnsi="Times" w:cs="Times"/>
                <w:sz w:val="20"/>
                <w:szCs w:val="20"/>
              </w:rPr>
              <w:br/>
              <w:t xml:space="preserve">- ostatných subjektov verejnej moci, ktoré sú správcami informačných systémov verejnej správy, </w:t>
            </w:r>
            <w:r w:rsidRPr="00AA4C18">
              <w:rPr>
                <w:rFonts w:ascii="Times" w:hAnsi="Times" w:cs="Times"/>
                <w:sz w:val="20"/>
                <w:szCs w:val="20"/>
              </w:rPr>
              <w:br/>
              <w:t>- okresné úrady,</w:t>
            </w:r>
            <w:r w:rsidRPr="00AA4C18">
              <w:rPr>
                <w:rFonts w:ascii="Times" w:hAnsi="Times" w:cs="Times"/>
                <w:sz w:val="20"/>
                <w:szCs w:val="20"/>
              </w:rPr>
              <w:br/>
              <w:t>- obce pri prenesenom výkone štátnej správy pri príprave, priebehu a vykonaní sčítania,</w:t>
            </w:r>
            <w:r w:rsidRPr="00AA4C18">
              <w:rPr>
                <w:rFonts w:ascii="Times" w:hAnsi="Times" w:cs="Times"/>
                <w:sz w:val="20"/>
                <w:szCs w:val="20"/>
              </w:rPr>
              <w:br/>
              <w:t>- poštový podnik poskytujúci univerzálnu poštovú službu.</w:t>
            </w:r>
          </w:p>
        </w:tc>
      </w:tr>
      <w:tr w:rsidR="0076357A" w:rsidRPr="00AA4C18" w14:paraId="47D07087"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98AAB0A"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5.  Alternatívne riešenia</w:t>
            </w:r>
          </w:p>
        </w:tc>
      </w:tr>
      <w:tr w:rsidR="0076357A" w:rsidRPr="00AA4C18" w14:paraId="3793A078"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279D957" w14:textId="77777777" w:rsidR="0076357A" w:rsidRPr="00AA4C18" w:rsidRDefault="0076357A" w:rsidP="0076357A">
            <w:pPr>
              <w:rPr>
                <w:rFonts w:ascii="Times" w:hAnsi="Times" w:cs="Times"/>
                <w:sz w:val="20"/>
                <w:szCs w:val="20"/>
              </w:rPr>
            </w:pPr>
            <w:r w:rsidRPr="00AA4C18">
              <w:rPr>
                <w:rFonts w:ascii="Times" w:hAnsi="Times" w:cs="Times"/>
                <w:sz w:val="20"/>
                <w:szCs w:val="20"/>
              </w:rPr>
              <w:t>Úrad v rámci prípravy konceptu sčítania v roku 2021 zvažoval viaceré spôsoby jeho vykonania. Rozhodnutie nepokračovať v realizácii tradičných sčítaní v SR (zber všetkých údajov priamo od obyvateľov) ovplyvnila najmä vysoká administratívna záťaž respondentov a rastúca miera chýbajúcich odpovedí (</w:t>
            </w:r>
            <w:proofErr w:type="spellStart"/>
            <w:r w:rsidRPr="00AA4C18">
              <w:rPr>
                <w:rFonts w:ascii="Times" w:hAnsi="Times" w:cs="Times"/>
                <w:sz w:val="20"/>
                <w:szCs w:val="20"/>
              </w:rPr>
              <w:t>neodpovedí</w:t>
            </w:r>
            <w:proofErr w:type="spellEnd"/>
            <w:r w:rsidRPr="00AA4C18">
              <w:rPr>
                <w:rFonts w:ascii="Times" w:hAnsi="Times" w:cs="Times"/>
                <w:sz w:val="20"/>
                <w:szCs w:val="20"/>
              </w:rPr>
              <w:t>) na niektoré otázky zisťované v rámci sčítania. Sčítanie založené výlučne na registroch, resp. administratívnych zdrojoch údajov, sa vzhľadom na ich aktuálny stav v SR nedá v roku 2021 uskutočniť. Z hľadiska stanoveného cieľa „získať vzájomne prepojené, spoľahlivé, porovnateľné, unikátne údaje“ úrad vylúčil aj realizáciu sčítania v roku 2021 s využitím údajov z dostupných administratívnych zdrojov a údajov z výberového zisťovania. Takýmto spôsobom realizované sčítanie by nielenže nezabezpečilo požadované údaje za všetky územné úrovne, znížilo by rozsah jedinečných údajov, čím by sa stratila ich historická porovnateľnosť, ale vzhľadom na nutnosť oslovenia veľkej výberovej vzorky by sa pri tomto spôsobe vykonania sčítania nedosiahol ani očakávaný efekt zníženia administratívnej záťaže obyvateľov. Výhody tradičného sčítania a sčítania postaveného na administratívnych zdrojoch údajov najlepšie zohľadňuje integrované sčítanie, ktoré umožní kombinovať údaje získané od obyvateľov, z vybraných administratívnych zdrojov a registrov. Očakáva sa, že integrované sčítanie zvýši kvalitu údajov a informácií a tým, že sa využijú už existujúce zdroje údajov, bude toto sčítanie v porovnaní s predchádzajúcimi cenzami efektívnejšie.</w:t>
            </w:r>
          </w:p>
        </w:tc>
      </w:tr>
      <w:tr w:rsidR="0076357A" w:rsidRPr="00AA4C18" w14:paraId="07062B60"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357FE879"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6.  Vykonávacie predpisy</w:t>
            </w:r>
          </w:p>
        </w:tc>
      </w:tr>
      <w:tr w:rsidR="0076357A" w:rsidRPr="00AA4C18" w14:paraId="1D568BB1"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2BAA4F2" w14:textId="77777777" w:rsidR="0076357A" w:rsidRPr="00AA4C18" w:rsidRDefault="0076357A" w:rsidP="0076357A">
            <w:pPr>
              <w:rPr>
                <w:rFonts w:ascii="Times" w:hAnsi="Times" w:cs="Times"/>
                <w:sz w:val="20"/>
                <w:szCs w:val="20"/>
              </w:rPr>
            </w:pPr>
            <w:r w:rsidRPr="00AA4C18">
              <w:rPr>
                <w:rFonts w:ascii="Times" w:hAnsi="Times" w:cs="Times"/>
                <w:sz w:val="20"/>
                <w:szCs w:val="20"/>
              </w:rPr>
              <w:t>Predpokladá sa prijatie/zmena vykonávacích predpisov?                          </w:t>
            </w:r>
            <w:r w:rsidRPr="00AA4C18">
              <w:rPr>
                <w:rFonts w:ascii="Wingdings 2" w:hAnsi="Wingdings 2" w:cs="Times"/>
                <w:sz w:val="20"/>
                <w:szCs w:val="20"/>
              </w:rPr>
              <w:t></w:t>
            </w:r>
            <w:r w:rsidRPr="00AA4C18">
              <w:rPr>
                <w:rFonts w:ascii="Times" w:hAnsi="Times" w:cs="Times"/>
                <w:sz w:val="20"/>
                <w:szCs w:val="20"/>
              </w:rPr>
              <w:t>  Áno            </w:t>
            </w:r>
            <w:r w:rsidRPr="00AA4C18">
              <w:rPr>
                <w:rFonts w:ascii="Wingdings 2" w:hAnsi="Wingdings 2" w:cs="Times"/>
                <w:sz w:val="28"/>
                <w:szCs w:val="28"/>
              </w:rPr>
              <w:t></w:t>
            </w:r>
            <w:r w:rsidRPr="00AA4C18">
              <w:rPr>
                <w:rFonts w:ascii="Times" w:hAnsi="Times" w:cs="Times"/>
                <w:sz w:val="20"/>
                <w:szCs w:val="20"/>
              </w:rPr>
              <w:t>  Nie</w:t>
            </w:r>
            <w:r w:rsidRPr="00AA4C18">
              <w:rPr>
                <w:rFonts w:ascii="Times" w:hAnsi="Times" w:cs="Times"/>
                <w:sz w:val="20"/>
                <w:szCs w:val="20"/>
              </w:rPr>
              <w:br/>
              <w:t xml:space="preserve">Predpokladá sa vydanie opatrení úradu, ktoré sa vyhlásia uverejnením ich úplných znení v Zbierke zákonov Slovenskej republiky: </w:t>
            </w:r>
            <w:r w:rsidRPr="00AA4C18">
              <w:rPr>
                <w:rFonts w:ascii="Times" w:hAnsi="Times" w:cs="Times"/>
                <w:sz w:val="20"/>
                <w:szCs w:val="20"/>
              </w:rPr>
              <w:sym w:font="Symbol" w:char="F02D"/>
            </w:r>
            <w:r w:rsidRPr="00AA4C18">
              <w:rPr>
                <w:rFonts w:ascii="Times" w:hAnsi="Times" w:cs="Times"/>
                <w:sz w:val="20"/>
                <w:szCs w:val="20"/>
              </w:rPr>
              <w:t xml:space="preserve"> opatrenie úradu, ktoré ustanoví podrobnosti o charakteristikách a štruktúre zisťovaných údajov o témach podľa zoznamu, ktorý je prílohou návrhu zákona, podrobnosti o spôsobe a forme zisťovania údajov a vzory formulárov pre sčítanie obyvateľov a formulárov pre sčítanie domov a bytov ustanoví [§ 2 ods. 3 návrhu zákona]; </w:t>
            </w:r>
            <w:r w:rsidRPr="00AA4C18">
              <w:rPr>
                <w:rFonts w:ascii="Times" w:hAnsi="Times" w:cs="Times"/>
                <w:sz w:val="20"/>
                <w:szCs w:val="20"/>
              </w:rPr>
              <w:sym w:font="Symbol" w:char="F02D"/>
            </w:r>
            <w:r w:rsidRPr="00AA4C18">
              <w:rPr>
                <w:rFonts w:ascii="Times" w:hAnsi="Times" w:cs="Times"/>
                <w:sz w:val="20"/>
                <w:szCs w:val="20"/>
              </w:rPr>
              <w:t xml:space="preserve"> opatrenie úradu, ktoré ustanoví vzor preukazu asistenta sčítania, údaje a </w:t>
            </w:r>
            <w:r w:rsidRPr="00AA4C18">
              <w:rPr>
                <w:rFonts w:ascii="Times" w:hAnsi="Times" w:cs="Times"/>
                <w:sz w:val="20"/>
                <w:szCs w:val="20"/>
              </w:rPr>
              <w:lastRenderedPageBreak/>
              <w:t xml:space="preserve">náležitosti, ktoré preukaz asistenta sčítania obsahuje (§ 15 ods. 3 návrhu zákona), </w:t>
            </w:r>
            <w:r w:rsidRPr="00AA4C18">
              <w:rPr>
                <w:rFonts w:ascii="Times" w:hAnsi="Times" w:cs="Times"/>
                <w:sz w:val="20"/>
                <w:szCs w:val="20"/>
              </w:rPr>
              <w:sym w:font="Symbol" w:char="F02D"/>
            </w:r>
            <w:r w:rsidRPr="00AA4C18">
              <w:rPr>
                <w:rFonts w:ascii="Times" w:hAnsi="Times" w:cs="Times"/>
                <w:sz w:val="20"/>
                <w:szCs w:val="20"/>
              </w:rPr>
              <w:t xml:space="preserve"> opatrenie úradu o určení odmeny fyzickej osobe, ktorá nevykonáva činnosť asistenta sčítania v pracovnom pomere (§ 16 ods. 5 návrhu zákona); </w:t>
            </w:r>
            <w:r w:rsidRPr="00AA4C18">
              <w:rPr>
                <w:rFonts w:ascii="Times" w:hAnsi="Times" w:cs="Times"/>
                <w:sz w:val="20"/>
                <w:szCs w:val="20"/>
              </w:rPr>
              <w:sym w:font="Symbol" w:char="F02D"/>
            </w:r>
            <w:r w:rsidRPr="00AA4C18">
              <w:rPr>
                <w:rFonts w:ascii="Times" w:hAnsi="Times" w:cs="Times"/>
                <w:sz w:val="20"/>
                <w:szCs w:val="20"/>
              </w:rPr>
              <w:t xml:space="preserve"> opatrenie úradu, ktoré ustanoví podrobnosti o systéme identifikácie elektronickej identity obyvateľa a systém overenia elektronickej identity obyvateľa prostredníctvom jeho autentifikácie [§ 17 ods. 3 písm. c) návrhu zákona], </w:t>
            </w:r>
            <w:r w:rsidRPr="00AA4C18">
              <w:rPr>
                <w:rFonts w:ascii="Times" w:hAnsi="Times" w:cs="Times"/>
                <w:sz w:val="20"/>
                <w:szCs w:val="20"/>
              </w:rPr>
              <w:sym w:font="Symbol" w:char="F02D"/>
            </w:r>
            <w:r w:rsidRPr="00AA4C18">
              <w:rPr>
                <w:rFonts w:ascii="Times" w:hAnsi="Times" w:cs="Times"/>
                <w:sz w:val="20"/>
                <w:szCs w:val="20"/>
              </w:rPr>
              <w:t xml:space="preserve"> opatrenie úradu, ktoré ustanoví podmienky prevádzky kontaktného miesta (§ 18 ods. 3 návrhu zákona), </w:t>
            </w:r>
            <w:r w:rsidRPr="00AA4C18">
              <w:rPr>
                <w:rFonts w:ascii="Times" w:hAnsi="Times" w:cs="Times"/>
                <w:sz w:val="20"/>
                <w:szCs w:val="20"/>
              </w:rPr>
              <w:sym w:font="Symbol" w:char="F02D"/>
            </w:r>
            <w:r w:rsidRPr="00AA4C18">
              <w:rPr>
                <w:rFonts w:ascii="Times" w:hAnsi="Times" w:cs="Times"/>
                <w:sz w:val="20"/>
                <w:szCs w:val="20"/>
              </w:rPr>
              <w:t xml:space="preserve"> opatrenie úradu, ktoré ustanoví podrobnosti o technickom zabezpečení poskytovania údajov z administratívnych zdrojov (§ 23 ods. 1 návrhu zákona).</w:t>
            </w:r>
          </w:p>
        </w:tc>
      </w:tr>
      <w:tr w:rsidR="0076357A" w:rsidRPr="00AA4C18" w14:paraId="706679F3"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C39CC7C"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lastRenderedPageBreak/>
              <w:t xml:space="preserve">  7.  Transpozícia práva EÚ </w:t>
            </w:r>
          </w:p>
        </w:tc>
      </w:tr>
      <w:tr w:rsidR="0076357A" w:rsidRPr="00AA4C18" w14:paraId="7F14B4D0"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661555E" w14:textId="77777777" w:rsidR="0076357A" w:rsidRPr="00AA4C18" w:rsidRDefault="0076357A" w:rsidP="0076357A">
            <w:pPr>
              <w:rPr>
                <w:rFonts w:ascii="Times" w:hAnsi="Times" w:cs="Times"/>
                <w:sz w:val="20"/>
                <w:szCs w:val="20"/>
              </w:rPr>
            </w:pPr>
            <w:r w:rsidRPr="00AA4C18">
              <w:rPr>
                <w:rFonts w:ascii="Times" w:hAnsi="Times" w:cs="Times"/>
                <w:sz w:val="20"/>
                <w:szCs w:val="20"/>
              </w:rPr>
              <w:t>Materiál sa netýka transpozície práva EÚ.</w:t>
            </w:r>
          </w:p>
        </w:tc>
      </w:tr>
      <w:tr w:rsidR="0076357A" w:rsidRPr="00AA4C18" w14:paraId="61CEE5C7"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8697C35"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8.  Preskúmanie účelnosti**</w:t>
            </w:r>
          </w:p>
        </w:tc>
      </w:tr>
      <w:tr w:rsidR="0076357A" w:rsidRPr="00AA4C18" w14:paraId="36D9394A"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951EC0B" w14:textId="77777777" w:rsidR="0076357A" w:rsidRPr="00AA4C18" w:rsidRDefault="0076357A" w:rsidP="0076357A">
            <w:pPr>
              <w:rPr>
                <w:rFonts w:ascii="Times" w:hAnsi="Times" w:cs="Times"/>
                <w:b/>
                <w:bCs/>
                <w:sz w:val="22"/>
                <w:szCs w:val="22"/>
              </w:rPr>
            </w:pPr>
          </w:p>
        </w:tc>
      </w:tr>
    </w:tbl>
    <w:p w14:paraId="467796D0" w14:textId="77777777" w:rsidR="0076357A" w:rsidRPr="00AA4C18" w:rsidRDefault="0076357A" w:rsidP="0076357A">
      <w:pPr>
        <w:pStyle w:val="Normlnywebov"/>
        <w:spacing w:before="0" w:beforeAutospacing="0" w:after="0" w:afterAutospacing="0"/>
        <w:rPr>
          <w:bCs/>
          <w:sz w:val="22"/>
          <w:szCs w:val="22"/>
        </w:rPr>
      </w:pPr>
    </w:p>
    <w:p w14:paraId="74E1759D" w14:textId="77777777" w:rsidR="0076357A" w:rsidRPr="00AA4C18" w:rsidRDefault="0076357A" w:rsidP="0076357A">
      <w:pPr>
        <w:ind w:left="142" w:hanging="142"/>
        <w:rPr>
          <w:sz w:val="20"/>
          <w:szCs w:val="20"/>
        </w:rPr>
      </w:pPr>
      <w:r w:rsidRPr="00AA4C18">
        <w:rPr>
          <w:sz w:val="20"/>
          <w:szCs w:val="20"/>
        </w:rPr>
        <w:t xml:space="preserve">* vyplniť iba v prípade, ak materiál nie je zahrnutý do Plánu práce vlády Slovenskej republiky alebo Plánu        legislatívnych úloh vlády Slovenskej republiky. </w:t>
      </w:r>
    </w:p>
    <w:p w14:paraId="0869EFE4" w14:textId="77777777" w:rsidR="0076357A" w:rsidRPr="00AA4C18" w:rsidRDefault="0076357A" w:rsidP="0076357A">
      <w:pPr>
        <w:pStyle w:val="Normlnywebov"/>
        <w:spacing w:before="0" w:beforeAutospacing="0" w:after="0" w:afterAutospacing="0"/>
        <w:rPr>
          <w:sz w:val="20"/>
          <w:szCs w:val="20"/>
        </w:rPr>
      </w:pPr>
      <w:r w:rsidRPr="00AA4C18">
        <w:rPr>
          <w:sz w:val="20"/>
          <w:szCs w:val="20"/>
        </w:rPr>
        <w:t>** nepovinné</w:t>
      </w:r>
    </w:p>
    <w:p w14:paraId="6324A803" w14:textId="77777777" w:rsidR="0076357A" w:rsidRPr="00AA4C18" w:rsidRDefault="0076357A" w:rsidP="0076357A">
      <w:pPr>
        <w:pStyle w:val="Normlnywebov"/>
        <w:spacing w:before="0" w:beforeAutospacing="0" w:after="0" w:afterAutospacing="0"/>
        <w:rPr>
          <w:sz w:val="20"/>
          <w:szCs w:val="20"/>
        </w:rPr>
      </w:pPr>
    </w:p>
    <w:p w14:paraId="104E5F0C" w14:textId="77777777" w:rsidR="0076357A" w:rsidRPr="00AA4C18" w:rsidRDefault="0076357A" w:rsidP="0076357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76357A" w:rsidRPr="00AA4C18" w14:paraId="22BCC8FC" w14:textId="77777777" w:rsidTr="0076357A">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29A10EAD" w14:textId="77777777" w:rsidR="0076357A" w:rsidRPr="00AA4C18" w:rsidRDefault="0076357A" w:rsidP="0076357A">
            <w:pPr>
              <w:rPr>
                <w:rFonts w:ascii="Times" w:hAnsi="Times" w:cs="Times"/>
                <w:b/>
                <w:bCs/>
                <w:sz w:val="20"/>
                <w:szCs w:val="20"/>
              </w:rPr>
            </w:pPr>
            <w:r w:rsidRPr="00AA4C18">
              <w:rPr>
                <w:rFonts w:ascii="Times" w:hAnsi="Times" w:cs="Times"/>
                <w:b/>
                <w:bCs/>
                <w:sz w:val="20"/>
                <w:szCs w:val="20"/>
              </w:rPr>
              <w:t>  9.   Vplyvy navrhovaného materiálu</w:t>
            </w:r>
          </w:p>
        </w:tc>
      </w:tr>
      <w:tr w:rsidR="0076357A" w:rsidRPr="00AA4C18" w14:paraId="06D6C78D" w14:textId="77777777" w:rsidTr="0076357A">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F771F9F" w14:textId="77777777" w:rsidR="0076357A" w:rsidRPr="00AA4C18" w:rsidRDefault="0076357A" w:rsidP="0076357A">
            <w:pPr>
              <w:rPr>
                <w:rFonts w:ascii="Times" w:hAnsi="Times" w:cs="Times"/>
                <w:sz w:val="20"/>
                <w:szCs w:val="20"/>
              </w:rPr>
            </w:pPr>
            <w:r w:rsidRPr="00AA4C18">
              <w:rPr>
                <w:rFonts w:ascii="Times" w:hAnsi="Times" w:cs="Times"/>
                <w:b/>
                <w:bCs/>
                <w:sz w:val="20"/>
                <w:szCs w:val="20"/>
              </w:rPr>
              <w:t>  Vplyvy na rozpočet verejnej správy</w:t>
            </w:r>
            <w:r w:rsidRPr="00AA4C18">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804F9D1"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1F0A5B6"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120858"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Negatívne</w:t>
            </w:r>
          </w:p>
        </w:tc>
      </w:tr>
      <w:tr w:rsidR="0076357A" w:rsidRPr="00AA4C18" w14:paraId="629AD84C" w14:textId="77777777" w:rsidTr="0076357A">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8B22CCF" w14:textId="77777777" w:rsidR="0076357A" w:rsidRPr="00AA4C18" w:rsidRDefault="0076357A" w:rsidP="0076357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6DF111"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C5FA5C"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226574"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Čiastočne</w:t>
            </w:r>
          </w:p>
        </w:tc>
      </w:tr>
      <w:tr w:rsidR="0076357A" w:rsidRPr="00AA4C18" w14:paraId="2C2B8B33" w14:textId="77777777" w:rsidTr="0076357A">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968CE8C" w14:textId="77777777" w:rsidR="0076357A" w:rsidRPr="00AA4C18" w:rsidRDefault="0076357A" w:rsidP="0076357A">
            <w:pPr>
              <w:rPr>
                <w:rFonts w:ascii="Times" w:hAnsi="Times" w:cs="Times"/>
                <w:sz w:val="20"/>
                <w:szCs w:val="20"/>
              </w:rPr>
            </w:pPr>
            <w:r w:rsidRPr="00AA4C18">
              <w:rPr>
                <w:rFonts w:ascii="Times" w:hAnsi="Times" w:cs="Times"/>
                <w:b/>
                <w:bCs/>
                <w:sz w:val="20"/>
                <w:szCs w:val="20"/>
              </w:rPr>
              <w:t>  Vplyvy na podnikateľské prostredie</w:t>
            </w:r>
            <w:r w:rsidRPr="00AA4C18">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C8C31F"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F27C8A"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A092C5"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Negatívne</w:t>
            </w:r>
          </w:p>
        </w:tc>
      </w:tr>
      <w:tr w:rsidR="0076357A" w:rsidRPr="00AA4C18" w14:paraId="490E77D4" w14:textId="77777777" w:rsidTr="0076357A">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87F248" w14:textId="77777777" w:rsidR="0076357A" w:rsidRPr="00AA4C18" w:rsidRDefault="0076357A" w:rsidP="0076357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6663F7"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A15A9DD"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C22406C"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Negatívne</w:t>
            </w:r>
          </w:p>
        </w:tc>
      </w:tr>
      <w:tr w:rsidR="0076357A" w:rsidRPr="00AA4C18" w14:paraId="7B105C73" w14:textId="77777777" w:rsidTr="0076357A">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B17DEF3" w14:textId="77777777" w:rsidR="0076357A" w:rsidRPr="00AA4C18" w:rsidRDefault="0076357A" w:rsidP="0076357A">
            <w:pPr>
              <w:rPr>
                <w:rFonts w:ascii="Times" w:hAnsi="Times" w:cs="Times"/>
                <w:sz w:val="20"/>
                <w:szCs w:val="20"/>
              </w:rPr>
            </w:pPr>
            <w:r w:rsidRPr="00AA4C18">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DD0EF6F"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7E6964"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9DE2BE"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Negatívne</w:t>
            </w:r>
          </w:p>
        </w:tc>
      </w:tr>
      <w:tr w:rsidR="0076357A" w:rsidRPr="00AA4C18" w14:paraId="0A8A1D4C" w14:textId="77777777" w:rsidTr="0076357A">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DB7A848" w14:textId="77777777" w:rsidR="0076357A" w:rsidRPr="00AA4C18" w:rsidRDefault="0076357A" w:rsidP="0076357A">
            <w:pPr>
              <w:rPr>
                <w:rFonts w:ascii="Times" w:hAnsi="Times" w:cs="Times"/>
                <w:sz w:val="20"/>
                <w:szCs w:val="20"/>
              </w:rPr>
            </w:pPr>
            <w:r w:rsidRPr="00AA4C18">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9BF996A"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6D4761"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9584634"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Negatívne</w:t>
            </w:r>
          </w:p>
        </w:tc>
      </w:tr>
      <w:tr w:rsidR="0076357A" w:rsidRPr="00AA4C18" w14:paraId="77EA4DDD" w14:textId="77777777" w:rsidTr="0076357A">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F92AF5E" w14:textId="77777777" w:rsidR="0076357A" w:rsidRPr="00AA4C18" w:rsidRDefault="0076357A" w:rsidP="0076357A">
            <w:pPr>
              <w:rPr>
                <w:rFonts w:ascii="Times" w:hAnsi="Times" w:cs="Times"/>
                <w:sz w:val="20"/>
                <w:szCs w:val="20"/>
              </w:rPr>
            </w:pPr>
            <w:r w:rsidRPr="00AA4C18">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5EA348"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AADDFD"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133523"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Negatívne</w:t>
            </w:r>
          </w:p>
        </w:tc>
      </w:tr>
      <w:tr w:rsidR="0076357A" w:rsidRPr="00AA4C18" w14:paraId="3E276A5C" w14:textId="77777777" w:rsidTr="0076357A">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2BA026E" w14:textId="77777777" w:rsidR="0076357A" w:rsidRPr="00AA4C18" w:rsidRDefault="0076357A" w:rsidP="0076357A">
            <w:pPr>
              <w:rPr>
                <w:rFonts w:ascii="Times" w:hAnsi="Times" w:cs="Times"/>
                <w:sz w:val="20"/>
                <w:szCs w:val="20"/>
              </w:rPr>
            </w:pPr>
            <w:r w:rsidRPr="00AA4C18">
              <w:rPr>
                <w:rFonts w:ascii="Times" w:hAnsi="Times" w:cs="Times"/>
                <w:b/>
                <w:bCs/>
                <w:sz w:val="20"/>
                <w:szCs w:val="20"/>
              </w:rPr>
              <w:t>  Vplyvy na služby pre občana z toho</w:t>
            </w:r>
            <w:r w:rsidRPr="00AA4C18">
              <w:rPr>
                <w:rFonts w:ascii="Times" w:hAnsi="Times" w:cs="Times"/>
                <w:sz w:val="20"/>
                <w:szCs w:val="20"/>
              </w:rPr>
              <w:br/>
              <w:t>    vplyvy služieb verejnej správy na občana</w:t>
            </w:r>
            <w:r w:rsidRPr="00AA4C18">
              <w:rPr>
                <w:rFonts w:ascii="Times" w:hAnsi="Times" w:cs="Times"/>
                <w:sz w:val="20"/>
                <w:szCs w:val="20"/>
              </w:rPr>
              <w:br/>
              <w:t>    vplyvy na procesy služieb vo verejnej</w:t>
            </w:r>
            <w:r w:rsidRPr="00AA4C18">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4FC2C92" w14:textId="77777777" w:rsidR="0076357A" w:rsidRPr="00AA4C18" w:rsidRDefault="0076357A" w:rsidP="0076357A">
            <w:pPr>
              <w:rPr>
                <w:rFonts w:ascii="Times" w:hAnsi="Times" w:cs="Times"/>
                <w:sz w:val="20"/>
                <w:szCs w:val="20"/>
              </w:rPr>
            </w:pPr>
            <w:r w:rsidRPr="00AA4C18">
              <w:rPr>
                <w:rFonts w:ascii="Times" w:hAnsi="Times" w:cs="Times"/>
                <w:sz w:val="20"/>
                <w:szCs w:val="20"/>
              </w:rPr>
              <w:br/>
              <w:t xml:space="preserve">  </w:t>
            </w:r>
            <w:r w:rsidRPr="00AA4C18">
              <w:rPr>
                <w:rFonts w:ascii="Wingdings 2" w:hAnsi="Wingdings 2" w:cs="Times"/>
                <w:sz w:val="28"/>
                <w:szCs w:val="28"/>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946CB8F" w14:textId="77777777" w:rsidR="0076357A" w:rsidRPr="00AA4C18" w:rsidRDefault="0076357A" w:rsidP="0076357A">
            <w:pPr>
              <w:rPr>
                <w:rFonts w:ascii="Times" w:hAnsi="Times" w:cs="Times"/>
                <w:sz w:val="20"/>
                <w:szCs w:val="20"/>
              </w:rPr>
            </w:pPr>
            <w:r w:rsidRPr="00AA4C18">
              <w:rPr>
                <w:rFonts w:ascii="Times" w:hAnsi="Times" w:cs="Times"/>
                <w:sz w:val="20"/>
                <w:szCs w:val="20"/>
              </w:rPr>
              <w:br/>
              <w:t xml:space="preserve">  </w:t>
            </w:r>
            <w:r w:rsidRPr="00AA4C18">
              <w:rPr>
                <w:rFonts w:ascii="Wingdings 2" w:hAnsi="Wingdings 2" w:cs="Times"/>
                <w:sz w:val="20"/>
                <w:szCs w:val="20"/>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FC03B7" w14:textId="77777777" w:rsidR="0076357A" w:rsidRPr="00AA4C18" w:rsidRDefault="0076357A" w:rsidP="0076357A">
            <w:pPr>
              <w:rPr>
                <w:rFonts w:ascii="Times" w:hAnsi="Times" w:cs="Times"/>
                <w:sz w:val="20"/>
                <w:szCs w:val="20"/>
              </w:rPr>
            </w:pPr>
            <w:r w:rsidRPr="00AA4C18">
              <w:rPr>
                <w:rFonts w:ascii="Times" w:hAnsi="Times" w:cs="Times"/>
                <w:sz w:val="20"/>
                <w:szCs w:val="20"/>
              </w:rPr>
              <w:br/>
              <w:t xml:space="preserve">  </w:t>
            </w:r>
            <w:r w:rsidRPr="00AA4C18">
              <w:rPr>
                <w:rFonts w:ascii="Wingdings 2" w:hAnsi="Wingdings 2" w:cs="Times"/>
                <w:sz w:val="28"/>
                <w:szCs w:val="28"/>
              </w:rPr>
              <w:t></w:t>
            </w:r>
            <w:r w:rsidRPr="00AA4C18">
              <w:rPr>
                <w:rFonts w:ascii="Times" w:hAnsi="Times" w:cs="Times"/>
                <w:sz w:val="20"/>
                <w:szCs w:val="20"/>
              </w:rPr>
              <w:t xml:space="preserve">   Negatívne</w:t>
            </w:r>
          </w:p>
        </w:tc>
      </w:tr>
      <w:tr w:rsidR="0076357A" w:rsidRPr="00AA4C18" w14:paraId="4C33E302" w14:textId="77777777" w:rsidTr="0076357A">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280E09" w14:textId="77777777" w:rsidR="0076357A" w:rsidRPr="00AA4C18" w:rsidRDefault="0076357A" w:rsidP="0076357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0AF351A"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950B60"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E22F0D"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Negatívne</w:t>
            </w:r>
          </w:p>
        </w:tc>
      </w:tr>
      <w:tr w:rsidR="0076357A" w:rsidRPr="00AA4C18" w14:paraId="76161D0D" w14:textId="77777777" w:rsidTr="0076357A">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D98A308" w14:textId="77777777" w:rsidR="0076357A" w:rsidRPr="00AA4C18" w:rsidRDefault="0076357A" w:rsidP="0076357A">
            <w:pPr>
              <w:rPr>
                <w:rFonts w:ascii="Times" w:hAnsi="Times" w:cs="Times"/>
                <w:sz w:val="20"/>
                <w:szCs w:val="20"/>
              </w:rPr>
            </w:pPr>
            <w:r w:rsidRPr="00AA4C18">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B36BE8"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3F82D0"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0"/>
                <w:szCs w:val="20"/>
              </w:rPr>
              <w:t></w:t>
            </w:r>
            <w:r w:rsidRPr="00AA4C18">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8A561B" w14:textId="77777777" w:rsidR="0076357A" w:rsidRPr="00AA4C18" w:rsidRDefault="0076357A" w:rsidP="0076357A">
            <w:pPr>
              <w:rPr>
                <w:rFonts w:ascii="Times" w:hAnsi="Times" w:cs="Times"/>
                <w:sz w:val="20"/>
                <w:szCs w:val="20"/>
              </w:rPr>
            </w:pPr>
            <w:r w:rsidRPr="00AA4C18">
              <w:rPr>
                <w:rFonts w:ascii="Times" w:hAnsi="Times" w:cs="Times"/>
                <w:sz w:val="20"/>
                <w:szCs w:val="20"/>
              </w:rPr>
              <w:t xml:space="preserve">  </w:t>
            </w:r>
            <w:r w:rsidRPr="00AA4C18">
              <w:rPr>
                <w:rFonts w:ascii="Wingdings 2" w:hAnsi="Wingdings 2" w:cs="Times"/>
                <w:sz w:val="28"/>
                <w:szCs w:val="28"/>
              </w:rPr>
              <w:t></w:t>
            </w:r>
            <w:r w:rsidRPr="00AA4C18">
              <w:rPr>
                <w:rFonts w:ascii="Times" w:hAnsi="Times" w:cs="Times"/>
                <w:sz w:val="20"/>
                <w:szCs w:val="20"/>
              </w:rPr>
              <w:t xml:space="preserve">   Negatívne</w:t>
            </w:r>
          </w:p>
        </w:tc>
      </w:tr>
    </w:tbl>
    <w:p w14:paraId="4965745B" w14:textId="77777777" w:rsidR="0076357A" w:rsidRPr="00AA4C18" w:rsidRDefault="0076357A" w:rsidP="0076357A">
      <w:pPr>
        <w:pStyle w:val="Normlnywebov"/>
        <w:spacing w:before="0" w:beforeAutospacing="0" w:after="0" w:afterAutospacing="0"/>
        <w:rPr>
          <w:sz w:val="20"/>
          <w:szCs w:val="20"/>
        </w:rPr>
      </w:pPr>
    </w:p>
    <w:p w14:paraId="542DB1FB" w14:textId="77777777" w:rsidR="0076357A" w:rsidRPr="00AA4C18" w:rsidRDefault="0076357A" w:rsidP="0076357A">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28" w:type="dxa"/>
          <w:left w:w="57" w:type="dxa"/>
          <w:bottom w:w="28" w:type="dxa"/>
          <w:right w:w="57" w:type="dxa"/>
        </w:tblCellMar>
        <w:tblLook w:val="04A0" w:firstRow="1" w:lastRow="0" w:firstColumn="1" w:lastColumn="0" w:noHBand="0" w:noVBand="1"/>
      </w:tblPr>
      <w:tblGrid>
        <w:gridCol w:w="9056"/>
      </w:tblGrid>
      <w:tr w:rsidR="0076357A" w:rsidRPr="00AA4C18" w14:paraId="5DC1FE88"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811CBBD"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10.  Poznámky</w:t>
            </w:r>
          </w:p>
        </w:tc>
      </w:tr>
      <w:tr w:rsidR="0076357A" w:rsidRPr="00AA4C18" w14:paraId="3C53E479"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764E7E65" w14:textId="77777777" w:rsidR="0076357A" w:rsidRPr="00AA4C18" w:rsidRDefault="0076357A" w:rsidP="0076357A">
            <w:pPr>
              <w:rPr>
                <w:rFonts w:ascii="Times" w:hAnsi="Times" w:cs="Times"/>
                <w:sz w:val="20"/>
                <w:szCs w:val="20"/>
              </w:rPr>
            </w:pPr>
            <w:r w:rsidRPr="00AA4C18">
              <w:rPr>
                <w:rFonts w:ascii="Times" w:hAnsi="Times" w:cs="Times"/>
                <w:sz w:val="20"/>
                <w:szCs w:val="20"/>
              </w:rPr>
              <w:t>Vzhľadom na skutočnosť, že nesplnenie povinností súvisiacich so sčítaním bude sankcionované v záujme dosiahnutia cieľov sčítania, predpokladá sa pozitívny vplyv na rozpočet verejnej správy. Uviesť odhad navýšenia príjmov za vybrané pokuty však v súčasnosti nie je možné, keďže nie je možné dopredu určiť počet prípadov nesplnenia povinností podľa § 30 návrhu zákona.</w:t>
            </w:r>
          </w:p>
        </w:tc>
      </w:tr>
      <w:tr w:rsidR="0076357A" w:rsidRPr="00AA4C18" w14:paraId="7848121F"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970D27E"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11.  Kontakt na spracovateľa</w:t>
            </w:r>
          </w:p>
        </w:tc>
      </w:tr>
      <w:tr w:rsidR="0076357A" w:rsidRPr="00AA4C18" w14:paraId="4F5177AA"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7FEC3442" w14:textId="77777777" w:rsidR="0076357A" w:rsidRPr="00AA4C18" w:rsidRDefault="0076357A" w:rsidP="0076357A">
            <w:pPr>
              <w:widowControl/>
              <w:numPr>
                <w:ilvl w:val="0"/>
                <w:numId w:val="5"/>
              </w:numPr>
              <w:adjustRightInd/>
              <w:spacing w:before="100" w:beforeAutospacing="1" w:after="100" w:afterAutospacing="1"/>
              <w:jc w:val="both"/>
              <w:rPr>
                <w:rFonts w:ascii="Times" w:hAnsi="Times" w:cs="Times"/>
                <w:sz w:val="20"/>
                <w:szCs w:val="20"/>
              </w:rPr>
            </w:pPr>
            <w:r w:rsidRPr="00AA4C18">
              <w:rPr>
                <w:rFonts w:ascii="Times" w:hAnsi="Times" w:cs="Times"/>
                <w:sz w:val="20"/>
                <w:szCs w:val="20"/>
              </w:rPr>
              <w:t xml:space="preserve">PhDr. Ivančíková Ľudmila, PhD., e-mail: </w:t>
            </w:r>
            <w:hyperlink r:id="rId8" w:history="1">
              <w:r w:rsidRPr="00AA4C18">
                <w:rPr>
                  <w:rStyle w:val="Hypertextovprepojenie"/>
                  <w:rFonts w:ascii="Times" w:hAnsi="Times" w:cs="Times"/>
                  <w:color w:val="auto"/>
                  <w:sz w:val="20"/>
                  <w:szCs w:val="20"/>
                </w:rPr>
                <w:t>ludmila.ivancikova@statistics.sk</w:t>
              </w:r>
            </w:hyperlink>
            <w:r w:rsidRPr="00AA4C18">
              <w:rPr>
                <w:rStyle w:val="Zvraznenie"/>
                <w:rFonts w:ascii="Times" w:hAnsi="Times" w:cs="Times"/>
                <w:sz w:val="20"/>
                <w:szCs w:val="20"/>
              </w:rPr>
              <w:t xml:space="preserve"> – vecné aspekty sčítania, vplyvy na informatizáciu, vplyvy na podnikateľské prostredie,</w:t>
            </w:r>
          </w:p>
          <w:p w14:paraId="239DB1B4" w14:textId="77777777" w:rsidR="0076357A" w:rsidRPr="00AA4C18" w:rsidRDefault="0076357A" w:rsidP="0076357A">
            <w:pPr>
              <w:widowControl/>
              <w:numPr>
                <w:ilvl w:val="0"/>
                <w:numId w:val="5"/>
              </w:numPr>
              <w:adjustRightInd/>
              <w:spacing w:before="100" w:beforeAutospacing="1" w:after="100" w:afterAutospacing="1"/>
              <w:jc w:val="both"/>
              <w:rPr>
                <w:rFonts w:ascii="Times" w:hAnsi="Times" w:cs="Times"/>
                <w:sz w:val="20"/>
                <w:szCs w:val="20"/>
              </w:rPr>
            </w:pPr>
            <w:r w:rsidRPr="00AA4C18">
              <w:rPr>
                <w:rFonts w:ascii="Times" w:hAnsi="Times" w:cs="Times"/>
                <w:sz w:val="20"/>
                <w:szCs w:val="20"/>
              </w:rPr>
              <w:t xml:space="preserve">Ing. Ján Papol, e-mail: </w:t>
            </w:r>
            <w:hyperlink r:id="rId9" w:history="1">
              <w:r w:rsidRPr="00AA4C18">
                <w:rPr>
                  <w:rStyle w:val="Hypertextovprepojenie"/>
                  <w:rFonts w:ascii="Times" w:hAnsi="Times" w:cs="Times"/>
                  <w:color w:val="auto"/>
                  <w:sz w:val="20"/>
                  <w:szCs w:val="20"/>
                </w:rPr>
                <w:t>jan.papol@statistics.sk</w:t>
              </w:r>
            </w:hyperlink>
            <w:r w:rsidRPr="00AA4C18">
              <w:rPr>
                <w:rStyle w:val="Zvraznenie"/>
                <w:rFonts w:ascii="Times" w:hAnsi="Times" w:cs="Times"/>
                <w:sz w:val="20"/>
                <w:szCs w:val="20"/>
              </w:rPr>
              <w:t xml:space="preserve"> - vplyvy na rozpočet verejnej správy,</w:t>
            </w:r>
          </w:p>
          <w:p w14:paraId="73B70541" w14:textId="77777777" w:rsidR="0076357A" w:rsidRPr="00AA4C18" w:rsidRDefault="0076357A" w:rsidP="0076357A">
            <w:pPr>
              <w:widowControl/>
              <w:numPr>
                <w:ilvl w:val="0"/>
                <w:numId w:val="5"/>
              </w:numPr>
              <w:adjustRightInd/>
              <w:spacing w:before="100" w:beforeAutospacing="1" w:after="100" w:afterAutospacing="1"/>
              <w:jc w:val="both"/>
              <w:rPr>
                <w:rFonts w:ascii="Times" w:hAnsi="Times" w:cs="Times"/>
                <w:sz w:val="20"/>
                <w:szCs w:val="20"/>
              </w:rPr>
            </w:pPr>
            <w:r w:rsidRPr="00AA4C18">
              <w:rPr>
                <w:rFonts w:ascii="Times" w:hAnsi="Times" w:cs="Times"/>
                <w:sz w:val="20"/>
                <w:szCs w:val="20"/>
              </w:rPr>
              <w:t xml:space="preserve">JUDr. Mgr. Petra Szőkeová, e-mail: </w:t>
            </w:r>
            <w:hyperlink r:id="rId10" w:history="1">
              <w:r w:rsidRPr="00AA4C18">
                <w:rPr>
                  <w:rStyle w:val="Hypertextovprepojenie"/>
                  <w:rFonts w:ascii="Times" w:hAnsi="Times" w:cs="Times"/>
                  <w:color w:val="auto"/>
                  <w:sz w:val="20"/>
                  <w:szCs w:val="20"/>
                </w:rPr>
                <w:t>petra.szokeova@statistics.sk</w:t>
              </w:r>
            </w:hyperlink>
            <w:r w:rsidRPr="00AA4C18">
              <w:rPr>
                <w:rStyle w:val="Zvraznenie"/>
                <w:rFonts w:ascii="Times" w:hAnsi="Times" w:cs="Times"/>
                <w:sz w:val="20"/>
                <w:szCs w:val="20"/>
              </w:rPr>
              <w:t xml:space="preserve"> - legislatívny proces, právne aspekty.</w:t>
            </w:r>
          </w:p>
        </w:tc>
      </w:tr>
      <w:tr w:rsidR="0076357A" w:rsidRPr="00AA4C18" w14:paraId="5B44EB7F"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36881B7"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t>  12.  Zdroje</w:t>
            </w:r>
          </w:p>
        </w:tc>
      </w:tr>
      <w:tr w:rsidR="0076357A" w:rsidRPr="00AA4C18" w14:paraId="4C0C69AC" w14:textId="77777777" w:rsidTr="0076357A">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7E0B52CE"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 </w:t>
            </w:r>
          </w:p>
          <w:p w14:paraId="1374A9B7"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 xml:space="preserve">Štúdia uskutočniteľnosti o nových metódach sčítania domov a bytov v SR (Grant </w:t>
            </w:r>
            <w:proofErr w:type="spellStart"/>
            <w:r w:rsidRPr="00AA4C18">
              <w:rPr>
                <w:rFonts w:ascii="Times" w:hAnsi="Times" w:cs="Times"/>
                <w:sz w:val="20"/>
                <w:szCs w:val="20"/>
              </w:rPr>
              <w:t>agreement</w:t>
            </w:r>
            <w:proofErr w:type="spellEnd"/>
            <w:r w:rsidRPr="00AA4C18">
              <w:rPr>
                <w:rFonts w:ascii="Times" w:hAnsi="Times" w:cs="Times"/>
                <w:sz w:val="20"/>
                <w:szCs w:val="20"/>
              </w:rPr>
              <w:t xml:space="preserve">, </w:t>
            </w:r>
            <w:proofErr w:type="spellStart"/>
            <w:r w:rsidRPr="00AA4C18">
              <w:rPr>
                <w:rFonts w:ascii="Times" w:hAnsi="Times" w:cs="Times"/>
                <w:sz w:val="20"/>
                <w:szCs w:val="20"/>
              </w:rPr>
              <w:t>Number</w:t>
            </w:r>
            <w:proofErr w:type="spellEnd"/>
            <w:r w:rsidRPr="00AA4C18">
              <w:rPr>
                <w:rFonts w:ascii="Times" w:hAnsi="Times" w:cs="Times"/>
                <w:sz w:val="20"/>
                <w:szCs w:val="20"/>
              </w:rPr>
              <w:t xml:space="preserve"> 07121.2016.0052016.764, </w:t>
            </w:r>
            <w:proofErr w:type="spellStart"/>
            <w:r w:rsidRPr="00AA4C18">
              <w:rPr>
                <w:rFonts w:ascii="Times" w:hAnsi="Times" w:cs="Times"/>
                <w:sz w:val="20"/>
                <w:szCs w:val="20"/>
              </w:rPr>
              <w:t>Eurostat</w:t>
            </w:r>
            <w:proofErr w:type="spellEnd"/>
            <w:r w:rsidRPr="00AA4C18">
              <w:rPr>
                <w:rFonts w:ascii="Times" w:hAnsi="Times" w:cs="Times"/>
                <w:sz w:val="20"/>
                <w:szCs w:val="20"/>
              </w:rPr>
              <w:t>, 2018).</w:t>
            </w:r>
          </w:p>
          <w:p w14:paraId="7D9F9523"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lastRenderedPageBreak/>
              <w:t>Stratégia komunikácie a propagácie Sčítania obyvateľov, domov a bytov 2021.</w:t>
            </w:r>
          </w:p>
          <w:p w14:paraId="6E2960BD"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Štúdia uskutočniteľnosti z pohľadu Sčítania obyvateľov, domov a bytov 2021 výlučne na základe elektronického zberu údajov.</w:t>
            </w:r>
          </w:p>
          <w:p w14:paraId="44712AC5"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Štúdia zameraná na analýzu a identifikáciu medzinárodných prvkov dobrej praxe so zameraním na zber ukazovateľov trhu práce prostredníctvom cenzu.</w:t>
            </w:r>
          </w:p>
          <w:p w14:paraId="4482A800"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Štúdia uskutočniteľnosti získania dát pre integrované sčítanie obyvateľov, domov a bytov v roku 2021.</w:t>
            </w:r>
          </w:p>
          <w:p w14:paraId="6373D912"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Analýza a návrh spôsobu autentifikácie pre potreby sčítania obyvateľov, domov a bytov 2021.</w:t>
            </w:r>
          </w:p>
          <w:p w14:paraId="6E5B75E8"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Analýza a návrh spôsobu kódovania a spracovania premenných o trhu práce pre potreby sčítania obyvateľov, domov a bytov v roku 2021.</w:t>
            </w:r>
          </w:p>
          <w:p w14:paraId="45C7347A"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Analýza a návrh spôsobu šírenia výstupov zo Sčítania obyvateľov, domov a bytov 2021.</w:t>
            </w:r>
          </w:p>
          <w:p w14:paraId="0634F514"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Zasadnutie analytického tímu na zabezpečenie využitia údajov a metaúdajov z registrov a administratívnych zdrojov údajov pre sčítanie v roku 2021 (aktivita Národného akčného plánu Sčítania obyvateľov, domov a bytov 2021 na roky 2017 – 2020).</w:t>
            </w:r>
          </w:p>
          <w:p w14:paraId="38AAC20E"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Pravidelné zasadnutia pracovnej skupiny predsedu úradu na prípravu Sčítania obyvateľov, domov a bytov 2021.</w:t>
            </w:r>
          </w:p>
          <w:p w14:paraId="09E358FF"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Pravidelné zasadnutia Riadiaceho výboru úradu pre Sčítanie obyvateľov, domov a bytov 2021.</w:t>
            </w:r>
          </w:p>
          <w:p w14:paraId="71D9F42B"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Pravidelné zasadnutia pracovnej skupiny generálneho tajomníka služobného úradu pre rozpočet Sčítania obyvateľov, domov a bytov 2021.</w:t>
            </w:r>
          </w:p>
          <w:p w14:paraId="5179050A"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Vyhodnotenia dotazníka o dostupných zdrojoch údajov z hľadiska ich možného využitia na účely Sčítania obyvateľov, domov a bytov 2021.</w:t>
            </w:r>
          </w:p>
          <w:p w14:paraId="2AC32E5F"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Bilaterálne pracovné stretnutia s relevantnými zástupcami Ministerstva vnútra SR, Ministerstva práce, sociálnych vecí a rodiny SR, Ministerstva školstva, vedy výskumu a športu SR, Generálneho riaditeľstva zväzu väzenskej a justičnej stráže SR, Úradu geodézie, kartografie a katastra SR,  Sociálnej poisťovne, Úradu pre dohľad nad zdravotnou starostlivosťou, Finančného riaditeľstva SR, Združenia miest a obcí Slovenska, Únie miest Slovenska.</w:t>
            </w:r>
          </w:p>
          <w:p w14:paraId="1CD6AEE8"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Workshopy so zástupcami krajských pracovísk Štatistického úradu SR k jednotlivým etapám projektu sčítania v roku 2021.</w:t>
            </w:r>
          </w:p>
          <w:p w14:paraId="7300BD30"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Workshopy so zástupcami samosprávy, zástupcami vybraných ústredných orgánov štátnej správy a iných spolupracujúcich subjektov, zástupcami vedeckej a akademickej obce, kde bol predstavený nový koncept cenzu 2021.</w:t>
            </w:r>
          </w:p>
          <w:p w14:paraId="7E66E281" w14:textId="77777777" w:rsidR="0076357A" w:rsidRPr="00AA4C18" w:rsidRDefault="0076357A" w:rsidP="0076357A">
            <w:pPr>
              <w:widowControl/>
              <w:numPr>
                <w:ilvl w:val="0"/>
                <w:numId w:val="6"/>
              </w:numPr>
              <w:adjustRightInd/>
              <w:spacing w:before="100" w:beforeAutospacing="1" w:after="100" w:afterAutospacing="1"/>
              <w:rPr>
                <w:rFonts w:ascii="Times" w:hAnsi="Times" w:cs="Times"/>
                <w:sz w:val="20"/>
                <w:szCs w:val="20"/>
              </w:rPr>
            </w:pPr>
            <w:r w:rsidRPr="00AA4C18">
              <w:rPr>
                <w:rFonts w:ascii="Times" w:hAnsi="Times" w:cs="Times"/>
                <w:sz w:val="20"/>
                <w:szCs w:val="20"/>
              </w:rPr>
              <w:t>Vyhodnotenie verejnej diskusie k obsahu SODB 2021</w:t>
            </w:r>
          </w:p>
        </w:tc>
      </w:tr>
      <w:tr w:rsidR="0076357A" w:rsidRPr="00AA4C18" w14:paraId="687B65F6" w14:textId="77777777" w:rsidTr="0076357A">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33EBA3D" w14:textId="77777777" w:rsidR="0076357A" w:rsidRPr="00AA4C18" w:rsidRDefault="0076357A" w:rsidP="0076357A">
            <w:pPr>
              <w:rPr>
                <w:rFonts w:ascii="Times" w:hAnsi="Times" w:cs="Times"/>
                <w:b/>
                <w:bCs/>
                <w:sz w:val="22"/>
                <w:szCs w:val="22"/>
              </w:rPr>
            </w:pPr>
            <w:r w:rsidRPr="00AA4C18">
              <w:rPr>
                <w:rFonts w:ascii="Times" w:hAnsi="Times" w:cs="Times"/>
                <w:b/>
                <w:bCs/>
                <w:sz w:val="22"/>
                <w:szCs w:val="22"/>
              </w:rPr>
              <w:lastRenderedPageBreak/>
              <w:t>  13.  Stanovisko Komisie pre posudzovanie vybraných vplyvov z PPK</w:t>
            </w:r>
          </w:p>
        </w:tc>
      </w:tr>
      <w:tr w:rsidR="0076357A" w:rsidRPr="00AA4C18" w14:paraId="019D00E5" w14:textId="77777777" w:rsidTr="0076357A">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14:paraId="61038A39"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Uveďte stanovisko Komisie pre posudzovanie vybraných vplyvov, ktoré Vám bolo zaslané v rámci predbežného pripomienkového konania</w:t>
            </w:r>
          </w:p>
          <w:p w14:paraId="5FDA9036"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Komisia pre posudzovanie vybraných vplyvov vydala nasledujúce stanovisko k materiálu návrhu zákona o sčítaní v roku 2021 predloženého do PPK:</w:t>
            </w:r>
          </w:p>
          <w:p w14:paraId="5EDB49D9"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I. Úvod:</w:t>
            </w:r>
            <w:r w:rsidRPr="00AA4C18">
              <w:rPr>
                <w:rFonts w:ascii="Times" w:hAnsi="Times" w:cs="Times"/>
                <w:sz w:val="20"/>
                <w:szCs w:val="20"/>
              </w:rPr>
              <w:t xml:space="preserve"> Štatistický úrad Slovenskej republiky dňa 6. februára 2019 predložil Stálej pracovnej komisii na posudzovanie vybraných vplyvov (ďalej len „Komisia“) na predbežné pripomienkové konanie materiál: „Návrh zákona o sčítaní obyvateľov, domov a bytov v roku 2021“. Materiál predpokladá negatívne vplyvy na rozpočet verejnej správy, ktoré sú rozpočtovo zabezpečené, pozitívno-negatívne vplyvy na podnikateľské prostredie, vrátane pozitívno-negatívnych vplyvov na malé a stredné podniky a pozitívne vplyvy na informatizáciu.</w:t>
            </w:r>
          </w:p>
          <w:p w14:paraId="1DACE8B2"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II.</w:t>
            </w:r>
            <w:r w:rsidRPr="00AA4C18">
              <w:rPr>
                <w:rFonts w:ascii="Times" w:hAnsi="Times" w:cs="Times"/>
                <w:sz w:val="20"/>
                <w:szCs w:val="20"/>
              </w:rPr>
              <w:t xml:space="preserve"> Pripomienky a návrhy zmien: Komisia uplatňuje k materiálu nasledovné pripomienky a odporúčania:</w:t>
            </w:r>
          </w:p>
          <w:p w14:paraId="0D67A67F"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K vplyvom na informatizáciu</w:t>
            </w:r>
          </w:p>
          <w:p w14:paraId="5C6B0198"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 xml:space="preserve">Komisia žiada opraviť analýzu vplyvov na informatizáciu tak, aby boli v bode 6.2. uvedené údaje týkajúce sa informačných systémov, teda ich kódov a zapísanie systémov do </w:t>
            </w:r>
            <w:proofErr w:type="spellStart"/>
            <w:r w:rsidRPr="00AA4C18">
              <w:rPr>
                <w:rFonts w:ascii="Times" w:hAnsi="Times" w:cs="Times"/>
                <w:sz w:val="20"/>
                <w:szCs w:val="20"/>
              </w:rPr>
              <w:t>MetaIS</w:t>
            </w:r>
            <w:proofErr w:type="spellEnd"/>
            <w:r w:rsidRPr="00AA4C18">
              <w:rPr>
                <w:rFonts w:ascii="Times" w:hAnsi="Times" w:cs="Times"/>
                <w:sz w:val="20"/>
                <w:szCs w:val="20"/>
              </w:rPr>
              <w:t>.</w:t>
            </w:r>
          </w:p>
          <w:p w14:paraId="10290B8C"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lastRenderedPageBreak/>
              <w:t>III. Záver:</w:t>
            </w:r>
            <w:r w:rsidRPr="00AA4C18">
              <w:rPr>
                <w:rFonts w:ascii="Times" w:hAnsi="Times" w:cs="Times"/>
                <w:sz w:val="20"/>
                <w:szCs w:val="20"/>
              </w:rPr>
              <w:t xml:space="preserve"> Stála pracovná komisia na posudzovanie vybraných vplyvov vyjadruje nesúhlasné stanovisko s materiálom predloženým na predbežné pripomienkové konanie s odporúčaním na jeho dopracovanie podľa pripomienok v bode II. </w:t>
            </w:r>
          </w:p>
          <w:p w14:paraId="11ACBFD8"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IV. Poznámka:</w:t>
            </w:r>
            <w:r w:rsidRPr="00AA4C18">
              <w:rPr>
                <w:rFonts w:ascii="Times" w:hAnsi="Times" w:cs="Times"/>
                <w:sz w:val="20"/>
                <w:szCs w:val="20"/>
              </w:rPr>
              <w:t xml:space="preserve"> Predkladateľ zapracuje pripomienky a odporúčania na úpravu uvedené v bode II a uvedie stanovisko Komisie do Doložky vybraných vplyvov spolu s vyhodnotením pripomienok.</w:t>
            </w:r>
          </w:p>
          <w:p w14:paraId="2B488DF9"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Úrad akceptuje pripomienku Komisie pre posudzovanie vybraných vplyvov akceptuje. Údaje o oboch informačných systémoch budú vložené do systému META IS do 4. marca 2019. Oba systémy v ňom budú definované ako plánované. V materiáli návrhu zákona bude analýza vplyvov na informatizáciu aktualizovaná vo fáze pred predložením na rokovanie poradných orgánov vlády SR.</w:t>
            </w:r>
          </w:p>
          <w:p w14:paraId="197B4E65"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Ministerstvo financií Slovenskej republiky zaslalo k materiálu návrhu zákona o sčítaní v roku 2021 predloženému v PPK stanovisko po lehote určenej na zaslanie stanoviska Komisie pre posudzovanie vybraných vplyvov, ktoré obsahovalo nižšie uvedené pripomienky. K pripomienkam MF SR je uvedené ich vyhodnotenie úradom.</w:t>
            </w:r>
          </w:p>
          <w:p w14:paraId="2A7B305D"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1. Zásadná pripomienka</w:t>
            </w:r>
          </w:p>
          <w:p w14:paraId="52FB380D"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Podľa podkladov od Štatistického úradu SR predstavujú náklady na sčítanie obyvateľov, domov a bytov v roku 2021 spolu cca 57 mil. eur.</w:t>
            </w:r>
          </w:p>
          <w:tbl>
            <w:tblPr>
              <w:tblW w:w="90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6"/>
              <w:gridCol w:w="663"/>
              <w:gridCol w:w="765"/>
              <w:gridCol w:w="765"/>
              <w:gridCol w:w="664"/>
              <w:gridCol w:w="664"/>
              <w:gridCol w:w="664"/>
              <w:gridCol w:w="765"/>
            </w:tblGrid>
            <w:tr w:rsidR="0076357A" w:rsidRPr="00AA4C18" w14:paraId="73B7C777" w14:textId="77777777" w:rsidTr="0076357A">
              <w:trPr>
                <w:trHeight w:val="225"/>
                <w:tblCellSpacing w:w="0"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14:paraId="0AA22384" w14:textId="77777777" w:rsidR="0076357A" w:rsidRPr="00AA4C18" w:rsidRDefault="0076357A" w:rsidP="0076357A">
                  <w:pPr>
                    <w:pStyle w:val="Normlnywebov"/>
                    <w:jc w:val="center"/>
                  </w:pPr>
                  <w:r w:rsidRPr="00AA4C18">
                    <w:t>Vplyvy na rozpočet verejnej správy</w:t>
                  </w:r>
                </w:p>
              </w:tc>
              <w:tc>
                <w:tcPr>
                  <w:tcW w:w="4950" w:type="dxa"/>
                  <w:gridSpan w:val="7"/>
                  <w:tcBorders>
                    <w:top w:val="outset" w:sz="6" w:space="0" w:color="auto"/>
                    <w:left w:val="outset" w:sz="6" w:space="0" w:color="auto"/>
                    <w:bottom w:val="outset" w:sz="6" w:space="0" w:color="auto"/>
                    <w:right w:val="outset" w:sz="6" w:space="0" w:color="auto"/>
                  </w:tcBorders>
                  <w:vAlign w:val="center"/>
                  <w:hideMark/>
                </w:tcPr>
                <w:p w14:paraId="09393BCC" w14:textId="77777777" w:rsidR="0076357A" w:rsidRPr="00AA4C18" w:rsidRDefault="0076357A" w:rsidP="0076357A">
                  <w:pPr>
                    <w:pStyle w:val="Normlnywebov"/>
                    <w:jc w:val="center"/>
                  </w:pPr>
                  <w:r w:rsidRPr="00AA4C18">
                    <w:t>Vplyv na rozpočet verejnej správy (v mil. eur)</w:t>
                  </w:r>
                </w:p>
              </w:tc>
            </w:tr>
            <w:tr w:rsidR="0076357A" w:rsidRPr="00AA4C18" w14:paraId="388DF3B9" w14:textId="77777777" w:rsidTr="0076357A">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6C0F92" w14:textId="77777777" w:rsidR="0076357A" w:rsidRPr="00AA4C18" w:rsidRDefault="0076357A" w:rsidP="0076357A"/>
              </w:tc>
              <w:tc>
                <w:tcPr>
                  <w:tcW w:w="660" w:type="dxa"/>
                  <w:tcBorders>
                    <w:top w:val="outset" w:sz="6" w:space="0" w:color="auto"/>
                    <w:left w:val="outset" w:sz="6" w:space="0" w:color="auto"/>
                    <w:bottom w:val="outset" w:sz="6" w:space="0" w:color="auto"/>
                    <w:right w:val="outset" w:sz="6" w:space="0" w:color="auto"/>
                  </w:tcBorders>
                  <w:vAlign w:val="center"/>
                  <w:hideMark/>
                </w:tcPr>
                <w:p w14:paraId="089E513F" w14:textId="77777777" w:rsidR="0076357A" w:rsidRPr="00AA4C18" w:rsidRDefault="0076357A" w:rsidP="0076357A">
                  <w:pPr>
                    <w:pStyle w:val="Normlnywebov"/>
                    <w:jc w:val="center"/>
                  </w:pPr>
                  <w:r w:rsidRPr="00AA4C18">
                    <w:t>2019</w:t>
                  </w:r>
                </w:p>
              </w:tc>
              <w:tc>
                <w:tcPr>
                  <w:tcW w:w="765" w:type="dxa"/>
                  <w:tcBorders>
                    <w:top w:val="outset" w:sz="6" w:space="0" w:color="auto"/>
                    <w:left w:val="outset" w:sz="6" w:space="0" w:color="auto"/>
                    <w:bottom w:val="outset" w:sz="6" w:space="0" w:color="auto"/>
                    <w:right w:val="outset" w:sz="6" w:space="0" w:color="auto"/>
                  </w:tcBorders>
                  <w:vAlign w:val="center"/>
                  <w:hideMark/>
                </w:tcPr>
                <w:p w14:paraId="3C9FA572" w14:textId="77777777" w:rsidR="0076357A" w:rsidRPr="00AA4C18" w:rsidRDefault="0076357A" w:rsidP="0076357A">
                  <w:pPr>
                    <w:pStyle w:val="Normlnywebov"/>
                    <w:jc w:val="center"/>
                  </w:pPr>
                  <w:r w:rsidRPr="00AA4C18">
                    <w:t>2020</w:t>
                  </w:r>
                </w:p>
              </w:tc>
              <w:tc>
                <w:tcPr>
                  <w:tcW w:w="765" w:type="dxa"/>
                  <w:tcBorders>
                    <w:top w:val="outset" w:sz="6" w:space="0" w:color="auto"/>
                    <w:left w:val="outset" w:sz="6" w:space="0" w:color="auto"/>
                    <w:bottom w:val="outset" w:sz="6" w:space="0" w:color="auto"/>
                    <w:right w:val="outset" w:sz="6" w:space="0" w:color="auto"/>
                  </w:tcBorders>
                  <w:vAlign w:val="center"/>
                  <w:hideMark/>
                </w:tcPr>
                <w:p w14:paraId="539ACBCC" w14:textId="77777777" w:rsidR="0076357A" w:rsidRPr="00AA4C18" w:rsidRDefault="0076357A" w:rsidP="0076357A">
                  <w:pPr>
                    <w:pStyle w:val="Normlnywebov"/>
                    <w:jc w:val="center"/>
                  </w:pPr>
                  <w:r w:rsidRPr="00AA4C18">
                    <w:t>2021</w:t>
                  </w:r>
                </w:p>
              </w:tc>
              <w:tc>
                <w:tcPr>
                  <w:tcW w:w="660" w:type="dxa"/>
                  <w:tcBorders>
                    <w:top w:val="outset" w:sz="6" w:space="0" w:color="auto"/>
                    <w:left w:val="outset" w:sz="6" w:space="0" w:color="auto"/>
                    <w:bottom w:val="outset" w:sz="6" w:space="0" w:color="auto"/>
                    <w:right w:val="outset" w:sz="6" w:space="0" w:color="auto"/>
                  </w:tcBorders>
                  <w:vAlign w:val="center"/>
                  <w:hideMark/>
                </w:tcPr>
                <w:p w14:paraId="74893297" w14:textId="77777777" w:rsidR="0076357A" w:rsidRPr="00AA4C18" w:rsidRDefault="0076357A" w:rsidP="0076357A">
                  <w:pPr>
                    <w:pStyle w:val="Normlnywebov"/>
                    <w:jc w:val="center"/>
                  </w:pPr>
                  <w:r w:rsidRPr="00AA4C18">
                    <w:t>2022</w:t>
                  </w:r>
                </w:p>
              </w:tc>
              <w:tc>
                <w:tcPr>
                  <w:tcW w:w="660" w:type="dxa"/>
                  <w:tcBorders>
                    <w:top w:val="outset" w:sz="6" w:space="0" w:color="auto"/>
                    <w:left w:val="outset" w:sz="6" w:space="0" w:color="auto"/>
                    <w:bottom w:val="outset" w:sz="6" w:space="0" w:color="auto"/>
                    <w:right w:val="outset" w:sz="6" w:space="0" w:color="auto"/>
                  </w:tcBorders>
                  <w:vAlign w:val="center"/>
                  <w:hideMark/>
                </w:tcPr>
                <w:p w14:paraId="4E66B0C2" w14:textId="77777777" w:rsidR="0076357A" w:rsidRPr="00AA4C18" w:rsidRDefault="0076357A" w:rsidP="0076357A">
                  <w:pPr>
                    <w:pStyle w:val="Normlnywebov"/>
                    <w:jc w:val="center"/>
                  </w:pPr>
                  <w:r w:rsidRPr="00AA4C18">
                    <w:t>2023</w:t>
                  </w:r>
                </w:p>
              </w:tc>
              <w:tc>
                <w:tcPr>
                  <w:tcW w:w="660" w:type="dxa"/>
                  <w:tcBorders>
                    <w:top w:val="outset" w:sz="6" w:space="0" w:color="auto"/>
                    <w:left w:val="outset" w:sz="6" w:space="0" w:color="auto"/>
                    <w:bottom w:val="outset" w:sz="6" w:space="0" w:color="auto"/>
                    <w:right w:val="outset" w:sz="6" w:space="0" w:color="auto"/>
                  </w:tcBorders>
                  <w:vAlign w:val="center"/>
                  <w:hideMark/>
                </w:tcPr>
                <w:p w14:paraId="5497DD83" w14:textId="77777777" w:rsidR="0076357A" w:rsidRPr="00AA4C18" w:rsidRDefault="0076357A" w:rsidP="0076357A">
                  <w:pPr>
                    <w:pStyle w:val="Normlnywebov"/>
                    <w:jc w:val="center"/>
                  </w:pPr>
                  <w:r w:rsidRPr="00AA4C18">
                    <w:t>2024</w:t>
                  </w:r>
                </w:p>
              </w:tc>
              <w:tc>
                <w:tcPr>
                  <w:tcW w:w="765" w:type="dxa"/>
                  <w:tcBorders>
                    <w:top w:val="outset" w:sz="6" w:space="0" w:color="auto"/>
                    <w:left w:val="outset" w:sz="6" w:space="0" w:color="auto"/>
                    <w:bottom w:val="outset" w:sz="6" w:space="0" w:color="auto"/>
                    <w:right w:val="outset" w:sz="6" w:space="0" w:color="auto"/>
                  </w:tcBorders>
                  <w:vAlign w:val="center"/>
                  <w:hideMark/>
                </w:tcPr>
                <w:p w14:paraId="6119DF07" w14:textId="77777777" w:rsidR="0076357A" w:rsidRPr="00AA4C18" w:rsidRDefault="0076357A" w:rsidP="0076357A">
                  <w:pPr>
                    <w:pStyle w:val="Normlnywebov"/>
                    <w:jc w:val="center"/>
                  </w:pPr>
                  <w:r w:rsidRPr="00AA4C18">
                    <w:t>Spolu</w:t>
                  </w:r>
                </w:p>
              </w:tc>
            </w:tr>
            <w:tr w:rsidR="0076357A" w:rsidRPr="00AA4C18" w14:paraId="4440A2D6" w14:textId="77777777" w:rsidTr="0076357A">
              <w:trPr>
                <w:trHeight w:val="225"/>
                <w:tblCellSpacing w:w="0" w:type="dxa"/>
              </w:trPr>
              <w:tc>
                <w:tcPr>
                  <w:tcW w:w="4110" w:type="dxa"/>
                  <w:tcBorders>
                    <w:top w:val="outset" w:sz="6" w:space="0" w:color="auto"/>
                    <w:left w:val="outset" w:sz="6" w:space="0" w:color="auto"/>
                    <w:bottom w:val="outset" w:sz="6" w:space="0" w:color="auto"/>
                    <w:right w:val="outset" w:sz="6" w:space="0" w:color="auto"/>
                  </w:tcBorders>
                  <w:noWrap/>
                  <w:vAlign w:val="center"/>
                  <w:hideMark/>
                </w:tcPr>
                <w:p w14:paraId="38CBD46D" w14:textId="77777777" w:rsidR="0076357A" w:rsidRPr="00AA4C18" w:rsidRDefault="0076357A" w:rsidP="0076357A">
                  <w:pPr>
                    <w:pStyle w:val="Normlnywebov"/>
                  </w:pPr>
                  <w:r w:rsidRPr="00AA4C18">
                    <w:t>Výdavky verejnej správy celkom</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7EA139BA" w14:textId="77777777" w:rsidR="0076357A" w:rsidRPr="00AA4C18" w:rsidRDefault="0076357A" w:rsidP="0076357A">
                  <w:pPr>
                    <w:pStyle w:val="Normlnywebov"/>
                    <w:jc w:val="center"/>
                  </w:pPr>
                  <w:r w:rsidRPr="00AA4C18">
                    <w:t>7,1</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0A309680" w14:textId="77777777" w:rsidR="0076357A" w:rsidRPr="00AA4C18" w:rsidRDefault="0076357A" w:rsidP="0076357A">
                  <w:pPr>
                    <w:pStyle w:val="Normlnywebov"/>
                    <w:jc w:val="center"/>
                  </w:pPr>
                  <w:r w:rsidRPr="00AA4C18">
                    <w:t>23,5</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050A5EC8" w14:textId="77777777" w:rsidR="0076357A" w:rsidRPr="00AA4C18" w:rsidRDefault="0076357A" w:rsidP="0076357A">
                  <w:pPr>
                    <w:pStyle w:val="Normlnywebov"/>
                    <w:jc w:val="center"/>
                  </w:pPr>
                  <w:r w:rsidRPr="00AA4C18">
                    <w:t>20,1</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79E2CD8F" w14:textId="77777777" w:rsidR="0076357A" w:rsidRPr="00AA4C18" w:rsidRDefault="0076357A" w:rsidP="0076357A">
                  <w:pPr>
                    <w:pStyle w:val="Normlnywebov"/>
                    <w:jc w:val="center"/>
                  </w:pPr>
                  <w:r w:rsidRPr="00AA4C18">
                    <w:t>2,7</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0CF4DBEA" w14:textId="77777777" w:rsidR="0076357A" w:rsidRPr="00AA4C18" w:rsidRDefault="0076357A" w:rsidP="0076357A">
                  <w:pPr>
                    <w:pStyle w:val="Normlnywebov"/>
                    <w:jc w:val="center"/>
                  </w:pPr>
                  <w:r w:rsidRPr="00AA4C18">
                    <w:t>1,6</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28A56851" w14:textId="77777777" w:rsidR="0076357A" w:rsidRPr="00AA4C18" w:rsidRDefault="0076357A" w:rsidP="0076357A">
                  <w:pPr>
                    <w:pStyle w:val="Normlnywebov"/>
                    <w:jc w:val="center"/>
                  </w:pPr>
                  <w:r w:rsidRPr="00AA4C18">
                    <w:t>1,5</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6C9FA9C4" w14:textId="77777777" w:rsidR="0076357A" w:rsidRPr="00AA4C18" w:rsidRDefault="0076357A" w:rsidP="0076357A">
                  <w:pPr>
                    <w:pStyle w:val="Normlnywebov"/>
                    <w:jc w:val="center"/>
                  </w:pPr>
                  <w:r w:rsidRPr="00AA4C18">
                    <w:t>56,6</w:t>
                  </w:r>
                </w:p>
              </w:tc>
            </w:tr>
            <w:tr w:rsidR="0076357A" w:rsidRPr="00AA4C18" w14:paraId="2AB48CBB" w14:textId="77777777" w:rsidTr="0076357A">
              <w:trPr>
                <w:trHeight w:val="225"/>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14:paraId="7EB3D576" w14:textId="77777777" w:rsidR="0076357A" w:rsidRPr="00AA4C18" w:rsidRDefault="0076357A" w:rsidP="0076357A">
                  <w:pPr>
                    <w:pStyle w:val="Normlnywebov"/>
                  </w:pPr>
                  <w:r w:rsidRPr="00AA4C18">
                    <w:t>Rozpočtové prostriedky – kapitola ŠÚ SR – z toho:</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54111B62" w14:textId="77777777" w:rsidR="0076357A" w:rsidRPr="00AA4C18" w:rsidRDefault="0076357A" w:rsidP="0076357A">
                  <w:pPr>
                    <w:pStyle w:val="Normlnywebov"/>
                    <w:jc w:val="center"/>
                  </w:pPr>
                  <w:r w:rsidRPr="00AA4C18">
                    <w:t>7,1</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2F5460D5" w14:textId="77777777" w:rsidR="0076357A" w:rsidRPr="00AA4C18" w:rsidRDefault="0076357A" w:rsidP="0076357A">
                  <w:pPr>
                    <w:pStyle w:val="Normlnywebov"/>
                    <w:jc w:val="center"/>
                  </w:pPr>
                  <w:r w:rsidRPr="00AA4C18">
                    <w:t>10,9</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5313AA3D" w14:textId="77777777" w:rsidR="0076357A" w:rsidRPr="00AA4C18" w:rsidRDefault="0076357A" w:rsidP="0076357A">
                  <w:pPr>
                    <w:pStyle w:val="Normlnywebov"/>
                    <w:jc w:val="center"/>
                  </w:pPr>
                  <w:r w:rsidRPr="00AA4C18">
                    <w:t>6,2</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3476BE5A" w14:textId="77777777" w:rsidR="0076357A" w:rsidRPr="00AA4C18" w:rsidRDefault="0076357A" w:rsidP="0076357A">
                  <w:pPr>
                    <w:pStyle w:val="Normlnywebov"/>
                    <w:jc w:val="center"/>
                  </w:pPr>
                  <w:r w:rsidRPr="00AA4C18">
                    <w:t>2,7</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4A715484" w14:textId="77777777" w:rsidR="0076357A" w:rsidRPr="00AA4C18" w:rsidRDefault="0076357A" w:rsidP="0076357A">
                  <w:pPr>
                    <w:pStyle w:val="Normlnywebov"/>
                    <w:jc w:val="center"/>
                  </w:pPr>
                  <w:r w:rsidRPr="00AA4C18">
                    <w:t>1,6</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78C43347" w14:textId="77777777" w:rsidR="0076357A" w:rsidRPr="00AA4C18" w:rsidRDefault="0076357A" w:rsidP="0076357A">
                  <w:pPr>
                    <w:pStyle w:val="Normlnywebov"/>
                    <w:jc w:val="center"/>
                  </w:pPr>
                  <w:r w:rsidRPr="00AA4C18">
                    <w:t>1,5</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19F01724" w14:textId="77777777" w:rsidR="0076357A" w:rsidRPr="00AA4C18" w:rsidRDefault="0076357A" w:rsidP="0076357A">
                  <w:pPr>
                    <w:pStyle w:val="Normlnywebov"/>
                    <w:jc w:val="center"/>
                  </w:pPr>
                  <w:r w:rsidRPr="00AA4C18">
                    <w:t>30,0</w:t>
                  </w:r>
                </w:p>
              </w:tc>
            </w:tr>
            <w:tr w:rsidR="0076357A" w:rsidRPr="00AA4C18" w14:paraId="548F04AF" w14:textId="77777777" w:rsidTr="0076357A">
              <w:trPr>
                <w:trHeight w:val="225"/>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14:paraId="6B87B4CD" w14:textId="77777777" w:rsidR="0076357A" w:rsidRPr="00AA4C18" w:rsidRDefault="0076357A" w:rsidP="0076357A">
                  <w:pPr>
                    <w:pStyle w:val="Normlnywebov"/>
                  </w:pPr>
                  <w:r w:rsidRPr="00AA4C18">
                    <w:t>   - program 07V – Štatistické zisťovania</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503018A1" w14:textId="77777777" w:rsidR="0076357A" w:rsidRPr="00AA4C18" w:rsidRDefault="0076357A" w:rsidP="0076357A">
                  <w:pPr>
                    <w:pStyle w:val="Normlnywebov"/>
                    <w:jc w:val="center"/>
                  </w:pPr>
                  <w:r w:rsidRPr="00AA4C18">
                    <w:t>2,0</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602DB194" w14:textId="77777777" w:rsidR="0076357A" w:rsidRPr="00AA4C18" w:rsidRDefault="0076357A" w:rsidP="0076357A">
                  <w:pPr>
                    <w:pStyle w:val="Normlnywebov"/>
                    <w:jc w:val="center"/>
                  </w:pPr>
                  <w:r w:rsidRPr="00AA4C18">
                    <w:t>2,6</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5402537B" w14:textId="77777777" w:rsidR="0076357A" w:rsidRPr="00AA4C18" w:rsidRDefault="0076357A" w:rsidP="0076357A">
                  <w:pPr>
                    <w:pStyle w:val="Normlnywebov"/>
                    <w:jc w:val="center"/>
                  </w:pPr>
                  <w:r w:rsidRPr="00AA4C18">
                    <w:t>3,4</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784971EB" w14:textId="77777777" w:rsidR="0076357A" w:rsidRPr="00AA4C18" w:rsidRDefault="0076357A" w:rsidP="0076357A">
                  <w:pPr>
                    <w:pStyle w:val="Normlnywebov"/>
                    <w:jc w:val="center"/>
                  </w:pPr>
                  <w:r w:rsidRPr="00AA4C18">
                    <w:t>1,2</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34A43537" w14:textId="77777777" w:rsidR="0076357A" w:rsidRPr="00AA4C18" w:rsidRDefault="0076357A" w:rsidP="0076357A">
                  <w:pPr>
                    <w:pStyle w:val="Normlnywebov"/>
                    <w:jc w:val="center"/>
                  </w:pPr>
                  <w:r w:rsidRPr="00AA4C18">
                    <w:t>0,6</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1A9A47BD" w14:textId="77777777" w:rsidR="0076357A" w:rsidRPr="00AA4C18" w:rsidRDefault="0076357A" w:rsidP="0076357A">
                  <w:pPr>
                    <w:pStyle w:val="Normlnywebov"/>
                    <w:jc w:val="center"/>
                  </w:pPr>
                  <w:r w:rsidRPr="00AA4C18">
                    <w:t>0,5</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2BBEDF73" w14:textId="77777777" w:rsidR="0076357A" w:rsidRPr="00AA4C18" w:rsidRDefault="0076357A" w:rsidP="0076357A">
                  <w:pPr>
                    <w:pStyle w:val="Normlnywebov"/>
                    <w:jc w:val="center"/>
                  </w:pPr>
                  <w:r w:rsidRPr="00AA4C18">
                    <w:t>10,4</w:t>
                  </w:r>
                </w:p>
              </w:tc>
            </w:tr>
            <w:tr w:rsidR="0076357A" w:rsidRPr="00AA4C18" w14:paraId="5F82C1BB" w14:textId="77777777" w:rsidTr="0076357A">
              <w:trPr>
                <w:trHeight w:val="225"/>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14:paraId="0DB39979" w14:textId="77777777" w:rsidR="0076357A" w:rsidRPr="00AA4C18" w:rsidRDefault="0076357A" w:rsidP="0076357A">
                  <w:pPr>
                    <w:pStyle w:val="Normlnywebov"/>
                  </w:pPr>
                  <w:r w:rsidRPr="00AA4C18">
                    <w:t>   - program 0EKON - Informačné technológie zo ŠR</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3E138003" w14:textId="77777777" w:rsidR="0076357A" w:rsidRPr="00AA4C18" w:rsidRDefault="0076357A" w:rsidP="0076357A">
                  <w:pPr>
                    <w:pStyle w:val="Normlnywebov"/>
                    <w:jc w:val="center"/>
                  </w:pPr>
                  <w:r w:rsidRPr="00AA4C18">
                    <w:t>5,1</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0D22D0C1" w14:textId="77777777" w:rsidR="0076357A" w:rsidRPr="00AA4C18" w:rsidRDefault="0076357A" w:rsidP="0076357A">
                  <w:pPr>
                    <w:pStyle w:val="Normlnywebov"/>
                    <w:jc w:val="center"/>
                  </w:pPr>
                  <w:r w:rsidRPr="00AA4C18">
                    <w:t>8,3</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0BAF318A" w14:textId="77777777" w:rsidR="0076357A" w:rsidRPr="00AA4C18" w:rsidRDefault="0076357A" w:rsidP="0076357A">
                  <w:pPr>
                    <w:pStyle w:val="Normlnywebov"/>
                    <w:jc w:val="center"/>
                  </w:pPr>
                  <w:r w:rsidRPr="00AA4C18">
                    <w:t>2,8</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5B0C422A" w14:textId="77777777" w:rsidR="0076357A" w:rsidRPr="00AA4C18" w:rsidRDefault="0076357A" w:rsidP="0076357A">
                  <w:pPr>
                    <w:pStyle w:val="Normlnywebov"/>
                    <w:jc w:val="center"/>
                  </w:pPr>
                  <w:r w:rsidRPr="00AA4C18">
                    <w:t>1,5</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00532698" w14:textId="77777777" w:rsidR="0076357A" w:rsidRPr="00AA4C18" w:rsidRDefault="0076357A" w:rsidP="0076357A">
                  <w:pPr>
                    <w:pStyle w:val="Normlnywebov"/>
                    <w:jc w:val="center"/>
                  </w:pPr>
                  <w:r w:rsidRPr="00AA4C18">
                    <w:t>1,0</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10FC46D3" w14:textId="77777777" w:rsidR="0076357A" w:rsidRPr="00AA4C18" w:rsidRDefault="0076357A" w:rsidP="0076357A">
                  <w:pPr>
                    <w:pStyle w:val="Normlnywebov"/>
                    <w:jc w:val="center"/>
                  </w:pPr>
                  <w:r w:rsidRPr="00AA4C18">
                    <w:t>1,0</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3935C992" w14:textId="77777777" w:rsidR="0076357A" w:rsidRPr="00AA4C18" w:rsidRDefault="0076357A" w:rsidP="0076357A">
                  <w:pPr>
                    <w:pStyle w:val="Normlnywebov"/>
                    <w:jc w:val="center"/>
                  </w:pPr>
                  <w:r w:rsidRPr="00AA4C18">
                    <w:t>19,6</w:t>
                  </w:r>
                </w:p>
              </w:tc>
            </w:tr>
            <w:tr w:rsidR="0076357A" w:rsidRPr="00AA4C18" w14:paraId="10EB9B80" w14:textId="77777777" w:rsidTr="0076357A">
              <w:trPr>
                <w:trHeight w:val="225"/>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14:paraId="364F113B" w14:textId="77777777" w:rsidR="0076357A" w:rsidRPr="00AA4C18" w:rsidRDefault="0076357A" w:rsidP="0076357A">
                  <w:pPr>
                    <w:pStyle w:val="Normlnywebov"/>
                  </w:pPr>
                  <w:r w:rsidRPr="00AA4C18">
                    <w:t>Rozpočtové prostriedky – kapitola MV SR</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1254C64C" w14:textId="77777777" w:rsidR="0076357A" w:rsidRPr="00AA4C18" w:rsidRDefault="0076357A" w:rsidP="0076357A">
                  <w:pPr>
                    <w:pStyle w:val="Normlnywebov"/>
                    <w:jc w:val="center"/>
                  </w:pPr>
                  <w:r w:rsidRPr="00AA4C18">
                    <w:t>-</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59481E7C" w14:textId="77777777" w:rsidR="0076357A" w:rsidRPr="00AA4C18" w:rsidRDefault="0076357A" w:rsidP="0076357A">
                  <w:pPr>
                    <w:pStyle w:val="Normlnywebov"/>
                    <w:jc w:val="center"/>
                  </w:pPr>
                  <w:r w:rsidRPr="00AA4C18">
                    <w:t>0,3</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3EC662D3" w14:textId="77777777" w:rsidR="0076357A" w:rsidRPr="00AA4C18" w:rsidRDefault="0076357A" w:rsidP="0076357A">
                  <w:pPr>
                    <w:pStyle w:val="Normlnywebov"/>
                    <w:jc w:val="center"/>
                  </w:pPr>
                  <w:r w:rsidRPr="00AA4C18">
                    <w:t>-</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5BCA0215" w14:textId="77777777" w:rsidR="0076357A" w:rsidRPr="00AA4C18" w:rsidRDefault="0076357A" w:rsidP="0076357A">
                  <w:pPr>
                    <w:pStyle w:val="Normlnywebov"/>
                    <w:jc w:val="center"/>
                  </w:pPr>
                  <w:r w:rsidRPr="00AA4C18">
                    <w:t>-</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6FBEB9C4" w14:textId="77777777" w:rsidR="0076357A" w:rsidRPr="00AA4C18" w:rsidRDefault="0076357A" w:rsidP="0076357A">
                  <w:pPr>
                    <w:pStyle w:val="Normlnywebov"/>
                    <w:jc w:val="center"/>
                  </w:pPr>
                  <w:r w:rsidRPr="00AA4C18">
                    <w:t>-</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02E981C1" w14:textId="77777777" w:rsidR="0076357A" w:rsidRPr="00AA4C18" w:rsidRDefault="0076357A" w:rsidP="0076357A">
                  <w:pPr>
                    <w:pStyle w:val="Normlnywebov"/>
                    <w:jc w:val="center"/>
                  </w:pPr>
                  <w:r w:rsidRPr="00AA4C18">
                    <w:t>-</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53236BCE" w14:textId="77777777" w:rsidR="0076357A" w:rsidRPr="00AA4C18" w:rsidRDefault="0076357A" w:rsidP="0076357A">
                  <w:pPr>
                    <w:pStyle w:val="Normlnywebov"/>
                    <w:jc w:val="center"/>
                  </w:pPr>
                  <w:r w:rsidRPr="00AA4C18">
                    <w:t>0,3</w:t>
                  </w:r>
                </w:p>
              </w:tc>
            </w:tr>
            <w:tr w:rsidR="0076357A" w:rsidRPr="00AA4C18" w14:paraId="68DCD637" w14:textId="77777777" w:rsidTr="0076357A">
              <w:trPr>
                <w:trHeight w:val="225"/>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14:paraId="39B949ED" w14:textId="77777777" w:rsidR="0076357A" w:rsidRPr="00AA4C18" w:rsidRDefault="0076357A" w:rsidP="0076357A">
                  <w:pPr>
                    <w:pStyle w:val="Normlnywebov"/>
                  </w:pPr>
                  <w:r w:rsidRPr="00AA4C18">
                    <w:t>Obce – prenesený výkon štátnej správy</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1455ED6E" w14:textId="77777777" w:rsidR="0076357A" w:rsidRPr="00AA4C18" w:rsidRDefault="0076357A" w:rsidP="0076357A">
                  <w:pPr>
                    <w:pStyle w:val="Normlnywebov"/>
                    <w:jc w:val="center"/>
                  </w:pPr>
                  <w:r w:rsidRPr="00AA4C18">
                    <w:t>-</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3F8250C1" w14:textId="77777777" w:rsidR="0076357A" w:rsidRPr="00AA4C18" w:rsidRDefault="0076357A" w:rsidP="0076357A">
                  <w:pPr>
                    <w:pStyle w:val="Normlnywebov"/>
                    <w:jc w:val="center"/>
                  </w:pPr>
                  <w:r w:rsidRPr="00AA4C18">
                    <w:t>12,3</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0560D402" w14:textId="77777777" w:rsidR="0076357A" w:rsidRPr="00AA4C18" w:rsidRDefault="0076357A" w:rsidP="0076357A">
                  <w:pPr>
                    <w:pStyle w:val="Normlnywebov"/>
                    <w:jc w:val="center"/>
                  </w:pPr>
                  <w:r w:rsidRPr="00AA4C18">
                    <w:t>13,9</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6EB206AC" w14:textId="77777777" w:rsidR="0076357A" w:rsidRPr="00AA4C18" w:rsidRDefault="0076357A" w:rsidP="0076357A">
                  <w:pPr>
                    <w:pStyle w:val="Normlnywebov"/>
                    <w:jc w:val="center"/>
                  </w:pPr>
                  <w:r w:rsidRPr="00AA4C18">
                    <w:t>-</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3EB6EC4C" w14:textId="77777777" w:rsidR="0076357A" w:rsidRPr="00AA4C18" w:rsidRDefault="0076357A" w:rsidP="0076357A">
                  <w:pPr>
                    <w:pStyle w:val="Normlnywebov"/>
                    <w:jc w:val="center"/>
                  </w:pPr>
                  <w:r w:rsidRPr="00AA4C18">
                    <w:t>-</w:t>
                  </w:r>
                </w:p>
              </w:tc>
              <w:tc>
                <w:tcPr>
                  <w:tcW w:w="660" w:type="dxa"/>
                  <w:tcBorders>
                    <w:top w:val="outset" w:sz="6" w:space="0" w:color="auto"/>
                    <w:left w:val="outset" w:sz="6" w:space="0" w:color="auto"/>
                    <w:bottom w:val="outset" w:sz="6" w:space="0" w:color="auto"/>
                    <w:right w:val="outset" w:sz="6" w:space="0" w:color="auto"/>
                  </w:tcBorders>
                  <w:noWrap/>
                  <w:vAlign w:val="center"/>
                  <w:hideMark/>
                </w:tcPr>
                <w:p w14:paraId="0A93E42C" w14:textId="77777777" w:rsidR="0076357A" w:rsidRPr="00AA4C18" w:rsidRDefault="0076357A" w:rsidP="0076357A">
                  <w:pPr>
                    <w:pStyle w:val="Normlnywebov"/>
                    <w:jc w:val="center"/>
                  </w:pPr>
                  <w:r w:rsidRPr="00AA4C18">
                    <w:t>-</w:t>
                  </w:r>
                </w:p>
              </w:tc>
              <w:tc>
                <w:tcPr>
                  <w:tcW w:w="765" w:type="dxa"/>
                  <w:tcBorders>
                    <w:top w:val="outset" w:sz="6" w:space="0" w:color="auto"/>
                    <w:left w:val="outset" w:sz="6" w:space="0" w:color="auto"/>
                    <w:bottom w:val="outset" w:sz="6" w:space="0" w:color="auto"/>
                    <w:right w:val="outset" w:sz="6" w:space="0" w:color="auto"/>
                  </w:tcBorders>
                  <w:noWrap/>
                  <w:vAlign w:val="center"/>
                  <w:hideMark/>
                </w:tcPr>
                <w:p w14:paraId="66A5272D" w14:textId="77777777" w:rsidR="0076357A" w:rsidRPr="00AA4C18" w:rsidRDefault="0076357A" w:rsidP="0076357A">
                  <w:pPr>
                    <w:pStyle w:val="Normlnywebov"/>
                    <w:jc w:val="center"/>
                  </w:pPr>
                  <w:r w:rsidRPr="00AA4C18">
                    <w:t>26,3</w:t>
                  </w:r>
                </w:p>
              </w:tc>
            </w:tr>
          </w:tbl>
          <w:p w14:paraId="7B12F942"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Z predložených dokumentov nie je jasné, aké funkcie a technické parametre má spĺňať navrhovaný IT systém na zber údajov potrebných pre sčítanie z jednotlivých registrov, ktorého náklady na 6 rokov predstavujú 19,6 milióna eur. Keďže chýba technická a funkčná špecifikácia na potrebnej úrovni, nie je možné určiť, či sú očakávané náklady oprávnené. Na základe daného popisu funkcionalít a hrubého porovnania s rozpočtami schválených projektov, ktoré sa venujú podobnej problematike, sa môžu náklady pre porovnateľné systémy pohybovať v rozmedzí 1,9 – 12,6 mil. eur (6 rokov).</w:t>
            </w:r>
          </w:p>
          <w:tbl>
            <w:tblPr>
              <w:tblW w:w="91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615"/>
              <w:gridCol w:w="643"/>
              <w:gridCol w:w="643"/>
              <w:gridCol w:w="643"/>
              <w:gridCol w:w="643"/>
              <w:gridCol w:w="643"/>
              <w:gridCol w:w="886"/>
            </w:tblGrid>
            <w:tr w:rsidR="0076357A" w:rsidRPr="00AA4C18" w14:paraId="50F7E602"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noWrap/>
                  <w:vAlign w:val="center"/>
                  <w:hideMark/>
                </w:tcPr>
                <w:p w14:paraId="21F14DCB" w14:textId="77777777" w:rsidR="0076357A" w:rsidRPr="00AA4C18" w:rsidRDefault="0076357A" w:rsidP="0076357A">
                  <w:pPr>
                    <w:pStyle w:val="Normlnywebov"/>
                  </w:pPr>
                  <w:r w:rsidRPr="00AA4C18">
                    <w:t>Náklady porovnateľných IS</w:t>
                  </w:r>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41421F1E" w14:textId="77777777" w:rsidR="0076357A" w:rsidRPr="00AA4C18" w:rsidRDefault="0076357A" w:rsidP="0076357A">
                  <w:pPr>
                    <w:pStyle w:val="Normlnywebov"/>
                    <w:jc w:val="right"/>
                  </w:pPr>
                  <w:r w:rsidRPr="00AA4C18">
                    <w:t> </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0B0887C" w14:textId="77777777" w:rsidR="0076357A" w:rsidRPr="00AA4C18" w:rsidRDefault="0076357A" w:rsidP="0076357A">
                  <w:pPr>
                    <w:pStyle w:val="Normlnywebov"/>
                    <w:jc w:val="right"/>
                  </w:pPr>
                  <w:r w:rsidRPr="00AA4C18">
                    <w:t> </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F70B492" w14:textId="77777777" w:rsidR="0076357A" w:rsidRPr="00AA4C18" w:rsidRDefault="0076357A" w:rsidP="0076357A">
                  <w:pPr>
                    <w:pStyle w:val="Normlnywebov"/>
                    <w:jc w:val="right"/>
                  </w:pPr>
                  <w:r w:rsidRPr="00AA4C18">
                    <w:t> </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11CC0F5F" w14:textId="77777777" w:rsidR="0076357A" w:rsidRPr="00AA4C18" w:rsidRDefault="0076357A" w:rsidP="0076357A">
                  <w:pPr>
                    <w:pStyle w:val="Normlnywebov"/>
                    <w:jc w:val="right"/>
                  </w:pPr>
                  <w:r w:rsidRPr="00AA4C18">
                    <w:t> </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5C766A2E" w14:textId="77777777" w:rsidR="0076357A" w:rsidRPr="00AA4C18" w:rsidRDefault="0076357A" w:rsidP="0076357A">
                  <w:pPr>
                    <w:pStyle w:val="Normlnywebov"/>
                    <w:jc w:val="right"/>
                  </w:pPr>
                  <w:r w:rsidRPr="00AA4C18">
                    <w:t> </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45D4492B" w14:textId="77777777" w:rsidR="0076357A" w:rsidRPr="00AA4C18" w:rsidRDefault="0076357A" w:rsidP="0076357A">
                  <w:pPr>
                    <w:pStyle w:val="Normlnywebov"/>
                    <w:jc w:val="right"/>
                  </w:pPr>
                  <w:r w:rsidRPr="00AA4C18">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7C07C405" w14:textId="77777777" w:rsidR="0076357A" w:rsidRPr="00AA4C18" w:rsidRDefault="0076357A" w:rsidP="0076357A">
                  <w:pPr>
                    <w:pStyle w:val="Normlnywebov"/>
                    <w:jc w:val="right"/>
                  </w:pPr>
                  <w:r w:rsidRPr="00AA4C18">
                    <w:t> </w:t>
                  </w:r>
                </w:p>
              </w:tc>
            </w:tr>
            <w:tr w:rsidR="0076357A" w:rsidRPr="00AA4C18" w14:paraId="5B7C1637"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noWrap/>
                  <w:vAlign w:val="center"/>
                  <w:hideMark/>
                </w:tcPr>
                <w:p w14:paraId="513FADAC" w14:textId="77777777" w:rsidR="0076357A" w:rsidRPr="00AA4C18" w:rsidRDefault="0076357A" w:rsidP="0076357A">
                  <w:pPr>
                    <w:pStyle w:val="Normlnywebov"/>
                  </w:pPr>
                  <w:r w:rsidRPr="00AA4C18">
                    <w:t>(mil. eur)</w:t>
                  </w:r>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12F67C40" w14:textId="77777777" w:rsidR="0076357A" w:rsidRPr="00AA4C18" w:rsidRDefault="0076357A" w:rsidP="0076357A">
                  <w:pPr>
                    <w:pStyle w:val="Normlnywebov"/>
                    <w:jc w:val="right"/>
                  </w:pPr>
                  <w:r w:rsidRPr="00AA4C18">
                    <w:t>T1</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150951C9" w14:textId="77777777" w:rsidR="0076357A" w:rsidRPr="00AA4C18" w:rsidRDefault="0076357A" w:rsidP="0076357A">
                  <w:pPr>
                    <w:pStyle w:val="Normlnywebov"/>
                    <w:jc w:val="right"/>
                  </w:pPr>
                  <w:r w:rsidRPr="00AA4C18">
                    <w:t>T2</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19337C8" w14:textId="77777777" w:rsidR="0076357A" w:rsidRPr="00AA4C18" w:rsidRDefault="0076357A" w:rsidP="0076357A">
                  <w:pPr>
                    <w:pStyle w:val="Normlnywebov"/>
                    <w:jc w:val="right"/>
                  </w:pPr>
                  <w:r w:rsidRPr="00AA4C18">
                    <w:t>T3</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7CFAA22" w14:textId="77777777" w:rsidR="0076357A" w:rsidRPr="00AA4C18" w:rsidRDefault="0076357A" w:rsidP="0076357A">
                  <w:pPr>
                    <w:pStyle w:val="Normlnywebov"/>
                    <w:jc w:val="right"/>
                  </w:pPr>
                  <w:r w:rsidRPr="00AA4C18">
                    <w:t>T4</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64BE8FD9" w14:textId="77777777" w:rsidR="0076357A" w:rsidRPr="00AA4C18" w:rsidRDefault="0076357A" w:rsidP="0076357A">
                  <w:pPr>
                    <w:pStyle w:val="Normlnywebov"/>
                    <w:jc w:val="right"/>
                  </w:pPr>
                  <w:r w:rsidRPr="00AA4C18">
                    <w:t>T5</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7DA16C31" w14:textId="77777777" w:rsidR="0076357A" w:rsidRPr="00AA4C18" w:rsidRDefault="0076357A" w:rsidP="0076357A">
                  <w:pPr>
                    <w:pStyle w:val="Normlnywebov"/>
                    <w:jc w:val="right"/>
                  </w:pPr>
                  <w:r w:rsidRPr="00AA4C18">
                    <w:t>T6</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34C09760" w14:textId="77777777" w:rsidR="0076357A" w:rsidRPr="00AA4C18" w:rsidRDefault="0076357A" w:rsidP="0076357A">
                  <w:pPr>
                    <w:pStyle w:val="Normlnywebov"/>
                    <w:jc w:val="right"/>
                  </w:pPr>
                  <w:r w:rsidRPr="00AA4C18">
                    <w:t>Spolu</w:t>
                  </w:r>
                </w:p>
              </w:tc>
            </w:tr>
            <w:tr w:rsidR="0076357A" w:rsidRPr="00AA4C18" w14:paraId="4E5F4EC3"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426D1BBD" w14:textId="77777777" w:rsidR="0076357A" w:rsidRPr="00AA4C18" w:rsidRDefault="0076357A" w:rsidP="0076357A">
                  <w:pPr>
                    <w:pStyle w:val="Normlnywebov"/>
                  </w:pPr>
                  <w:r w:rsidRPr="00AA4C18">
                    <w:t>Elektronizácia služieb Národného inšpektorátu práce</w:t>
                  </w:r>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6ECE00BE" w14:textId="77777777" w:rsidR="0076357A" w:rsidRPr="00AA4C18" w:rsidRDefault="0076357A" w:rsidP="0076357A">
                  <w:pPr>
                    <w:pStyle w:val="Normlnywebov"/>
                    <w:jc w:val="right"/>
                  </w:pPr>
                  <w:r w:rsidRPr="00AA4C18">
                    <w:t>3,6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6FFF661E" w14:textId="77777777" w:rsidR="0076357A" w:rsidRPr="00AA4C18" w:rsidRDefault="0076357A" w:rsidP="0076357A">
                  <w:pPr>
                    <w:pStyle w:val="Normlnywebov"/>
                    <w:jc w:val="right"/>
                  </w:pPr>
                  <w:r w:rsidRPr="00AA4C18">
                    <w:t>2,2</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3FD78B9" w14:textId="77777777" w:rsidR="0076357A" w:rsidRPr="00AA4C18" w:rsidRDefault="0076357A" w:rsidP="0076357A">
                  <w:pPr>
                    <w:pStyle w:val="Normlnywebov"/>
                    <w:jc w:val="right"/>
                  </w:pPr>
                  <w:r w:rsidRPr="00AA4C18">
                    <w:t>0,5</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1E0D135F" w14:textId="77777777" w:rsidR="0076357A" w:rsidRPr="00AA4C18" w:rsidRDefault="0076357A" w:rsidP="0076357A">
                  <w:pPr>
                    <w:pStyle w:val="Normlnywebov"/>
                    <w:jc w:val="right"/>
                  </w:pPr>
                  <w:r w:rsidRPr="00AA4C18">
                    <w:t>0,5</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76ACE5E5" w14:textId="77777777" w:rsidR="0076357A" w:rsidRPr="00AA4C18" w:rsidRDefault="0076357A" w:rsidP="0076357A">
                  <w:pPr>
                    <w:pStyle w:val="Normlnywebov"/>
                    <w:jc w:val="right"/>
                  </w:pPr>
                  <w:r w:rsidRPr="00AA4C18">
                    <w:t>0,6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61FC7FD8" w14:textId="77777777" w:rsidR="0076357A" w:rsidRPr="00AA4C18" w:rsidRDefault="0076357A" w:rsidP="0076357A">
                  <w:pPr>
                    <w:pStyle w:val="Normlnywebov"/>
                    <w:jc w:val="right"/>
                  </w:pPr>
                  <w:r w:rsidRPr="00AA4C18">
                    <w:t>0,6</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2EC172D6" w14:textId="77777777" w:rsidR="0076357A" w:rsidRPr="00AA4C18" w:rsidRDefault="0076357A" w:rsidP="0076357A">
                  <w:pPr>
                    <w:pStyle w:val="Normlnywebov"/>
                    <w:jc w:val="right"/>
                  </w:pPr>
                  <w:r w:rsidRPr="00AA4C18">
                    <w:t>7,9</w:t>
                  </w:r>
                </w:p>
              </w:tc>
            </w:tr>
            <w:tr w:rsidR="0076357A" w:rsidRPr="00AA4C18" w14:paraId="5880E72B"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395D7292" w14:textId="77777777" w:rsidR="0076357A" w:rsidRPr="00AA4C18" w:rsidRDefault="0076357A" w:rsidP="0076357A">
                  <w:pPr>
                    <w:pStyle w:val="Normlnywebov"/>
                  </w:pPr>
                  <w:r w:rsidRPr="00AA4C18">
                    <w:t>Komplexný analytický nástroj pre podporu ekonomickej regulácie</w:t>
                  </w:r>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51011BD0" w14:textId="77777777" w:rsidR="0076357A" w:rsidRPr="00AA4C18" w:rsidRDefault="0076357A" w:rsidP="0076357A">
                  <w:pPr>
                    <w:pStyle w:val="Normlnywebov"/>
                    <w:jc w:val="right"/>
                  </w:pPr>
                  <w:r w:rsidRPr="00AA4C18">
                    <w:t>0,6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294CD0F" w14:textId="77777777" w:rsidR="0076357A" w:rsidRPr="00AA4C18" w:rsidRDefault="0076357A" w:rsidP="0076357A">
                  <w:pPr>
                    <w:pStyle w:val="Normlnywebov"/>
                    <w:jc w:val="right"/>
                  </w:pPr>
                  <w:r w:rsidRPr="00AA4C18">
                    <w:t>0,6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118B91C4" w14:textId="77777777" w:rsidR="0076357A" w:rsidRPr="00AA4C18" w:rsidRDefault="0076357A" w:rsidP="0076357A">
                  <w:pPr>
                    <w:pStyle w:val="Normlnywebov"/>
                    <w:jc w:val="right"/>
                  </w:pPr>
                  <w:r w:rsidRPr="00AA4C18">
                    <w:t>0,2</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263D376" w14:textId="77777777" w:rsidR="0076357A" w:rsidRPr="00AA4C18" w:rsidRDefault="0076357A" w:rsidP="0076357A">
                  <w:pPr>
                    <w:pStyle w:val="Normlnywebov"/>
                    <w:jc w:val="right"/>
                  </w:pPr>
                  <w:r w:rsidRPr="00AA4C18">
                    <w:t>0,1</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AB425BE" w14:textId="77777777" w:rsidR="0076357A" w:rsidRPr="00AA4C18" w:rsidRDefault="0076357A" w:rsidP="0076357A">
                  <w:pPr>
                    <w:pStyle w:val="Normlnywebov"/>
                    <w:jc w:val="right"/>
                  </w:pPr>
                  <w:r w:rsidRPr="00AA4C18">
                    <w:t>0,1</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C18B5A1" w14:textId="77777777" w:rsidR="0076357A" w:rsidRPr="00AA4C18" w:rsidRDefault="0076357A" w:rsidP="0076357A">
                  <w:pPr>
                    <w:pStyle w:val="Normlnywebov"/>
                    <w:jc w:val="right"/>
                  </w:pPr>
                  <w:r w:rsidRPr="00AA4C18">
                    <w:t>0,1</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4AFC9F87" w14:textId="77777777" w:rsidR="0076357A" w:rsidRPr="00AA4C18" w:rsidRDefault="0076357A" w:rsidP="0076357A">
                  <w:pPr>
                    <w:pStyle w:val="Normlnywebov"/>
                    <w:jc w:val="right"/>
                  </w:pPr>
                  <w:r w:rsidRPr="00AA4C18">
                    <w:t>1,9</w:t>
                  </w:r>
                </w:p>
              </w:tc>
            </w:tr>
            <w:tr w:rsidR="0076357A" w:rsidRPr="00AA4C18" w14:paraId="7A92DF02"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64313064" w14:textId="77777777" w:rsidR="0076357A" w:rsidRPr="00AA4C18" w:rsidRDefault="0076357A" w:rsidP="0076357A">
                  <w:pPr>
                    <w:pStyle w:val="Normlnywebov"/>
                  </w:pPr>
                  <w:r w:rsidRPr="00AA4C18">
                    <w:t xml:space="preserve">Online procesy </w:t>
                  </w:r>
                  <w:proofErr w:type="spellStart"/>
                  <w:r w:rsidRPr="00AA4C18">
                    <w:t>eZdravia</w:t>
                  </w:r>
                  <w:proofErr w:type="spellEnd"/>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4E1A4904" w14:textId="77777777" w:rsidR="0076357A" w:rsidRPr="00AA4C18" w:rsidRDefault="0076357A" w:rsidP="0076357A">
                  <w:pPr>
                    <w:pStyle w:val="Normlnywebov"/>
                    <w:jc w:val="right"/>
                  </w:pPr>
                  <w:r w:rsidRPr="00AA4C18">
                    <w:t>5,5</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616FEC60" w14:textId="77777777" w:rsidR="0076357A" w:rsidRPr="00AA4C18" w:rsidRDefault="0076357A" w:rsidP="0076357A">
                  <w:pPr>
                    <w:pStyle w:val="Normlnywebov"/>
                    <w:jc w:val="right"/>
                  </w:pPr>
                  <w:r w:rsidRPr="00AA4C18">
                    <w:t>3,0</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1DCC1B7C" w14:textId="77777777" w:rsidR="0076357A" w:rsidRPr="00AA4C18" w:rsidRDefault="0076357A" w:rsidP="0076357A">
                  <w:pPr>
                    <w:pStyle w:val="Normlnywebov"/>
                    <w:jc w:val="right"/>
                  </w:pPr>
                  <w:r w:rsidRPr="00AA4C18">
                    <w:t>1,0</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A471A25" w14:textId="77777777" w:rsidR="0076357A" w:rsidRPr="00AA4C18" w:rsidRDefault="0076357A" w:rsidP="0076357A">
                  <w:pPr>
                    <w:pStyle w:val="Normlnywebov"/>
                    <w:jc w:val="right"/>
                  </w:pPr>
                  <w:r w:rsidRPr="00AA4C18">
                    <w:t>1,0</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54C2DCD3" w14:textId="77777777" w:rsidR="0076357A" w:rsidRPr="00AA4C18" w:rsidRDefault="0076357A" w:rsidP="0076357A">
                  <w:pPr>
                    <w:pStyle w:val="Normlnywebov"/>
                    <w:jc w:val="right"/>
                  </w:pPr>
                  <w:r w:rsidRPr="00AA4C18">
                    <w:t>1,0</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529E6D42" w14:textId="77777777" w:rsidR="0076357A" w:rsidRPr="00AA4C18" w:rsidRDefault="0076357A" w:rsidP="0076357A">
                  <w:pPr>
                    <w:pStyle w:val="Normlnywebov"/>
                    <w:jc w:val="right"/>
                  </w:pPr>
                  <w:r w:rsidRPr="00AA4C18">
                    <w:t>1,0</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22D25851" w14:textId="77777777" w:rsidR="0076357A" w:rsidRPr="00AA4C18" w:rsidRDefault="0076357A" w:rsidP="0076357A">
                  <w:pPr>
                    <w:pStyle w:val="Normlnywebov"/>
                    <w:jc w:val="right"/>
                  </w:pPr>
                  <w:r w:rsidRPr="00AA4C18">
                    <w:t>12,6</w:t>
                  </w:r>
                </w:p>
              </w:tc>
            </w:tr>
            <w:tr w:rsidR="0076357A" w:rsidRPr="00AA4C18" w14:paraId="5EF6EDAA"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6F8249C8" w14:textId="77777777" w:rsidR="0076357A" w:rsidRPr="00AA4C18" w:rsidRDefault="0076357A" w:rsidP="0076357A">
                  <w:pPr>
                    <w:pStyle w:val="Normlnywebov"/>
                  </w:pPr>
                  <w:r w:rsidRPr="00AA4C18">
                    <w:t>Zefektívnenie štátneho dozoru v starostlivosti o životné prostredie</w:t>
                  </w:r>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745579CF" w14:textId="77777777" w:rsidR="0076357A" w:rsidRPr="00AA4C18" w:rsidRDefault="0076357A" w:rsidP="0076357A">
                  <w:pPr>
                    <w:pStyle w:val="Normlnywebov"/>
                    <w:jc w:val="right"/>
                  </w:pPr>
                  <w:r w:rsidRPr="00AA4C18">
                    <w:t>3,6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0E2EF9A8" w14:textId="77777777" w:rsidR="0076357A" w:rsidRPr="00AA4C18" w:rsidRDefault="0076357A" w:rsidP="0076357A">
                  <w:pPr>
                    <w:pStyle w:val="Normlnywebov"/>
                    <w:jc w:val="right"/>
                  </w:pPr>
                  <w:r w:rsidRPr="00AA4C18">
                    <w:t>5,5</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B2C5475" w14:textId="77777777" w:rsidR="0076357A" w:rsidRPr="00AA4C18" w:rsidRDefault="0076357A" w:rsidP="0076357A">
                  <w:pPr>
                    <w:pStyle w:val="Normlnywebov"/>
                    <w:jc w:val="right"/>
                  </w:pPr>
                  <w:r w:rsidRPr="00AA4C18">
                    <w:t>0,6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EB0EFB6" w14:textId="77777777" w:rsidR="0076357A" w:rsidRPr="00AA4C18" w:rsidRDefault="0076357A" w:rsidP="0076357A">
                  <w:pPr>
                    <w:pStyle w:val="Normlnywebov"/>
                    <w:jc w:val="right"/>
                  </w:pPr>
                  <w:r w:rsidRPr="00AA4C18">
                    <w:t>0,6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54E8DF79" w14:textId="77777777" w:rsidR="0076357A" w:rsidRPr="00AA4C18" w:rsidRDefault="0076357A" w:rsidP="0076357A">
                  <w:pPr>
                    <w:pStyle w:val="Normlnywebov"/>
                    <w:jc w:val="right"/>
                  </w:pPr>
                  <w:r w:rsidRPr="00AA4C18">
                    <w:t>0,6</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04D2144E" w14:textId="77777777" w:rsidR="0076357A" w:rsidRPr="00AA4C18" w:rsidRDefault="0076357A" w:rsidP="0076357A">
                  <w:pPr>
                    <w:pStyle w:val="Normlnywebov"/>
                    <w:jc w:val="right"/>
                  </w:pPr>
                  <w:r w:rsidRPr="00AA4C18">
                    <w:t>0,6</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0A61A4AB" w14:textId="77777777" w:rsidR="0076357A" w:rsidRPr="00AA4C18" w:rsidRDefault="0076357A" w:rsidP="0076357A">
                  <w:pPr>
                    <w:pStyle w:val="Normlnywebov"/>
                    <w:jc w:val="right"/>
                  </w:pPr>
                  <w:r w:rsidRPr="00AA4C18">
                    <w:t>11,3</w:t>
                  </w:r>
                </w:p>
              </w:tc>
            </w:tr>
            <w:tr w:rsidR="0076357A" w:rsidRPr="00AA4C18" w14:paraId="360EF4E4" w14:textId="77777777" w:rsidTr="0076357A">
              <w:trPr>
                <w:trHeight w:val="21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42087FC7" w14:textId="77777777" w:rsidR="0076357A" w:rsidRPr="00AA4C18" w:rsidRDefault="0076357A" w:rsidP="0076357A">
                  <w:pPr>
                    <w:pStyle w:val="Normlnywebov"/>
                  </w:pPr>
                  <w:r w:rsidRPr="00AA4C18">
                    <w:t>SODB 21</w:t>
                  </w:r>
                </w:p>
              </w:tc>
              <w:tc>
                <w:tcPr>
                  <w:tcW w:w="615" w:type="dxa"/>
                  <w:tcBorders>
                    <w:top w:val="outset" w:sz="6" w:space="0" w:color="auto"/>
                    <w:left w:val="outset" w:sz="6" w:space="0" w:color="auto"/>
                    <w:bottom w:val="outset" w:sz="6" w:space="0" w:color="auto"/>
                    <w:right w:val="outset" w:sz="6" w:space="0" w:color="auto"/>
                  </w:tcBorders>
                  <w:noWrap/>
                  <w:vAlign w:val="center"/>
                  <w:hideMark/>
                </w:tcPr>
                <w:p w14:paraId="5B1ADA25" w14:textId="77777777" w:rsidR="0076357A" w:rsidRPr="00AA4C18" w:rsidRDefault="0076357A" w:rsidP="0076357A">
                  <w:pPr>
                    <w:pStyle w:val="Normlnywebov"/>
                    <w:jc w:val="right"/>
                  </w:pPr>
                  <w:r w:rsidRPr="00AA4C18">
                    <w:t>5,1</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02FAA04" w14:textId="77777777" w:rsidR="0076357A" w:rsidRPr="00AA4C18" w:rsidRDefault="0076357A" w:rsidP="0076357A">
                  <w:pPr>
                    <w:pStyle w:val="Normlnywebov"/>
                    <w:jc w:val="right"/>
                  </w:pPr>
                  <w:r w:rsidRPr="00AA4C18">
                    <w:t>8,3</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2F9A167F" w14:textId="77777777" w:rsidR="0076357A" w:rsidRPr="00AA4C18" w:rsidRDefault="0076357A" w:rsidP="0076357A">
                  <w:pPr>
                    <w:pStyle w:val="Normlnywebov"/>
                    <w:jc w:val="right"/>
                  </w:pPr>
                  <w:r w:rsidRPr="00AA4C18">
                    <w:t>2,8</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455DE512" w14:textId="77777777" w:rsidR="0076357A" w:rsidRPr="00AA4C18" w:rsidRDefault="0076357A" w:rsidP="0076357A">
                  <w:pPr>
                    <w:pStyle w:val="Normlnywebov"/>
                    <w:jc w:val="right"/>
                  </w:pPr>
                  <w:r w:rsidRPr="00AA4C18">
                    <w:t>1,5</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3E29C2B3" w14:textId="77777777" w:rsidR="0076357A" w:rsidRPr="00AA4C18" w:rsidRDefault="0076357A" w:rsidP="0076357A">
                  <w:pPr>
                    <w:pStyle w:val="Normlnywebov"/>
                    <w:jc w:val="right"/>
                  </w:pPr>
                  <w:r w:rsidRPr="00AA4C18">
                    <w:t>1,0</w:t>
                  </w:r>
                </w:p>
              </w:tc>
              <w:tc>
                <w:tcPr>
                  <w:tcW w:w="645" w:type="dxa"/>
                  <w:tcBorders>
                    <w:top w:val="outset" w:sz="6" w:space="0" w:color="auto"/>
                    <w:left w:val="outset" w:sz="6" w:space="0" w:color="auto"/>
                    <w:bottom w:val="outset" w:sz="6" w:space="0" w:color="auto"/>
                    <w:right w:val="outset" w:sz="6" w:space="0" w:color="auto"/>
                  </w:tcBorders>
                  <w:noWrap/>
                  <w:vAlign w:val="center"/>
                  <w:hideMark/>
                </w:tcPr>
                <w:p w14:paraId="631F1ABA" w14:textId="77777777" w:rsidR="0076357A" w:rsidRPr="00AA4C18" w:rsidRDefault="0076357A" w:rsidP="0076357A">
                  <w:pPr>
                    <w:pStyle w:val="Normlnywebov"/>
                    <w:jc w:val="right"/>
                  </w:pPr>
                  <w:r w:rsidRPr="00AA4C18">
                    <w:t>1,0</w:t>
                  </w:r>
                </w:p>
              </w:tc>
              <w:tc>
                <w:tcPr>
                  <w:tcW w:w="900" w:type="dxa"/>
                  <w:tcBorders>
                    <w:top w:val="outset" w:sz="6" w:space="0" w:color="auto"/>
                    <w:left w:val="outset" w:sz="6" w:space="0" w:color="auto"/>
                    <w:bottom w:val="outset" w:sz="6" w:space="0" w:color="auto"/>
                    <w:right w:val="outset" w:sz="6" w:space="0" w:color="auto"/>
                  </w:tcBorders>
                  <w:noWrap/>
                  <w:vAlign w:val="center"/>
                  <w:hideMark/>
                </w:tcPr>
                <w:p w14:paraId="3B513946" w14:textId="77777777" w:rsidR="0076357A" w:rsidRPr="00AA4C18" w:rsidRDefault="0076357A" w:rsidP="0076357A">
                  <w:pPr>
                    <w:pStyle w:val="Normlnywebov"/>
                    <w:jc w:val="right"/>
                  </w:pPr>
                  <w:r w:rsidRPr="00AA4C18">
                    <w:t>19,6</w:t>
                  </w:r>
                </w:p>
              </w:tc>
            </w:tr>
          </w:tbl>
          <w:p w14:paraId="76D5AD16"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lastRenderedPageBreak/>
              <w:t>Nevyhnutnou časťou elektronického sčítania je vytvorenie jednotnej databázy domov a bytov. Projekt predpokladá, že údaje do databázy zozbierajú odplatne obce, odmenou bude transfer v hodnote 3,5 eura za každú sčítaciu jednotku. Náročnosť zberu týchto údajov nebola zmapovaná. Ďalší transfer pre obce prestavuje pokrytie personálnych a režijných nákladov spojených s výkonom sčítania spolu v objeme 17 mil. eur.</w:t>
            </w:r>
          </w:p>
          <w:tbl>
            <w:tblPr>
              <w:tblW w:w="90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1420"/>
              <w:gridCol w:w="1551"/>
            </w:tblGrid>
            <w:tr w:rsidR="0076357A" w:rsidRPr="00AA4C18" w14:paraId="03DABBEA"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7E5E1229" w14:textId="77777777" w:rsidR="0076357A" w:rsidRPr="00AA4C18" w:rsidRDefault="0076357A" w:rsidP="0076357A">
                  <w:pPr>
                    <w:pStyle w:val="Normlnywebov"/>
                  </w:pPr>
                  <w:r w:rsidRPr="00AA4C18">
                    <w:t>Výdavky obcí - prenesený výkon štátnej správy (eur)</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79EBA1C2" w14:textId="77777777" w:rsidR="0076357A" w:rsidRPr="00AA4C18" w:rsidRDefault="0076357A" w:rsidP="0076357A">
                  <w:pPr>
                    <w:pStyle w:val="Normlnywebov"/>
                    <w:jc w:val="right"/>
                  </w:pPr>
                  <w:r w:rsidRPr="00AA4C18">
                    <w:t>2020</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5FA97AD9" w14:textId="77777777" w:rsidR="0076357A" w:rsidRPr="00AA4C18" w:rsidRDefault="0076357A" w:rsidP="0076357A">
                  <w:pPr>
                    <w:pStyle w:val="Normlnywebov"/>
                    <w:jc w:val="right"/>
                  </w:pPr>
                  <w:r w:rsidRPr="00AA4C18">
                    <w:t>2021</w:t>
                  </w:r>
                </w:p>
              </w:tc>
            </w:tr>
            <w:tr w:rsidR="0076357A" w:rsidRPr="00AA4C18" w14:paraId="30B4D057"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7967B4C1" w14:textId="77777777" w:rsidR="0076357A" w:rsidRPr="00AA4C18" w:rsidRDefault="0076357A" w:rsidP="0076357A">
                  <w:pPr>
                    <w:pStyle w:val="Normlnywebov"/>
                  </w:pPr>
                  <w:r w:rsidRPr="00AA4C18">
                    <w:t>Sčítanie domov a bytov</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1A8E4B86" w14:textId="77777777" w:rsidR="0076357A" w:rsidRPr="00AA4C18" w:rsidRDefault="0076357A" w:rsidP="0076357A">
                  <w:pPr>
                    <w:pStyle w:val="Normlnywebov"/>
                    <w:jc w:val="right"/>
                  </w:pPr>
                  <w:r w:rsidRPr="00AA4C18">
                    <w:t>9 342 000</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5FF40D73" w14:textId="77777777" w:rsidR="0076357A" w:rsidRPr="00AA4C18" w:rsidRDefault="0076357A" w:rsidP="0076357A">
                  <w:pPr>
                    <w:pStyle w:val="Normlnywebov"/>
                    <w:jc w:val="right"/>
                  </w:pPr>
                  <w:r w:rsidRPr="00AA4C18">
                    <w:t> -</w:t>
                  </w:r>
                </w:p>
              </w:tc>
            </w:tr>
            <w:tr w:rsidR="0076357A" w:rsidRPr="00AA4C18" w14:paraId="2E45E92E"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23A97219" w14:textId="77777777" w:rsidR="0076357A" w:rsidRPr="00AA4C18" w:rsidRDefault="0076357A" w:rsidP="0076357A">
                  <w:pPr>
                    <w:pStyle w:val="Normlnywebov"/>
                  </w:pPr>
                  <w:r w:rsidRPr="00AA4C18">
                    <w:t>Kontaktné osoby</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368AF06A" w14:textId="77777777" w:rsidR="0076357A" w:rsidRPr="00AA4C18" w:rsidRDefault="0076357A" w:rsidP="0076357A">
                  <w:pPr>
                    <w:pStyle w:val="Normlnywebov"/>
                    <w:jc w:val="right"/>
                  </w:pPr>
                  <w:r w:rsidRPr="00AA4C18">
                    <w:t>-</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0B35E95A" w14:textId="77777777" w:rsidR="0076357A" w:rsidRPr="00AA4C18" w:rsidRDefault="0076357A" w:rsidP="0076357A">
                  <w:pPr>
                    <w:pStyle w:val="Normlnywebov"/>
                    <w:jc w:val="right"/>
                  </w:pPr>
                  <w:r w:rsidRPr="00AA4C18">
                    <w:t>3 960 000</w:t>
                  </w:r>
                </w:p>
              </w:tc>
            </w:tr>
            <w:tr w:rsidR="0076357A" w:rsidRPr="00AA4C18" w14:paraId="455CAB24"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4B0F4820" w14:textId="77777777" w:rsidR="0076357A" w:rsidRPr="00AA4C18" w:rsidRDefault="0076357A" w:rsidP="0076357A">
                  <w:pPr>
                    <w:pStyle w:val="Normlnywebov"/>
                  </w:pPr>
                  <w:r w:rsidRPr="00AA4C18">
                    <w:t>Asistenti stacionárni</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244ED93B" w14:textId="77777777" w:rsidR="0076357A" w:rsidRPr="00AA4C18" w:rsidRDefault="0076357A" w:rsidP="0076357A">
                  <w:pPr>
                    <w:pStyle w:val="Normlnywebov"/>
                    <w:jc w:val="right"/>
                  </w:pPr>
                  <w:r w:rsidRPr="00AA4C18">
                    <w:t> </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7FF06B98" w14:textId="77777777" w:rsidR="0076357A" w:rsidRPr="00AA4C18" w:rsidRDefault="0076357A" w:rsidP="0076357A">
                  <w:pPr>
                    <w:pStyle w:val="Normlnywebov"/>
                    <w:jc w:val="right"/>
                  </w:pPr>
                  <w:r w:rsidRPr="00AA4C18">
                    <w:t>1 674 000</w:t>
                  </w:r>
                </w:p>
              </w:tc>
            </w:tr>
            <w:tr w:rsidR="0076357A" w:rsidRPr="00AA4C18" w14:paraId="539B4185"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0F1E66E9" w14:textId="77777777" w:rsidR="0076357A" w:rsidRPr="00AA4C18" w:rsidRDefault="0076357A" w:rsidP="0076357A">
                  <w:pPr>
                    <w:pStyle w:val="Normlnywebov"/>
                  </w:pPr>
                  <w:r w:rsidRPr="00AA4C18">
                    <w:t>Asistenti mobilní</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1C5EC287" w14:textId="77777777" w:rsidR="0076357A" w:rsidRPr="00AA4C18" w:rsidRDefault="0076357A" w:rsidP="0076357A">
                  <w:pPr>
                    <w:pStyle w:val="Normlnywebov"/>
                    <w:jc w:val="right"/>
                  </w:pPr>
                  <w:r w:rsidRPr="00AA4C18">
                    <w:t> </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7A596C43" w14:textId="77777777" w:rsidR="0076357A" w:rsidRPr="00AA4C18" w:rsidRDefault="0076357A" w:rsidP="0076357A">
                  <w:pPr>
                    <w:pStyle w:val="Normlnywebov"/>
                    <w:jc w:val="right"/>
                  </w:pPr>
                  <w:r w:rsidRPr="00AA4C18">
                    <w:t>5 280 000</w:t>
                  </w:r>
                </w:p>
              </w:tc>
            </w:tr>
            <w:tr w:rsidR="0076357A" w:rsidRPr="00AA4C18" w14:paraId="3E427575"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062D7CD6" w14:textId="77777777" w:rsidR="0076357A" w:rsidRPr="00AA4C18" w:rsidRDefault="0076357A" w:rsidP="0076357A">
                  <w:pPr>
                    <w:pStyle w:val="Normlnywebov"/>
                  </w:pPr>
                  <w:r w:rsidRPr="00AA4C18">
                    <w:t>Réžia</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1A1AD857" w14:textId="77777777" w:rsidR="0076357A" w:rsidRPr="00AA4C18" w:rsidRDefault="0076357A" w:rsidP="0076357A">
                  <w:pPr>
                    <w:pStyle w:val="Normlnywebov"/>
                    <w:jc w:val="right"/>
                  </w:pPr>
                  <w:r w:rsidRPr="00AA4C18">
                    <w:t>3 000 000</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12EA36BC" w14:textId="77777777" w:rsidR="0076357A" w:rsidRPr="00AA4C18" w:rsidRDefault="0076357A" w:rsidP="0076357A">
                  <w:pPr>
                    <w:pStyle w:val="Normlnywebov"/>
                    <w:jc w:val="right"/>
                  </w:pPr>
                  <w:r w:rsidRPr="00AA4C18">
                    <w:t>3 000 000</w:t>
                  </w:r>
                </w:p>
              </w:tc>
            </w:tr>
            <w:tr w:rsidR="0076357A" w:rsidRPr="00AA4C18" w14:paraId="013A4564" w14:textId="77777777" w:rsidTr="0076357A">
              <w:trPr>
                <w:trHeight w:val="225"/>
                <w:tblCellSpacing w:w="0" w:type="dxa"/>
              </w:trPr>
              <w:tc>
                <w:tcPr>
                  <w:tcW w:w="6075" w:type="dxa"/>
                  <w:tcBorders>
                    <w:top w:val="outset" w:sz="6" w:space="0" w:color="auto"/>
                    <w:left w:val="outset" w:sz="6" w:space="0" w:color="auto"/>
                    <w:bottom w:val="outset" w:sz="6" w:space="0" w:color="auto"/>
                    <w:right w:val="outset" w:sz="6" w:space="0" w:color="auto"/>
                  </w:tcBorders>
                  <w:noWrap/>
                  <w:vAlign w:val="center"/>
                  <w:hideMark/>
                </w:tcPr>
                <w:p w14:paraId="16A0D4F6" w14:textId="77777777" w:rsidR="0076357A" w:rsidRPr="00AA4C18" w:rsidRDefault="0076357A" w:rsidP="0076357A">
                  <w:pPr>
                    <w:pStyle w:val="Normlnywebov"/>
                  </w:pPr>
                  <w:r w:rsidRPr="00AA4C18">
                    <w:t>SUMA</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33169179" w14:textId="77777777" w:rsidR="0076357A" w:rsidRPr="00AA4C18" w:rsidRDefault="0076357A" w:rsidP="0076357A">
                  <w:pPr>
                    <w:pStyle w:val="Normlnywebov"/>
                    <w:jc w:val="right"/>
                  </w:pPr>
                  <w:r w:rsidRPr="00AA4C18">
                    <w:t>12 342 000</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03D799F7" w14:textId="77777777" w:rsidR="0076357A" w:rsidRPr="00AA4C18" w:rsidRDefault="0076357A" w:rsidP="0076357A">
                  <w:pPr>
                    <w:pStyle w:val="Normlnywebov"/>
                    <w:jc w:val="right"/>
                  </w:pPr>
                  <w:r w:rsidRPr="00AA4C18">
                    <w:t>13 914 000</w:t>
                  </w:r>
                </w:p>
              </w:tc>
            </w:tr>
          </w:tbl>
          <w:p w14:paraId="3384CAB2"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Žiadame, aby náklady na IT systém (program 0EKON ) v doložke vplyvov na rozpočet verejnej správy boli v sumárnej výške najviac 10 mil. eur, namiesto súčasných 19,6 mil. eur.</w:t>
            </w:r>
          </w:p>
          <w:p w14:paraId="0860DF71"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Pripomienka je zásadná.</w:t>
            </w:r>
          </w:p>
          <w:p w14:paraId="0768A9B0"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 xml:space="preserve">2. Zásadná pripomienka </w:t>
            </w:r>
          </w:p>
          <w:p w14:paraId="55428689"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Zároveň žiadame pre IT časť projektu (19,6 mil. eur, program 0EKON) a časť projektu, ktorá zabezpečí vytvorenie registra domov a bytov (9,3 mil. eur, sčítanie domov a bytov) pripraviť štúdiu uskutočniteľnosti v súlade s „Rámcom na hodnotenie verejných investičných projektov v SR“ a tiež s „Metodickým pokynom k spracovaniu štúdii uskutočniteľnosti, finančnej analýzy projektu, analýzy nákladov a prínosov projektu, finančnej analýzy žiadateľa o NFP a Celkových nákladov na vlastníctvo v programovom období 2014 – 2020“ a predložiť ju na hodnotenie MF SR (Útvaru hodnoty za peniaze) pred vyhlásením verejného obstarávania.</w:t>
            </w:r>
          </w:p>
          <w:p w14:paraId="743023CD"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Štúdia uskutočniteľnosti by okrem iného mala:</w:t>
            </w:r>
          </w:p>
          <w:p w14:paraId="75DA5286"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-obsahovať podrobnejšiu technickú a funkčnú špecifikáciu, na základe ktorej bude možné lepšie odhadnúť očakávané náklady IT časti projektu;</w:t>
            </w:r>
          </w:p>
          <w:p w14:paraId="539CE3FA"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-preveriť a upresniť existujúce dátové zdroje potrebné pre vytvorenie registra domov a bytov (9,3 mil. eur);</w:t>
            </w:r>
          </w:p>
          <w:p w14:paraId="44E2CD0E"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-na základe dodatočných špecifickejších údajov o potrebných dátových zdrojoch upraviť a konkretizovať rozpočet pre vytvorenie registra domov a bytov.</w:t>
            </w:r>
          </w:p>
          <w:p w14:paraId="4BE166C1"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 nadväznosti na uvedené žiadame v analýze uviesť, že finančný rámec je indikatívny a bude upresnený v štúdii uskutočniteľnosti. Kvantifikácia všetkých výdavkov súvisiacich s realizáciou návrhu zákona vrátane prostriedkov na IT ŠÚ SR a návrh na ich financovanie budú upresňované v ďalšom legislatívnom procese po dopracovaní štúdie uskutočniteľnosti a na základe zverejneného hodnotenia MF SR.</w:t>
            </w:r>
          </w:p>
          <w:p w14:paraId="212FDDB2"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Pripomienka je zásadná.</w:t>
            </w:r>
          </w:p>
          <w:p w14:paraId="4458B880"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Stanovisko úradu k 1. a 2 . pripomienke:</w:t>
            </w:r>
          </w:p>
          <w:p w14:paraId="1AAAE13E"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Finančný rámec je indikatívny a bude upresnený v štúdii uskutočniteľnosti. Kvantifikácia všetkých výdavkov súvisiacich s realizáciou návrhu zákona vrátane prostriedkov na IT úradu a návrh na ich financovanie budú upresňované v ďalšom legislatívnom procese po dopracovaní štúdie uskutočniteľnosti a na základe hodnotenia MF SR.</w:t>
            </w:r>
          </w:p>
          <w:p w14:paraId="288FB9BA"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 xml:space="preserve">Ďalej uvádzame, tak ako sme už informovali Útvar hodnoty za peniaze (ďalej len „UHP“), že cieľom projektu SODB 2021 nie je vytvorenie referenčného registra domov a bytov, ale sčítanie domov a bytov (a obyvateľov). Výstupom zo štatistického zisťovania a následného spracovania získaných údajov a údajov zo zberu z terénu </w:t>
            </w:r>
            <w:r w:rsidRPr="00AA4C18">
              <w:rPr>
                <w:rFonts w:ascii="Times" w:hAnsi="Times" w:cs="Times"/>
                <w:sz w:val="20"/>
                <w:szCs w:val="20"/>
              </w:rPr>
              <w:lastRenderedPageBreak/>
              <w:t xml:space="preserve">(samotné sčítanie na obciach) bude </w:t>
            </w:r>
            <w:proofErr w:type="spellStart"/>
            <w:r w:rsidRPr="00AA4C18">
              <w:rPr>
                <w:rFonts w:ascii="Times" w:hAnsi="Times" w:cs="Times"/>
                <w:sz w:val="20"/>
                <w:szCs w:val="20"/>
              </w:rPr>
              <w:t>dataset</w:t>
            </w:r>
            <w:proofErr w:type="spellEnd"/>
            <w:r w:rsidRPr="00AA4C18">
              <w:rPr>
                <w:rFonts w:ascii="Times" w:hAnsi="Times" w:cs="Times"/>
                <w:sz w:val="20"/>
                <w:szCs w:val="20"/>
              </w:rPr>
              <w:t xml:space="preserve"> kvalitných informácií o domoch a bytoch v rozsahu štatistického zisťovania, ktorý môže slúžiť pre rôznych záujemcov, medzi inými napríklad aj pre Ministerstvo dopravy a výstavby SR pre vytvorenie referenčného registra bytov. Cieľom projektu je získať čo najkvalitnejšie údaje o domoch a bytoch, ktoré budú slúžiť okrem iného pre štát pri rozhodovaní o dôležitých ekonomických a sociálnych otázkach chodu štátu.</w:t>
            </w:r>
          </w:p>
          <w:p w14:paraId="2CD4E2DF"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Výška výdavkov 9,3 mil. eur nie je výdavkom na IT (0EKON), tieto výdavky sú popísané v predloženej úradom k SODB 2021 ako výdavky na zabezpečenie sčítania domov a bytov pre obce. Vychádzajú z predpokladu že obec, presnejšie osoby podieľajúce sa na spracovaní údajov, dostanú za spracovanie informácií o každom byte 3,50 eur, pričom sa predpokladá že bude spracovaných cca 2 mil. bytov. Výdavky budú zvýšené o odvod 32%. Odhadovaná finálna suma tak predstavuje 9,24 mil. eur. Tento výdavok je teda výdavkom za sčítanie domov a bytov ako také, a nie za vytvorenie registra domov a bytov. Postup ako aj výška odmien boli prekonzultované a schválené na úrovni ZMOS-u.</w:t>
            </w:r>
          </w:p>
          <w:p w14:paraId="7E1057BB"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K Vami uvedeným informáciám o porovnateľných IKT projektoch uvádzame nasledovné:</w:t>
            </w:r>
          </w:p>
          <w:p w14:paraId="54028F27"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Ani jeden z uvedených projektov nie je z pohľadu predmetu, obsahu a ani cieľov obdobný.</w:t>
            </w:r>
          </w:p>
          <w:p w14:paraId="013AAC81"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Uvedené projekty vytvárajú pre ISVS klasické, prevažne agendové a transakčné informačné systémy.</w:t>
            </w:r>
          </w:p>
          <w:p w14:paraId="42F88277"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Výnimkou je „Komplexný analytický nástroj pre podporu ekonomickej regulácie“, ktorý však svojim rozsahom a hlavne absenciou vytvoreného referenčného nákladového modelu (má byť predmetom projektu EVS, ale ešte neexistuje) nie je v nijakom prípade porovnateľným projektom. A to ani obsahom ani rozsahom.</w:t>
            </w:r>
          </w:p>
          <w:p w14:paraId="52B1F283"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Domnievame sa, že k Vami uvádzaným nákladom pre „obdobné“ IS je nutné pripočítať aj náklady na projekty EVS, bez ktorých by predmetné projekty OPII nebolo možné pripraviť a ani realizovať, a teda sú ich neoddeliteľnou súčasťou.</w:t>
            </w:r>
          </w:p>
          <w:p w14:paraId="0FB16462"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Pre jednoduchšie porovnanie uvádzame upravenú Vašu tabuľku: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0"/>
              <w:gridCol w:w="844"/>
              <w:gridCol w:w="484"/>
              <w:gridCol w:w="591"/>
              <w:gridCol w:w="3837"/>
            </w:tblGrid>
            <w:tr w:rsidR="0076357A" w:rsidRPr="00AA4C18" w14:paraId="27EB987D" w14:textId="77777777" w:rsidTr="0076357A">
              <w:trPr>
                <w:trHeight w:val="300"/>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364C072" w14:textId="77777777" w:rsidR="0076357A" w:rsidRPr="00AA4C18" w:rsidRDefault="0076357A" w:rsidP="0076357A">
                  <w:r w:rsidRPr="00AA4C18">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B379BC5" w14:textId="77777777" w:rsidR="0076357A" w:rsidRPr="00AA4C18" w:rsidRDefault="0076357A" w:rsidP="0076357A">
                  <w:pPr>
                    <w:pStyle w:val="Normlnywebov"/>
                  </w:pPr>
                  <w:r w:rsidRPr="00AA4C18">
                    <w:t>Náklady</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14:paraId="4F5FC3E9" w14:textId="77777777" w:rsidR="0076357A" w:rsidRPr="00AA4C18" w:rsidRDefault="0076357A" w:rsidP="0076357A">
                  <w:pPr>
                    <w:pStyle w:val="Normlnywebov"/>
                  </w:pPr>
                  <w:r w:rsidRPr="00AA4C18">
                    <w:t>Cieľ IS</w:t>
                  </w:r>
                </w:p>
              </w:tc>
            </w:tr>
            <w:tr w:rsidR="0076357A" w:rsidRPr="00AA4C18" w14:paraId="5C57F12D" w14:textId="77777777" w:rsidTr="0076357A">
              <w:trPr>
                <w:trHeight w:val="31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445BAE5" w14:textId="77777777" w:rsidR="0076357A" w:rsidRPr="00AA4C18" w:rsidRDefault="0076357A" w:rsidP="0076357A">
                  <w:pPr>
                    <w:pStyle w:val="Normlnywebov"/>
                  </w:pPr>
                  <w:r w:rsidRPr="00AA4C18">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21FA19B" w14:textId="77777777" w:rsidR="0076357A" w:rsidRPr="00AA4C18" w:rsidRDefault="0076357A" w:rsidP="0076357A">
                  <w:pPr>
                    <w:pStyle w:val="Normlnywebov"/>
                  </w:pPr>
                  <w:r w:rsidRPr="00AA4C18">
                    <w:t>OPII</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2879CEA" w14:textId="77777777" w:rsidR="0076357A" w:rsidRPr="00AA4C18" w:rsidRDefault="0076357A" w:rsidP="0076357A">
                  <w:pPr>
                    <w:pStyle w:val="Normlnywebov"/>
                  </w:pPr>
                  <w:r w:rsidRPr="00AA4C18">
                    <w:t>EVS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79B7C2C" w14:textId="77777777" w:rsidR="0076357A" w:rsidRPr="00AA4C18" w:rsidRDefault="0076357A" w:rsidP="0076357A">
                  <w:pPr>
                    <w:pStyle w:val="Normlnywebov"/>
                  </w:pPr>
                  <w:r w:rsidRPr="00AA4C18">
                    <w:t>Spolu</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2F7828C" w14:textId="77777777" w:rsidR="0076357A" w:rsidRPr="00AA4C18" w:rsidRDefault="0076357A" w:rsidP="0076357A">
                  <w:pPr>
                    <w:pStyle w:val="Normlnywebov"/>
                  </w:pPr>
                  <w:r w:rsidRPr="00AA4C18">
                    <w:t> </w:t>
                  </w:r>
                </w:p>
              </w:tc>
            </w:tr>
            <w:tr w:rsidR="0076357A" w:rsidRPr="00AA4C18" w14:paraId="156D2ADF" w14:textId="77777777" w:rsidTr="0076357A">
              <w:trPr>
                <w:trHeight w:val="67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CC2DA8" w14:textId="77777777" w:rsidR="0076357A" w:rsidRPr="00AA4C18" w:rsidRDefault="0076357A" w:rsidP="0076357A">
                  <w:pPr>
                    <w:pStyle w:val="Normlnywebov"/>
                  </w:pPr>
                  <w:r w:rsidRPr="00AA4C18">
                    <w:t>Elektronizácia služieb Národného inšpektorátu práce</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8004580" w14:textId="77777777" w:rsidR="0076357A" w:rsidRPr="00AA4C18" w:rsidRDefault="0076357A" w:rsidP="0076357A">
                  <w:pPr>
                    <w:pStyle w:val="Normlnywebov"/>
                  </w:pPr>
                  <w:r w:rsidRPr="00AA4C18">
                    <w:t>7,9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D76ED34" w14:textId="77777777" w:rsidR="0076357A" w:rsidRPr="00AA4C18" w:rsidRDefault="0076357A" w:rsidP="0076357A">
                  <w:pPr>
                    <w:pStyle w:val="Normlnywebov"/>
                  </w:pPr>
                  <w:r w:rsidRPr="00AA4C18">
                    <w:t>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676DC73" w14:textId="77777777" w:rsidR="0076357A" w:rsidRPr="00AA4C18" w:rsidRDefault="0076357A" w:rsidP="0076357A">
                  <w:pPr>
                    <w:pStyle w:val="Normlnywebov"/>
                  </w:pPr>
                  <w:r w:rsidRPr="00AA4C18">
                    <w:t>9,1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8F40B96" w14:textId="77777777" w:rsidR="0076357A" w:rsidRPr="00AA4C18" w:rsidRDefault="0076357A" w:rsidP="0076357A">
                  <w:pPr>
                    <w:pStyle w:val="Normlnywebov"/>
                  </w:pPr>
                  <w:r w:rsidRPr="00AA4C18">
                    <w:t>Agendový IS</w:t>
                  </w:r>
                </w:p>
              </w:tc>
            </w:tr>
            <w:tr w:rsidR="0076357A" w:rsidRPr="00AA4C18" w14:paraId="7E98E823" w14:textId="77777777" w:rsidTr="0076357A">
              <w:trPr>
                <w:trHeight w:val="63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127B64" w14:textId="77777777" w:rsidR="0076357A" w:rsidRPr="00AA4C18" w:rsidRDefault="0076357A" w:rsidP="0076357A">
                  <w:pPr>
                    <w:pStyle w:val="Normlnywebov"/>
                  </w:pPr>
                  <w:r w:rsidRPr="00AA4C18">
                    <w:t>Komplexný analytický nástroj pre podporu ekonomickej regulácie</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8145EA8" w14:textId="77777777" w:rsidR="0076357A" w:rsidRPr="00AA4C18" w:rsidRDefault="0076357A" w:rsidP="0076357A">
                  <w:pPr>
                    <w:pStyle w:val="Normlnywebov"/>
                  </w:pPr>
                  <w:r w:rsidRPr="00AA4C18">
                    <w:t>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08016C4" w14:textId="77777777" w:rsidR="0076357A" w:rsidRPr="00AA4C18" w:rsidRDefault="0076357A" w:rsidP="0076357A">
                  <w:r w:rsidRPr="00AA4C18">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CF63ED6" w14:textId="77777777" w:rsidR="0076357A" w:rsidRPr="00AA4C18" w:rsidRDefault="0076357A" w:rsidP="0076357A">
                  <w:pPr>
                    <w:pStyle w:val="Normlnywebov"/>
                  </w:pPr>
                  <w:r w:rsidRPr="00AA4C18">
                    <w:t>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DD56537" w14:textId="77777777" w:rsidR="0076357A" w:rsidRPr="00AA4C18" w:rsidRDefault="0076357A" w:rsidP="0076357A">
                  <w:pPr>
                    <w:pStyle w:val="Normlnywebov"/>
                  </w:pPr>
                  <w:r w:rsidRPr="00AA4C18">
                    <w:t>Analytický nástroj</w:t>
                  </w:r>
                </w:p>
              </w:tc>
            </w:tr>
            <w:tr w:rsidR="0076357A" w:rsidRPr="00AA4C18" w14:paraId="1FEC1FBE" w14:textId="77777777" w:rsidTr="0076357A">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0E7BFA" w14:textId="77777777" w:rsidR="0076357A" w:rsidRPr="00AA4C18" w:rsidRDefault="0076357A" w:rsidP="0076357A">
                  <w:pPr>
                    <w:pStyle w:val="Normlnywebov"/>
                  </w:pPr>
                  <w:r w:rsidRPr="00AA4C18">
                    <w:t xml:space="preserve">Online procesy </w:t>
                  </w:r>
                  <w:proofErr w:type="spellStart"/>
                  <w:r w:rsidRPr="00AA4C18">
                    <w:t>eZdravia</w:t>
                  </w:r>
                  <w:proofErr w:type="spellEnd"/>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5B70A01" w14:textId="77777777" w:rsidR="0076357A" w:rsidRPr="00AA4C18" w:rsidRDefault="0076357A" w:rsidP="0076357A">
                  <w:pPr>
                    <w:pStyle w:val="Normlnywebov"/>
                  </w:pPr>
                  <w:r w:rsidRPr="00AA4C18">
                    <w:t>12,6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A077638" w14:textId="77777777" w:rsidR="0076357A" w:rsidRPr="00AA4C18" w:rsidRDefault="0076357A" w:rsidP="0076357A">
                  <w:pPr>
                    <w:pStyle w:val="Normlnywebov"/>
                  </w:pPr>
                  <w:r w:rsidRPr="00AA4C18">
                    <w:t>4,7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B4F2279" w14:textId="77777777" w:rsidR="0076357A" w:rsidRPr="00AA4C18" w:rsidRDefault="0076357A" w:rsidP="0076357A">
                  <w:pPr>
                    <w:pStyle w:val="Normlnywebov"/>
                  </w:pPr>
                  <w:r w:rsidRPr="00AA4C18">
                    <w:t>17,1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5EA7DE2" w14:textId="77777777" w:rsidR="0076357A" w:rsidRPr="00AA4C18" w:rsidRDefault="0076357A" w:rsidP="0076357A">
                  <w:pPr>
                    <w:pStyle w:val="Normlnywebov"/>
                  </w:pPr>
                  <w:r w:rsidRPr="00AA4C18">
                    <w:t>Agendový IS</w:t>
                  </w:r>
                </w:p>
              </w:tc>
            </w:tr>
            <w:tr w:rsidR="0076357A" w:rsidRPr="00AA4C18" w14:paraId="1C8F0D76" w14:textId="77777777" w:rsidTr="0076357A">
              <w:trPr>
                <w:trHeight w:val="55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8A914B" w14:textId="77777777" w:rsidR="0076357A" w:rsidRPr="00AA4C18" w:rsidRDefault="0076357A" w:rsidP="0076357A">
                  <w:pPr>
                    <w:pStyle w:val="Normlnywebov"/>
                  </w:pPr>
                  <w:r w:rsidRPr="00AA4C18">
                    <w:t>Zefektívnenie štátneho dozoru v starostlivosti o životné prostredie</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EF4B8D9" w14:textId="77777777" w:rsidR="0076357A" w:rsidRPr="00AA4C18" w:rsidRDefault="0076357A" w:rsidP="0076357A">
                  <w:pPr>
                    <w:pStyle w:val="Normlnywebov"/>
                  </w:pPr>
                  <w:r w:rsidRPr="00AA4C18">
                    <w:t>11,3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D642510" w14:textId="77777777" w:rsidR="0076357A" w:rsidRPr="00AA4C18" w:rsidRDefault="0076357A" w:rsidP="0076357A">
                  <w:pPr>
                    <w:pStyle w:val="Normlnywebov"/>
                  </w:pPr>
                  <w:r w:rsidRPr="00AA4C18">
                    <w:t>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EEB48B" w14:textId="77777777" w:rsidR="0076357A" w:rsidRPr="00AA4C18" w:rsidRDefault="0076357A" w:rsidP="0076357A">
                  <w:pPr>
                    <w:pStyle w:val="Normlnywebov"/>
                  </w:pPr>
                  <w:r w:rsidRPr="00AA4C18">
                    <w:t>13,3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191419D" w14:textId="77777777" w:rsidR="0076357A" w:rsidRPr="00AA4C18" w:rsidRDefault="0076357A" w:rsidP="0076357A">
                  <w:pPr>
                    <w:pStyle w:val="Normlnywebov"/>
                  </w:pPr>
                  <w:r w:rsidRPr="00AA4C18">
                    <w:t>Agendový IS</w:t>
                  </w:r>
                </w:p>
              </w:tc>
            </w:tr>
            <w:tr w:rsidR="0076357A" w:rsidRPr="00AA4C18" w14:paraId="38882440" w14:textId="77777777" w:rsidTr="0076357A">
              <w:trPr>
                <w:trHeight w:val="12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043126" w14:textId="77777777" w:rsidR="0076357A" w:rsidRPr="00AA4C18" w:rsidRDefault="0076357A" w:rsidP="0076357A">
                  <w:pPr>
                    <w:pStyle w:val="Normlnywebov"/>
                  </w:pPr>
                  <w:r w:rsidRPr="00AA4C18">
                    <w:t>SODB 21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6DE4B02" w14:textId="77777777" w:rsidR="0076357A" w:rsidRPr="00AA4C18" w:rsidRDefault="0076357A" w:rsidP="0076357A">
                  <w:pPr>
                    <w:pStyle w:val="Normlnywebov"/>
                  </w:pPr>
                  <w:r w:rsidRPr="00AA4C18">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8F05B27" w14:textId="77777777" w:rsidR="0076357A" w:rsidRPr="00AA4C18" w:rsidRDefault="0076357A" w:rsidP="0076357A">
                  <w:pPr>
                    <w:pStyle w:val="Normlnywebov"/>
                  </w:pPr>
                  <w:r w:rsidRPr="00AA4C18">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7E5AF54" w14:textId="77777777" w:rsidR="0076357A" w:rsidRPr="00AA4C18" w:rsidRDefault="0076357A" w:rsidP="0076357A">
                  <w:pPr>
                    <w:pStyle w:val="Normlnywebov"/>
                  </w:pPr>
                  <w:r w:rsidRPr="00AA4C18">
                    <w:t>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3D9EC" w14:textId="77777777" w:rsidR="0076357A" w:rsidRPr="00AA4C18" w:rsidRDefault="0076357A" w:rsidP="0076357A">
                  <w:pPr>
                    <w:pStyle w:val="Normlnywebov"/>
                  </w:pPr>
                  <w:r w:rsidRPr="00AA4C18">
                    <w:t>Integrácia administratívnych dátových zdrojov, kvalitatívna príprava dát, zber,</w:t>
                  </w:r>
                </w:p>
                <w:p w14:paraId="0A4BF340" w14:textId="77777777" w:rsidR="0076357A" w:rsidRPr="00AA4C18" w:rsidRDefault="0076357A" w:rsidP="0076357A">
                  <w:pPr>
                    <w:pStyle w:val="Normlnywebov"/>
                  </w:pPr>
                  <w:r w:rsidRPr="00AA4C18">
                    <w:t>štatistické spracovanie</w:t>
                  </w:r>
                </w:p>
                <w:p w14:paraId="1EBFA0CA" w14:textId="77777777" w:rsidR="0076357A" w:rsidRPr="00AA4C18" w:rsidRDefault="0076357A" w:rsidP="0076357A">
                  <w:pPr>
                    <w:pStyle w:val="Normlnywebov"/>
                  </w:pPr>
                  <w:r w:rsidRPr="00AA4C18">
                    <w:t xml:space="preserve">a </w:t>
                  </w:r>
                  <w:proofErr w:type="spellStart"/>
                  <w:r w:rsidRPr="00AA4C18">
                    <w:t>disemináciu</w:t>
                  </w:r>
                  <w:proofErr w:type="spellEnd"/>
                  <w:r w:rsidRPr="00AA4C18">
                    <w:t xml:space="preserve"> dát = dátový systém</w:t>
                  </w:r>
                </w:p>
              </w:tc>
            </w:tr>
          </w:tbl>
          <w:p w14:paraId="59E36DEF"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 xml:space="preserve">IS pre SODB 2021 je systémom prevažne dátovým s odlišnými funkčnými požiadavkami, ako sú bežné systémy ISVS, pričom časť modulov bude zabezpečovať aj činnosti obdobné agendovým systémom ako je elektronický zber údajov a ich úpravy v čase sčítania ako aj riadenie úloh. Prevažnou časťou a úlohami IS bude </w:t>
            </w:r>
            <w:r w:rsidRPr="00AA4C18">
              <w:rPr>
                <w:rFonts w:ascii="Times" w:hAnsi="Times" w:cs="Times"/>
                <w:sz w:val="20"/>
                <w:szCs w:val="20"/>
              </w:rPr>
              <w:lastRenderedPageBreak/>
              <w:t>získanie dát, ich príprava (skvalitnenie, úprava), štatistické spracovanie a následná príprava dát pre šírenie (vytváranie dátových modelov – mnohých) a </w:t>
            </w:r>
            <w:proofErr w:type="spellStart"/>
            <w:r w:rsidRPr="00AA4C18">
              <w:rPr>
                <w:rFonts w:ascii="Times" w:hAnsi="Times" w:cs="Times"/>
                <w:sz w:val="20"/>
                <w:szCs w:val="20"/>
              </w:rPr>
              <w:t>diseminácia</w:t>
            </w:r>
            <w:proofErr w:type="spellEnd"/>
            <w:r w:rsidRPr="00AA4C18">
              <w:rPr>
                <w:rFonts w:ascii="Times" w:hAnsi="Times" w:cs="Times"/>
                <w:sz w:val="20"/>
                <w:szCs w:val="20"/>
              </w:rPr>
              <w:t xml:space="preserve"> údajov.</w:t>
            </w:r>
          </w:p>
          <w:p w14:paraId="04FD5CFE"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IS SODB je teda informačným systémom s modulmi agendových systémov ale dominantne jeho funkcionalita ako aj procesy sú orientované na dáta veľkého rozsahu a komplexnosti, ktoré po štatistickom spracovaní budú slúžiť ako produkt širokému okruhu záujemcov. Štátom počínajúc, domácimi a medzinárodnými inštitúciami, súkromným sektorom, neziskovým sektorom pokračujúc a laickou verejnosťou končiac.</w:t>
            </w:r>
          </w:p>
          <w:p w14:paraId="06E536B9"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Kvalita výstupných dát je mimoriadne dôležitá pre následné využitie a je priamo úmerná investovaným prostriedkom do celého procesu sčítania obyvateľov domov a bytov 2021 vrátane IT.</w:t>
            </w:r>
          </w:p>
          <w:p w14:paraId="2270FE66"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Vaša požiadavka, aby náklady na IT systém (program 0EKON) v doložke vplyvov na rozpočet verejnej správy boli v sumárnej výške najviac 10 mil. eur, namiesto súčasných 19,6 mil. eur. je pre úrad vzhľadom na uvedené fakty a odôvodnené požiadavky neakceptovateľná. Ako už bolo dohodnuté s UHP, predložíme štúdiu uskutočniteľnosti v dohodnutom rozsahu, z ktorej bude zrejmé, aké náklady na kompletnú IT časť projektu (program 0EKON) budú nutné.</w:t>
            </w:r>
          </w:p>
          <w:p w14:paraId="63DC4274"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Táto výška výdavkov bude vzájomne odsúhlasená po konzultáciách.</w:t>
            </w:r>
          </w:p>
          <w:p w14:paraId="13EE4D36"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 tomto čase zatiaľ trváme na pôvodnej výške výdavkov 19,6 mil. eur.</w:t>
            </w:r>
          </w:p>
          <w:p w14:paraId="3814C7C4"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3. Zásadná pripomienka</w:t>
            </w:r>
          </w:p>
          <w:p w14:paraId="1040780F"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Žiadame zosúladiť konštatovania o rozpočtovom zabezpečení financovania výdavkov uvedené v doložke vybraných vplyvov a v analýze vplyvov na rozpočet verejnej správy. Podľa doložky vybraných vplyvov má návrh negatívne, rozpočtovo zabezpečené vplyvy. V časti 2.1.1. Financovanie návrhu analýzy predkladateľ uvádza, že „Vplyv na rozpočet verejnej správy na zabezpečenie sčítania obyvateľov, domov a bytov (ďalej len „sčítanie“) 2021 – náklady Štatistického úradu SR  v rokoch 2019 až 2024 budú kryté v rámci rozpočtovej kapitoly Štatistického úradu SR, náklady Ministerstva vnútra SR  na „sčítanie“ v roku 2020  budú kryté z rozpočtu Ministerstva vnútra SR a náklady obcí v rokoch 2020 a 2021 budú kryté zo štátneho rozpočtu v rámci preneseného výkonu štátnej správy.“ a súčasne v tabuľke č. 1 analýzy je v rokoch 2019 až 2014  kvantifikuje rozpočtovo nekrytý vplyv. V časti 2.1.1. Financovanie návrhu žiadame doplniť, v rámci ktorej kapitoly budú zabezpečené výdavky obcí na financovanie preneseného výkonu štátnej správy.</w:t>
            </w:r>
          </w:p>
          <w:p w14:paraId="144A805D"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Pripomienka je zásadná.</w:t>
            </w:r>
          </w:p>
          <w:p w14:paraId="092B2A02"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Stanovisko úradu k pripomienke:</w:t>
            </w:r>
          </w:p>
          <w:p w14:paraId="57F7475F"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Pripomienka akceptovaná, tabuľka č. 1 v analýze upravená a v časti 2.1.1 analýzy je doplnená skutočnosť, že výdavky obcí v rámci preneseného výkonu štátnej správy budú zabezpečené v rámci kapitoly Štatistického úradu Slovenskej republiky.</w:t>
            </w:r>
          </w:p>
          <w:p w14:paraId="4479EDA4"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4. Obyčajná pripomienka</w:t>
            </w:r>
          </w:p>
          <w:p w14:paraId="149E7629"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 tabuľke č. 1 je potrebné v roku 2019 za ŠÚ SR uviesť  jednu sumu (uvedených je 7 063 200 a súčasne 7 063 000) a nadväzne na to upraviť príslušné sumárne riadky. Nesprávne je uvedená aj suma v riadku „Výdavky verejnej správy celkom“.</w:t>
            </w:r>
          </w:p>
          <w:p w14:paraId="1E27C49C"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Stanovisko úradu k pripomienke:</w:t>
            </w:r>
          </w:p>
          <w:p w14:paraId="76AE539C"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Pripomienka akceptovaná, tabuľka č. 1 v analýze upravená.</w:t>
            </w:r>
          </w:p>
          <w:p w14:paraId="18CA77B1"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5. Obyčajná pripomienka</w:t>
            </w:r>
          </w:p>
          <w:p w14:paraId="2A5E8A0F"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lastRenderedPageBreak/>
              <w:t>Nesprávne sú uvedené kvantifikácie v tab. č. 1 aj v rokoch 2023 a 2024,  v riadkoch „Výdavky verejnej správy celkom“, „Rozpočtové prostriedky kapitoly“ a „vplyv na ŠR“. Nesprávne je uvedená aj suma v tabuľke č. 3 za ŠÚ SR v roku 2021.</w:t>
            </w:r>
          </w:p>
          <w:p w14:paraId="07E3233D"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Stanovisko úradu k pripomienke:</w:t>
            </w:r>
          </w:p>
          <w:p w14:paraId="2FCBA112"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Pripomienka akceptovaná, tabuľky č. 1 a 3. v analýze upravené v zmysle pripomienky.</w:t>
            </w:r>
          </w:p>
          <w:p w14:paraId="31EEF513"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6. Obyčajná pripomienka</w:t>
            </w:r>
          </w:p>
          <w:p w14:paraId="373CA2F5" w14:textId="77777777" w:rsidR="0076357A" w:rsidRPr="00AA4C18" w:rsidRDefault="0076357A" w:rsidP="0076357A">
            <w:pPr>
              <w:pStyle w:val="Normlnywebov"/>
              <w:rPr>
                <w:rFonts w:ascii="Times" w:hAnsi="Times" w:cs="Times"/>
                <w:sz w:val="20"/>
                <w:szCs w:val="20"/>
              </w:rPr>
            </w:pPr>
            <w:r w:rsidRPr="00AA4C18">
              <w:rPr>
                <w:rFonts w:ascii="Times" w:hAnsi="Times" w:cs="Times"/>
                <w:sz w:val="20"/>
                <w:szCs w:val="20"/>
              </w:rPr>
              <w:t>V doložke vybraných vplyvov nie sú zohľadnené sankcie, § 30 Pokuty, kde predkladateľ uvádza, že výnosy z pokút sú príjmom štátneho rozpočtu, čo žiadame doplniť.</w:t>
            </w:r>
          </w:p>
          <w:p w14:paraId="2C446EAA" w14:textId="77777777" w:rsidR="0076357A" w:rsidRPr="00AA4C18" w:rsidRDefault="0076357A" w:rsidP="0076357A">
            <w:pPr>
              <w:pStyle w:val="Normlnywebov"/>
              <w:rPr>
                <w:rFonts w:ascii="Times" w:hAnsi="Times" w:cs="Times"/>
                <w:sz w:val="20"/>
                <w:szCs w:val="20"/>
              </w:rPr>
            </w:pPr>
            <w:r w:rsidRPr="00AA4C18">
              <w:rPr>
                <w:rStyle w:val="Siln"/>
                <w:rFonts w:ascii="Times" w:hAnsi="Times" w:cs="Times"/>
                <w:szCs w:val="20"/>
              </w:rPr>
              <w:t>Stanovisko úradu k pripomienke:</w:t>
            </w:r>
          </w:p>
          <w:p w14:paraId="58564B8B" w14:textId="77777777" w:rsidR="0076357A" w:rsidRPr="00AA4C18" w:rsidRDefault="0076357A" w:rsidP="0076357A">
            <w:pPr>
              <w:rPr>
                <w:rFonts w:ascii="Times" w:hAnsi="Times" w:cs="Times"/>
                <w:sz w:val="20"/>
                <w:szCs w:val="20"/>
              </w:rPr>
            </w:pPr>
            <w:r w:rsidRPr="00AA4C18">
              <w:rPr>
                <w:rFonts w:ascii="Times" w:hAnsi="Times" w:cs="Times"/>
                <w:sz w:val="20"/>
                <w:szCs w:val="20"/>
              </w:rPr>
              <w:t>V doložke a analýze vplyvov na rozpočet verejnej správy, na zamestnanosť vo verejnej správe a financovanie návrhu  boli doplnené komentáre k charakteru príjmov za pokuty podľa § 30 návrhu zákona. Uvedené príjmy nie je možné z objektívnych dôvodov kvantifikovať.</w:t>
            </w:r>
          </w:p>
        </w:tc>
      </w:tr>
    </w:tbl>
    <w:p w14:paraId="7F380C28" w14:textId="77777777" w:rsidR="0076357A" w:rsidRPr="00AA4C18" w:rsidRDefault="0076357A" w:rsidP="0076357A">
      <w:pPr>
        <w:pStyle w:val="Normlnywebov"/>
        <w:spacing w:before="0" w:beforeAutospacing="0" w:after="0" w:afterAutospacing="0"/>
        <w:rPr>
          <w:bCs/>
          <w:sz w:val="20"/>
          <w:szCs w:val="20"/>
        </w:rPr>
      </w:pPr>
    </w:p>
    <w:p w14:paraId="5D63E2A3" w14:textId="243758DD" w:rsidR="0076357A" w:rsidRPr="00AA4C18" w:rsidRDefault="0076357A">
      <w:pPr>
        <w:widowControl/>
        <w:adjustRightInd/>
        <w:spacing w:after="200" w:line="276" w:lineRule="auto"/>
      </w:pPr>
      <w:r w:rsidRPr="00AA4C18">
        <w:br w:type="page"/>
      </w:r>
    </w:p>
    <w:p w14:paraId="699535E5" w14:textId="77777777" w:rsidR="0076357A" w:rsidRPr="00AA4C18" w:rsidRDefault="0076357A" w:rsidP="0076357A">
      <w:pPr>
        <w:jc w:val="center"/>
        <w:rPr>
          <w:b/>
          <w:bCs/>
          <w:sz w:val="28"/>
          <w:szCs w:val="28"/>
        </w:rPr>
      </w:pPr>
      <w:r w:rsidRPr="00AA4C18">
        <w:rPr>
          <w:b/>
          <w:bCs/>
          <w:sz w:val="28"/>
          <w:szCs w:val="28"/>
        </w:rPr>
        <w:lastRenderedPageBreak/>
        <w:t>Analýza vplyvov na rozpočet verejnej správy,</w:t>
      </w:r>
    </w:p>
    <w:p w14:paraId="1C4193BF" w14:textId="77777777" w:rsidR="0076357A" w:rsidRPr="00AA4C18" w:rsidRDefault="0076357A" w:rsidP="0076357A">
      <w:pPr>
        <w:jc w:val="center"/>
        <w:rPr>
          <w:b/>
          <w:bCs/>
          <w:sz w:val="28"/>
          <w:szCs w:val="28"/>
        </w:rPr>
      </w:pPr>
      <w:r w:rsidRPr="00AA4C18">
        <w:rPr>
          <w:b/>
          <w:bCs/>
          <w:sz w:val="28"/>
          <w:szCs w:val="28"/>
        </w:rPr>
        <w:t>na zamestnanosť vo verejnej správe a financovanie návrhu</w:t>
      </w:r>
    </w:p>
    <w:p w14:paraId="1ACDBC0A" w14:textId="77777777" w:rsidR="0076357A" w:rsidRPr="00AA4C18" w:rsidRDefault="0076357A" w:rsidP="0076357A">
      <w:pPr>
        <w:jc w:val="right"/>
        <w:rPr>
          <w:b/>
          <w:bCs/>
        </w:rPr>
      </w:pPr>
    </w:p>
    <w:p w14:paraId="61B38134" w14:textId="77777777" w:rsidR="0076357A" w:rsidRPr="00AA4C18" w:rsidRDefault="0076357A" w:rsidP="0076357A">
      <w:pPr>
        <w:rPr>
          <w:b/>
          <w:bCs/>
        </w:rPr>
      </w:pPr>
    </w:p>
    <w:p w14:paraId="3E70A339" w14:textId="77777777" w:rsidR="0076357A" w:rsidRPr="00AA4C18" w:rsidRDefault="0076357A" w:rsidP="0076357A">
      <w:pPr>
        <w:rPr>
          <w:b/>
          <w:bCs/>
        </w:rPr>
      </w:pPr>
      <w:r w:rsidRPr="00AA4C18">
        <w:rPr>
          <w:b/>
          <w:bCs/>
        </w:rPr>
        <w:t>2.1 Zhrnutie vplyvov na rozpočet verejnej správy v návrhu</w:t>
      </w:r>
    </w:p>
    <w:p w14:paraId="02329ACD" w14:textId="77777777" w:rsidR="0076357A" w:rsidRPr="00AA4C18" w:rsidRDefault="0076357A" w:rsidP="0076357A">
      <w:pPr>
        <w:jc w:val="right"/>
        <w:rPr>
          <w:sz w:val="20"/>
          <w:szCs w:val="20"/>
        </w:rPr>
      </w:pPr>
    </w:p>
    <w:p w14:paraId="6A695CD2" w14:textId="77777777" w:rsidR="0076357A" w:rsidRPr="00AA4C18" w:rsidRDefault="0076357A" w:rsidP="0076357A">
      <w:pPr>
        <w:jc w:val="right"/>
        <w:rPr>
          <w:sz w:val="20"/>
          <w:szCs w:val="20"/>
        </w:rPr>
      </w:pPr>
      <w:r w:rsidRPr="00AA4C18">
        <w:rPr>
          <w:sz w:val="20"/>
          <w:szCs w:val="20"/>
        </w:rPr>
        <w:t xml:space="preserve">Tabuľka č. 1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347"/>
        <w:gridCol w:w="1460"/>
        <w:gridCol w:w="1227"/>
      </w:tblGrid>
      <w:tr w:rsidR="0076357A" w:rsidRPr="00AA4C18" w14:paraId="60E4AE9A" w14:textId="77777777" w:rsidTr="0076357A">
        <w:trPr>
          <w:cantSplit/>
          <w:trHeight w:val="194"/>
          <w:jc w:val="center"/>
        </w:trPr>
        <w:tc>
          <w:tcPr>
            <w:tcW w:w="4661" w:type="dxa"/>
            <w:vMerge w:val="restart"/>
            <w:shd w:val="clear" w:color="auto" w:fill="BFBFBF" w:themeFill="background1" w:themeFillShade="BF"/>
            <w:vAlign w:val="center"/>
          </w:tcPr>
          <w:p w14:paraId="671AE6E4" w14:textId="77777777" w:rsidR="0076357A" w:rsidRPr="00AA4C18" w:rsidRDefault="0076357A" w:rsidP="0076357A">
            <w:pPr>
              <w:jc w:val="center"/>
              <w:rPr>
                <w:b/>
                <w:bCs/>
              </w:rPr>
            </w:pPr>
            <w:bookmarkStart w:id="0" w:name="OLE_LINK1"/>
            <w:r w:rsidRPr="00AA4C18">
              <w:rPr>
                <w:b/>
                <w:bCs/>
              </w:rPr>
              <w:t>Vplyvy na rozpočet verejnej správy</w:t>
            </w:r>
          </w:p>
        </w:tc>
        <w:tc>
          <w:tcPr>
            <w:tcW w:w="5301" w:type="dxa"/>
            <w:gridSpan w:val="4"/>
            <w:shd w:val="clear" w:color="auto" w:fill="BFBFBF" w:themeFill="background1" w:themeFillShade="BF"/>
            <w:vAlign w:val="center"/>
          </w:tcPr>
          <w:p w14:paraId="0E189A50" w14:textId="77777777" w:rsidR="0076357A" w:rsidRPr="00AA4C18" w:rsidRDefault="0076357A" w:rsidP="0076357A">
            <w:pPr>
              <w:jc w:val="center"/>
              <w:rPr>
                <w:b/>
                <w:bCs/>
              </w:rPr>
            </w:pPr>
            <w:r w:rsidRPr="00AA4C18">
              <w:rPr>
                <w:b/>
                <w:bCs/>
              </w:rPr>
              <w:t>Vplyv na rozpočet verejnej správy (v eurách)</w:t>
            </w:r>
          </w:p>
        </w:tc>
      </w:tr>
      <w:tr w:rsidR="0076357A" w:rsidRPr="00AA4C18" w14:paraId="37F5E097" w14:textId="77777777" w:rsidTr="0076357A">
        <w:trPr>
          <w:cantSplit/>
          <w:trHeight w:val="70"/>
          <w:jc w:val="center"/>
        </w:trPr>
        <w:tc>
          <w:tcPr>
            <w:tcW w:w="4661" w:type="dxa"/>
            <w:vMerge/>
            <w:shd w:val="clear" w:color="auto" w:fill="BFBFBF" w:themeFill="background1" w:themeFillShade="BF"/>
            <w:vAlign w:val="center"/>
          </w:tcPr>
          <w:p w14:paraId="400B24FC" w14:textId="77777777" w:rsidR="0076357A" w:rsidRPr="00AA4C18" w:rsidRDefault="0076357A" w:rsidP="0076357A">
            <w:pPr>
              <w:jc w:val="center"/>
              <w:rPr>
                <w:b/>
                <w:bCs/>
              </w:rPr>
            </w:pPr>
          </w:p>
        </w:tc>
        <w:tc>
          <w:tcPr>
            <w:tcW w:w="1267" w:type="dxa"/>
            <w:shd w:val="clear" w:color="auto" w:fill="BFBFBF" w:themeFill="background1" w:themeFillShade="BF"/>
            <w:vAlign w:val="center"/>
          </w:tcPr>
          <w:p w14:paraId="0696A5A0" w14:textId="77777777" w:rsidR="0076357A" w:rsidRPr="00AA4C18" w:rsidRDefault="0076357A" w:rsidP="0076357A">
            <w:pPr>
              <w:jc w:val="center"/>
              <w:rPr>
                <w:b/>
                <w:bCs/>
              </w:rPr>
            </w:pPr>
            <w:r w:rsidRPr="00AA4C18">
              <w:rPr>
                <w:b/>
                <w:bCs/>
              </w:rPr>
              <w:t>2019</w:t>
            </w:r>
          </w:p>
        </w:tc>
        <w:tc>
          <w:tcPr>
            <w:tcW w:w="1347" w:type="dxa"/>
            <w:shd w:val="clear" w:color="auto" w:fill="BFBFBF" w:themeFill="background1" w:themeFillShade="BF"/>
            <w:vAlign w:val="center"/>
          </w:tcPr>
          <w:p w14:paraId="5C5CA8F0" w14:textId="77777777" w:rsidR="0076357A" w:rsidRPr="00AA4C18" w:rsidRDefault="0076357A" w:rsidP="0076357A">
            <w:pPr>
              <w:jc w:val="center"/>
              <w:rPr>
                <w:b/>
                <w:bCs/>
              </w:rPr>
            </w:pPr>
            <w:r w:rsidRPr="00AA4C18">
              <w:rPr>
                <w:b/>
                <w:bCs/>
              </w:rPr>
              <w:t>2020</w:t>
            </w:r>
          </w:p>
        </w:tc>
        <w:tc>
          <w:tcPr>
            <w:tcW w:w="1460" w:type="dxa"/>
            <w:shd w:val="clear" w:color="auto" w:fill="BFBFBF" w:themeFill="background1" w:themeFillShade="BF"/>
            <w:vAlign w:val="center"/>
          </w:tcPr>
          <w:p w14:paraId="69C9F9C5" w14:textId="77777777" w:rsidR="0076357A" w:rsidRPr="00AA4C18" w:rsidRDefault="0076357A" w:rsidP="0076357A">
            <w:pPr>
              <w:jc w:val="center"/>
              <w:rPr>
                <w:b/>
                <w:bCs/>
              </w:rPr>
            </w:pPr>
            <w:r w:rsidRPr="00AA4C18">
              <w:rPr>
                <w:b/>
                <w:bCs/>
              </w:rPr>
              <w:t>2021</w:t>
            </w:r>
          </w:p>
        </w:tc>
        <w:tc>
          <w:tcPr>
            <w:tcW w:w="1227" w:type="dxa"/>
            <w:shd w:val="clear" w:color="auto" w:fill="BFBFBF" w:themeFill="background1" w:themeFillShade="BF"/>
            <w:vAlign w:val="center"/>
          </w:tcPr>
          <w:p w14:paraId="047FDAB4" w14:textId="77777777" w:rsidR="0076357A" w:rsidRPr="00AA4C18" w:rsidRDefault="0076357A" w:rsidP="0076357A">
            <w:pPr>
              <w:jc w:val="center"/>
              <w:rPr>
                <w:b/>
                <w:bCs/>
              </w:rPr>
            </w:pPr>
            <w:r w:rsidRPr="00AA4C18">
              <w:rPr>
                <w:b/>
                <w:bCs/>
              </w:rPr>
              <w:t>2022</w:t>
            </w:r>
          </w:p>
        </w:tc>
      </w:tr>
      <w:tr w:rsidR="0076357A" w:rsidRPr="00AA4C18" w14:paraId="281D6F8E" w14:textId="77777777" w:rsidTr="0076357A">
        <w:trPr>
          <w:trHeight w:val="70"/>
          <w:jc w:val="center"/>
        </w:trPr>
        <w:tc>
          <w:tcPr>
            <w:tcW w:w="4661" w:type="dxa"/>
            <w:shd w:val="clear" w:color="auto" w:fill="C0C0C0"/>
            <w:noWrap/>
            <w:vAlign w:val="center"/>
          </w:tcPr>
          <w:p w14:paraId="6EB5D958" w14:textId="77777777" w:rsidR="0076357A" w:rsidRPr="00AA4C18" w:rsidRDefault="0076357A" w:rsidP="0076357A">
            <w:r w:rsidRPr="00AA4C18">
              <w:rPr>
                <w:b/>
                <w:bCs/>
              </w:rPr>
              <w:t>Príjmy verejnej správy celkom</w:t>
            </w:r>
          </w:p>
        </w:tc>
        <w:tc>
          <w:tcPr>
            <w:tcW w:w="1267" w:type="dxa"/>
            <w:shd w:val="clear" w:color="auto" w:fill="C0C0C0"/>
            <w:vAlign w:val="center"/>
          </w:tcPr>
          <w:p w14:paraId="515FF2AA" w14:textId="77777777" w:rsidR="0076357A" w:rsidRPr="00AA4C18" w:rsidRDefault="0076357A" w:rsidP="0076357A">
            <w:pPr>
              <w:jc w:val="right"/>
              <w:rPr>
                <w:b/>
                <w:bCs/>
              </w:rPr>
            </w:pPr>
            <w:r w:rsidRPr="00AA4C18">
              <w:rPr>
                <w:b/>
                <w:bCs/>
              </w:rPr>
              <w:t>0</w:t>
            </w:r>
          </w:p>
        </w:tc>
        <w:tc>
          <w:tcPr>
            <w:tcW w:w="1347" w:type="dxa"/>
            <w:shd w:val="clear" w:color="auto" w:fill="C0C0C0"/>
            <w:vAlign w:val="center"/>
          </w:tcPr>
          <w:p w14:paraId="68ED3A99" w14:textId="77777777" w:rsidR="0076357A" w:rsidRPr="00AA4C18" w:rsidRDefault="0076357A" w:rsidP="0076357A">
            <w:pPr>
              <w:jc w:val="right"/>
              <w:rPr>
                <w:b/>
                <w:bCs/>
              </w:rPr>
            </w:pPr>
            <w:r w:rsidRPr="00AA4C18">
              <w:rPr>
                <w:b/>
                <w:bCs/>
              </w:rPr>
              <w:t>0</w:t>
            </w:r>
          </w:p>
        </w:tc>
        <w:tc>
          <w:tcPr>
            <w:tcW w:w="1460" w:type="dxa"/>
            <w:shd w:val="clear" w:color="auto" w:fill="C0C0C0"/>
            <w:vAlign w:val="center"/>
          </w:tcPr>
          <w:p w14:paraId="6FEDED6D" w14:textId="77777777" w:rsidR="0076357A" w:rsidRPr="00AA4C18" w:rsidRDefault="0076357A" w:rsidP="0076357A">
            <w:pPr>
              <w:jc w:val="right"/>
              <w:rPr>
                <w:b/>
                <w:bCs/>
              </w:rPr>
            </w:pPr>
            <w:r w:rsidRPr="00AA4C18">
              <w:rPr>
                <w:b/>
                <w:bCs/>
              </w:rPr>
              <w:t>0</w:t>
            </w:r>
          </w:p>
        </w:tc>
        <w:tc>
          <w:tcPr>
            <w:tcW w:w="1227" w:type="dxa"/>
            <w:shd w:val="clear" w:color="auto" w:fill="C0C0C0"/>
            <w:vAlign w:val="center"/>
          </w:tcPr>
          <w:p w14:paraId="15BA5361" w14:textId="77777777" w:rsidR="0076357A" w:rsidRPr="00AA4C18" w:rsidRDefault="0076357A" w:rsidP="0076357A">
            <w:pPr>
              <w:jc w:val="right"/>
              <w:rPr>
                <w:b/>
                <w:bCs/>
              </w:rPr>
            </w:pPr>
            <w:r w:rsidRPr="00AA4C18">
              <w:rPr>
                <w:b/>
                <w:bCs/>
              </w:rPr>
              <w:t>0</w:t>
            </w:r>
          </w:p>
        </w:tc>
      </w:tr>
      <w:tr w:rsidR="0076357A" w:rsidRPr="00AA4C18" w14:paraId="10980D86" w14:textId="77777777" w:rsidTr="0076357A">
        <w:trPr>
          <w:trHeight w:val="132"/>
          <w:jc w:val="center"/>
        </w:trPr>
        <w:tc>
          <w:tcPr>
            <w:tcW w:w="4661" w:type="dxa"/>
            <w:noWrap/>
            <w:vAlign w:val="center"/>
          </w:tcPr>
          <w:p w14:paraId="0C4D60B9" w14:textId="77777777" w:rsidR="0076357A" w:rsidRPr="00AA4C18" w:rsidRDefault="0076357A" w:rsidP="0076357A">
            <w:r w:rsidRPr="00AA4C18">
              <w:t>v tom: za každý subjekt verejnej správy zvlášť</w:t>
            </w:r>
          </w:p>
        </w:tc>
        <w:tc>
          <w:tcPr>
            <w:tcW w:w="1267" w:type="dxa"/>
            <w:noWrap/>
            <w:vAlign w:val="center"/>
          </w:tcPr>
          <w:p w14:paraId="0F844D49" w14:textId="77777777" w:rsidR="0076357A" w:rsidRPr="00AA4C18" w:rsidRDefault="0076357A" w:rsidP="0076357A">
            <w:pPr>
              <w:jc w:val="right"/>
            </w:pPr>
            <w:r w:rsidRPr="00AA4C18">
              <w:t>0</w:t>
            </w:r>
          </w:p>
        </w:tc>
        <w:tc>
          <w:tcPr>
            <w:tcW w:w="1347" w:type="dxa"/>
            <w:noWrap/>
            <w:vAlign w:val="center"/>
          </w:tcPr>
          <w:p w14:paraId="6195A636" w14:textId="77777777" w:rsidR="0076357A" w:rsidRPr="00AA4C18" w:rsidRDefault="0076357A" w:rsidP="0076357A">
            <w:pPr>
              <w:jc w:val="right"/>
            </w:pPr>
            <w:r w:rsidRPr="00AA4C18">
              <w:t>0</w:t>
            </w:r>
          </w:p>
        </w:tc>
        <w:tc>
          <w:tcPr>
            <w:tcW w:w="1460" w:type="dxa"/>
            <w:noWrap/>
            <w:vAlign w:val="center"/>
          </w:tcPr>
          <w:p w14:paraId="45164467" w14:textId="77777777" w:rsidR="0076357A" w:rsidRPr="00AA4C18" w:rsidRDefault="0076357A" w:rsidP="0076357A">
            <w:pPr>
              <w:jc w:val="right"/>
            </w:pPr>
            <w:r w:rsidRPr="00AA4C18">
              <w:t>0</w:t>
            </w:r>
          </w:p>
        </w:tc>
        <w:tc>
          <w:tcPr>
            <w:tcW w:w="1227" w:type="dxa"/>
            <w:noWrap/>
            <w:vAlign w:val="center"/>
          </w:tcPr>
          <w:p w14:paraId="024AF4A5" w14:textId="77777777" w:rsidR="0076357A" w:rsidRPr="00AA4C18" w:rsidRDefault="0076357A" w:rsidP="0076357A">
            <w:pPr>
              <w:jc w:val="right"/>
            </w:pPr>
            <w:r w:rsidRPr="00AA4C18">
              <w:t>0</w:t>
            </w:r>
          </w:p>
        </w:tc>
      </w:tr>
      <w:tr w:rsidR="0076357A" w:rsidRPr="00AA4C18" w14:paraId="1C15E9F2" w14:textId="77777777" w:rsidTr="0076357A">
        <w:trPr>
          <w:trHeight w:val="70"/>
          <w:jc w:val="center"/>
        </w:trPr>
        <w:tc>
          <w:tcPr>
            <w:tcW w:w="4661" w:type="dxa"/>
            <w:noWrap/>
            <w:vAlign w:val="center"/>
          </w:tcPr>
          <w:p w14:paraId="344B8E45" w14:textId="77777777" w:rsidR="0076357A" w:rsidRPr="00AA4C18" w:rsidRDefault="0076357A" w:rsidP="0076357A">
            <w:pPr>
              <w:rPr>
                <w:b/>
                <w:bCs/>
                <w:i/>
                <w:iCs/>
              </w:rPr>
            </w:pPr>
            <w:r w:rsidRPr="00AA4C18">
              <w:rPr>
                <w:b/>
                <w:bCs/>
                <w:i/>
                <w:iCs/>
              </w:rPr>
              <w:t xml:space="preserve">z toho:  </w:t>
            </w:r>
          </w:p>
        </w:tc>
        <w:tc>
          <w:tcPr>
            <w:tcW w:w="1267" w:type="dxa"/>
            <w:noWrap/>
            <w:vAlign w:val="center"/>
          </w:tcPr>
          <w:p w14:paraId="519DCD93" w14:textId="77777777" w:rsidR="0076357A" w:rsidRPr="00AA4C18" w:rsidRDefault="0076357A" w:rsidP="0076357A">
            <w:pPr>
              <w:jc w:val="right"/>
              <w:rPr>
                <w:b/>
                <w:bCs/>
                <w:iCs/>
              </w:rPr>
            </w:pPr>
          </w:p>
        </w:tc>
        <w:tc>
          <w:tcPr>
            <w:tcW w:w="1347" w:type="dxa"/>
            <w:noWrap/>
            <w:vAlign w:val="center"/>
          </w:tcPr>
          <w:p w14:paraId="2DE45872" w14:textId="77777777" w:rsidR="0076357A" w:rsidRPr="00AA4C18" w:rsidRDefault="0076357A" w:rsidP="0076357A">
            <w:pPr>
              <w:jc w:val="right"/>
              <w:rPr>
                <w:b/>
                <w:bCs/>
                <w:iCs/>
              </w:rPr>
            </w:pPr>
          </w:p>
        </w:tc>
        <w:tc>
          <w:tcPr>
            <w:tcW w:w="1460" w:type="dxa"/>
            <w:noWrap/>
            <w:vAlign w:val="center"/>
          </w:tcPr>
          <w:p w14:paraId="2C21D14D" w14:textId="77777777" w:rsidR="0076357A" w:rsidRPr="00AA4C18" w:rsidRDefault="0076357A" w:rsidP="0076357A">
            <w:pPr>
              <w:jc w:val="right"/>
              <w:rPr>
                <w:b/>
                <w:bCs/>
                <w:iCs/>
              </w:rPr>
            </w:pPr>
          </w:p>
        </w:tc>
        <w:tc>
          <w:tcPr>
            <w:tcW w:w="1227" w:type="dxa"/>
            <w:noWrap/>
            <w:vAlign w:val="center"/>
          </w:tcPr>
          <w:p w14:paraId="2867402E" w14:textId="77777777" w:rsidR="0076357A" w:rsidRPr="00AA4C18" w:rsidRDefault="0076357A" w:rsidP="0076357A">
            <w:pPr>
              <w:jc w:val="right"/>
              <w:rPr>
                <w:b/>
                <w:bCs/>
                <w:iCs/>
              </w:rPr>
            </w:pPr>
          </w:p>
        </w:tc>
      </w:tr>
      <w:tr w:rsidR="0076357A" w:rsidRPr="00AA4C18" w14:paraId="2CC2098A" w14:textId="77777777" w:rsidTr="0076357A">
        <w:trPr>
          <w:trHeight w:val="125"/>
          <w:jc w:val="center"/>
        </w:trPr>
        <w:tc>
          <w:tcPr>
            <w:tcW w:w="4661" w:type="dxa"/>
            <w:noWrap/>
            <w:vAlign w:val="center"/>
          </w:tcPr>
          <w:p w14:paraId="0FBCBC76" w14:textId="77777777" w:rsidR="0076357A" w:rsidRPr="00AA4C18" w:rsidRDefault="0076357A" w:rsidP="0076357A">
            <w:pPr>
              <w:rPr>
                <w:b/>
                <w:bCs/>
                <w:i/>
                <w:iCs/>
              </w:rPr>
            </w:pPr>
            <w:r w:rsidRPr="00AA4C18">
              <w:rPr>
                <w:b/>
                <w:bCs/>
                <w:i/>
                <w:iCs/>
              </w:rPr>
              <w:t>- vplyv na ŠR</w:t>
            </w:r>
          </w:p>
        </w:tc>
        <w:tc>
          <w:tcPr>
            <w:tcW w:w="1267" w:type="dxa"/>
            <w:noWrap/>
            <w:vAlign w:val="center"/>
          </w:tcPr>
          <w:p w14:paraId="5696C2A6" w14:textId="77777777" w:rsidR="0076357A" w:rsidRPr="00AA4C18" w:rsidRDefault="0076357A" w:rsidP="0076357A">
            <w:pPr>
              <w:jc w:val="right"/>
              <w:rPr>
                <w:b/>
                <w:bCs/>
                <w:iCs/>
              </w:rPr>
            </w:pPr>
            <w:r w:rsidRPr="00AA4C18">
              <w:rPr>
                <w:b/>
                <w:bCs/>
                <w:iCs/>
              </w:rPr>
              <w:t>0</w:t>
            </w:r>
          </w:p>
        </w:tc>
        <w:tc>
          <w:tcPr>
            <w:tcW w:w="1347" w:type="dxa"/>
            <w:noWrap/>
            <w:vAlign w:val="center"/>
          </w:tcPr>
          <w:p w14:paraId="70B63497" w14:textId="77777777" w:rsidR="0076357A" w:rsidRPr="00AA4C18" w:rsidRDefault="0076357A" w:rsidP="0076357A">
            <w:pPr>
              <w:jc w:val="right"/>
              <w:rPr>
                <w:b/>
                <w:bCs/>
                <w:iCs/>
              </w:rPr>
            </w:pPr>
            <w:r w:rsidRPr="00AA4C18">
              <w:rPr>
                <w:b/>
                <w:bCs/>
                <w:iCs/>
              </w:rPr>
              <w:t>0</w:t>
            </w:r>
          </w:p>
        </w:tc>
        <w:tc>
          <w:tcPr>
            <w:tcW w:w="1460" w:type="dxa"/>
            <w:noWrap/>
            <w:vAlign w:val="center"/>
          </w:tcPr>
          <w:p w14:paraId="190C8057" w14:textId="77777777" w:rsidR="0076357A" w:rsidRPr="00AA4C18" w:rsidRDefault="0076357A" w:rsidP="0076357A">
            <w:pPr>
              <w:jc w:val="right"/>
              <w:rPr>
                <w:b/>
                <w:bCs/>
                <w:iCs/>
              </w:rPr>
            </w:pPr>
            <w:r w:rsidRPr="00AA4C18">
              <w:rPr>
                <w:b/>
                <w:bCs/>
                <w:iCs/>
              </w:rPr>
              <w:t>0</w:t>
            </w:r>
          </w:p>
        </w:tc>
        <w:tc>
          <w:tcPr>
            <w:tcW w:w="1227" w:type="dxa"/>
            <w:noWrap/>
            <w:vAlign w:val="center"/>
          </w:tcPr>
          <w:p w14:paraId="0FA44A46" w14:textId="77777777" w:rsidR="0076357A" w:rsidRPr="00AA4C18" w:rsidRDefault="0076357A" w:rsidP="0076357A">
            <w:pPr>
              <w:jc w:val="right"/>
              <w:rPr>
                <w:b/>
                <w:bCs/>
                <w:iCs/>
              </w:rPr>
            </w:pPr>
            <w:r w:rsidRPr="00AA4C18">
              <w:rPr>
                <w:b/>
                <w:bCs/>
                <w:iCs/>
              </w:rPr>
              <w:t>0</w:t>
            </w:r>
          </w:p>
        </w:tc>
      </w:tr>
      <w:tr w:rsidR="0076357A" w:rsidRPr="00AA4C18" w14:paraId="53898D98" w14:textId="77777777" w:rsidTr="0076357A">
        <w:trPr>
          <w:trHeight w:val="125"/>
          <w:jc w:val="center"/>
        </w:trPr>
        <w:tc>
          <w:tcPr>
            <w:tcW w:w="4661" w:type="dxa"/>
            <w:noWrap/>
            <w:vAlign w:val="center"/>
          </w:tcPr>
          <w:p w14:paraId="2AF4D01F" w14:textId="77777777" w:rsidR="0076357A" w:rsidRPr="00AA4C18" w:rsidRDefault="0076357A" w:rsidP="0076357A">
            <w:pPr>
              <w:ind w:left="259"/>
              <w:rPr>
                <w:b/>
                <w:bCs/>
                <w:i/>
                <w:iCs/>
              </w:rPr>
            </w:pPr>
            <w:r w:rsidRPr="00AA4C18">
              <w:rPr>
                <w:bCs/>
                <w:i/>
                <w:iCs/>
              </w:rPr>
              <w:t>Rozpočtové prostriedky</w:t>
            </w:r>
          </w:p>
        </w:tc>
        <w:tc>
          <w:tcPr>
            <w:tcW w:w="1267" w:type="dxa"/>
            <w:noWrap/>
            <w:vAlign w:val="center"/>
          </w:tcPr>
          <w:p w14:paraId="0CE0F8B3" w14:textId="77777777" w:rsidR="0076357A" w:rsidRPr="00AA4C18" w:rsidRDefault="0076357A" w:rsidP="0076357A">
            <w:pPr>
              <w:jc w:val="right"/>
              <w:rPr>
                <w:b/>
                <w:bCs/>
                <w:iCs/>
              </w:rPr>
            </w:pPr>
            <w:r w:rsidRPr="00AA4C18">
              <w:rPr>
                <w:b/>
                <w:bCs/>
                <w:iCs/>
              </w:rPr>
              <w:t>0</w:t>
            </w:r>
          </w:p>
        </w:tc>
        <w:tc>
          <w:tcPr>
            <w:tcW w:w="1347" w:type="dxa"/>
            <w:noWrap/>
            <w:vAlign w:val="center"/>
          </w:tcPr>
          <w:p w14:paraId="2DB1B0C9" w14:textId="77777777" w:rsidR="0076357A" w:rsidRPr="00AA4C18" w:rsidRDefault="0076357A" w:rsidP="0076357A">
            <w:pPr>
              <w:jc w:val="right"/>
              <w:rPr>
                <w:b/>
                <w:bCs/>
                <w:iCs/>
              </w:rPr>
            </w:pPr>
            <w:r w:rsidRPr="00AA4C18">
              <w:rPr>
                <w:b/>
                <w:bCs/>
                <w:iCs/>
              </w:rPr>
              <w:t>0</w:t>
            </w:r>
          </w:p>
        </w:tc>
        <w:tc>
          <w:tcPr>
            <w:tcW w:w="1460" w:type="dxa"/>
            <w:noWrap/>
            <w:vAlign w:val="center"/>
          </w:tcPr>
          <w:p w14:paraId="14D7ECFC" w14:textId="77777777" w:rsidR="0076357A" w:rsidRPr="00AA4C18" w:rsidRDefault="0076357A" w:rsidP="0076357A">
            <w:pPr>
              <w:jc w:val="right"/>
              <w:rPr>
                <w:b/>
                <w:bCs/>
                <w:iCs/>
              </w:rPr>
            </w:pPr>
            <w:r w:rsidRPr="00AA4C18">
              <w:rPr>
                <w:b/>
                <w:bCs/>
                <w:iCs/>
              </w:rPr>
              <w:t>0</w:t>
            </w:r>
          </w:p>
        </w:tc>
        <w:tc>
          <w:tcPr>
            <w:tcW w:w="1227" w:type="dxa"/>
            <w:noWrap/>
            <w:vAlign w:val="center"/>
          </w:tcPr>
          <w:p w14:paraId="3AAB2A7B" w14:textId="77777777" w:rsidR="0076357A" w:rsidRPr="00AA4C18" w:rsidRDefault="0076357A" w:rsidP="0076357A">
            <w:pPr>
              <w:jc w:val="right"/>
              <w:rPr>
                <w:b/>
                <w:bCs/>
                <w:iCs/>
              </w:rPr>
            </w:pPr>
            <w:r w:rsidRPr="00AA4C18">
              <w:rPr>
                <w:b/>
                <w:bCs/>
                <w:iCs/>
              </w:rPr>
              <w:t>0</w:t>
            </w:r>
          </w:p>
        </w:tc>
      </w:tr>
      <w:tr w:rsidR="0076357A" w:rsidRPr="00AA4C18" w14:paraId="0ABF35AB" w14:textId="77777777" w:rsidTr="0076357A">
        <w:trPr>
          <w:trHeight w:val="125"/>
          <w:jc w:val="center"/>
        </w:trPr>
        <w:tc>
          <w:tcPr>
            <w:tcW w:w="4661" w:type="dxa"/>
            <w:noWrap/>
            <w:vAlign w:val="center"/>
          </w:tcPr>
          <w:p w14:paraId="5F09E30C" w14:textId="77777777" w:rsidR="0076357A" w:rsidRPr="00AA4C18" w:rsidRDefault="0076357A" w:rsidP="0076357A">
            <w:pPr>
              <w:ind w:left="259"/>
              <w:rPr>
                <w:bCs/>
                <w:i/>
                <w:iCs/>
              </w:rPr>
            </w:pPr>
            <w:r w:rsidRPr="00AA4C18">
              <w:rPr>
                <w:bCs/>
                <w:i/>
                <w:iCs/>
              </w:rPr>
              <w:t>EÚ zdroje</w:t>
            </w:r>
          </w:p>
        </w:tc>
        <w:tc>
          <w:tcPr>
            <w:tcW w:w="1267" w:type="dxa"/>
            <w:noWrap/>
            <w:vAlign w:val="center"/>
          </w:tcPr>
          <w:p w14:paraId="1958339B" w14:textId="77777777" w:rsidR="0076357A" w:rsidRPr="00AA4C18" w:rsidRDefault="0076357A" w:rsidP="0076357A">
            <w:pPr>
              <w:jc w:val="right"/>
            </w:pPr>
            <w:r w:rsidRPr="00AA4C18">
              <w:t>0</w:t>
            </w:r>
          </w:p>
        </w:tc>
        <w:tc>
          <w:tcPr>
            <w:tcW w:w="1347" w:type="dxa"/>
            <w:noWrap/>
            <w:vAlign w:val="center"/>
          </w:tcPr>
          <w:p w14:paraId="67C07887" w14:textId="77777777" w:rsidR="0076357A" w:rsidRPr="00AA4C18" w:rsidRDefault="0076357A" w:rsidP="0076357A">
            <w:pPr>
              <w:jc w:val="right"/>
            </w:pPr>
            <w:r w:rsidRPr="00AA4C18">
              <w:t>0</w:t>
            </w:r>
          </w:p>
        </w:tc>
        <w:tc>
          <w:tcPr>
            <w:tcW w:w="1460" w:type="dxa"/>
            <w:noWrap/>
            <w:vAlign w:val="center"/>
          </w:tcPr>
          <w:p w14:paraId="5DDCCE39" w14:textId="77777777" w:rsidR="0076357A" w:rsidRPr="00AA4C18" w:rsidRDefault="0076357A" w:rsidP="0076357A">
            <w:pPr>
              <w:jc w:val="right"/>
            </w:pPr>
            <w:r w:rsidRPr="00AA4C18">
              <w:t>0</w:t>
            </w:r>
          </w:p>
        </w:tc>
        <w:tc>
          <w:tcPr>
            <w:tcW w:w="1227" w:type="dxa"/>
            <w:noWrap/>
            <w:vAlign w:val="center"/>
          </w:tcPr>
          <w:p w14:paraId="7AE05238" w14:textId="77777777" w:rsidR="0076357A" w:rsidRPr="00AA4C18" w:rsidRDefault="0076357A" w:rsidP="0076357A">
            <w:pPr>
              <w:jc w:val="right"/>
            </w:pPr>
            <w:r w:rsidRPr="00AA4C18">
              <w:t>0</w:t>
            </w:r>
          </w:p>
        </w:tc>
      </w:tr>
      <w:tr w:rsidR="0076357A" w:rsidRPr="00AA4C18" w14:paraId="0A8C2868" w14:textId="77777777" w:rsidTr="0076357A">
        <w:trPr>
          <w:trHeight w:val="125"/>
          <w:jc w:val="center"/>
        </w:trPr>
        <w:tc>
          <w:tcPr>
            <w:tcW w:w="4661" w:type="dxa"/>
            <w:noWrap/>
            <w:vAlign w:val="center"/>
          </w:tcPr>
          <w:p w14:paraId="647A9665" w14:textId="77777777" w:rsidR="0076357A" w:rsidRPr="00AA4C18" w:rsidRDefault="0076357A" w:rsidP="0076357A">
            <w:pPr>
              <w:rPr>
                <w:b/>
                <w:bCs/>
                <w:i/>
                <w:iCs/>
              </w:rPr>
            </w:pPr>
            <w:r w:rsidRPr="00AA4C18">
              <w:rPr>
                <w:b/>
                <w:bCs/>
                <w:i/>
                <w:iCs/>
              </w:rPr>
              <w:t>- vplyv na obce</w:t>
            </w:r>
          </w:p>
        </w:tc>
        <w:tc>
          <w:tcPr>
            <w:tcW w:w="1267" w:type="dxa"/>
            <w:noWrap/>
            <w:vAlign w:val="center"/>
          </w:tcPr>
          <w:p w14:paraId="4DE88026" w14:textId="77777777" w:rsidR="0076357A" w:rsidRPr="00AA4C18" w:rsidRDefault="0076357A" w:rsidP="0076357A">
            <w:pPr>
              <w:jc w:val="right"/>
              <w:rPr>
                <w:b/>
                <w:bCs/>
                <w:iCs/>
              </w:rPr>
            </w:pPr>
            <w:r w:rsidRPr="00AA4C18">
              <w:rPr>
                <w:b/>
                <w:bCs/>
                <w:iCs/>
              </w:rPr>
              <w:t>0</w:t>
            </w:r>
          </w:p>
        </w:tc>
        <w:tc>
          <w:tcPr>
            <w:tcW w:w="1347" w:type="dxa"/>
            <w:noWrap/>
            <w:vAlign w:val="center"/>
          </w:tcPr>
          <w:p w14:paraId="6B891B60" w14:textId="77777777" w:rsidR="0076357A" w:rsidRPr="00AA4C18" w:rsidRDefault="0076357A" w:rsidP="0076357A">
            <w:pPr>
              <w:jc w:val="right"/>
              <w:rPr>
                <w:b/>
                <w:bCs/>
                <w:iCs/>
              </w:rPr>
            </w:pPr>
            <w:r w:rsidRPr="00AA4C18">
              <w:rPr>
                <w:b/>
                <w:bCs/>
                <w:iCs/>
              </w:rPr>
              <w:t>0</w:t>
            </w:r>
          </w:p>
        </w:tc>
        <w:tc>
          <w:tcPr>
            <w:tcW w:w="1460" w:type="dxa"/>
            <w:noWrap/>
            <w:vAlign w:val="center"/>
          </w:tcPr>
          <w:p w14:paraId="05EC2F75" w14:textId="77777777" w:rsidR="0076357A" w:rsidRPr="00AA4C18" w:rsidRDefault="0076357A" w:rsidP="0076357A">
            <w:pPr>
              <w:jc w:val="right"/>
              <w:rPr>
                <w:b/>
                <w:bCs/>
                <w:iCs/>
              </w:rPr>
            </w:pPr>
            <w:r w:rsidRPr="00AA4C18">
              <w:rPr>
                <w:b/>
                <w:bCs/>
                <w:iCs/>
              </w:rPr>
              <w:t>0</w:t>
            </w:r>
          </w:p>
        </w:tc>
        <w:tc>
          <w:tcPr>
            <w:tcW w:w="1227" w:type="dxa"/>
            <w:noWrap/>
            <w:vAlign w:val="center"/>
          </w:tcPr>
          <w:p w14:paraId="50E55F77" w14:textId="77777777" w:rsidR="0076357A" w:rsidRPr="00AA4C18" w:rsidRDefault="0076357A" w:rsidP="0076357A">
            <w:pPr>
              <w:jc w:val="right"/>
              <w:rPr>
                <w:b/>
                <w:bCs/>
                <w:iCs/>
              </w:rPr>
            </w:pPr>
            <w:r w:rsidRPr="00AA4C18">
              <w:rPr>
                <w:b/>
                <w:bCs/>
                <w:iCs/>
              </w:rPr>
              <w:t>0</w:t>
            </w:r>
          </w:p>
        </w:tc>
      </w:tr>
      <w:tr w:rsidR="0076357A" w:rsidRPr="00AA4C18" w14:paraId="7217B813" w14:textId="77777777" w:rsidTr="0076357A">
        <w:trPr>
          <w:trHeight w:val="125"/>
          <w:jc w:val="center"/>
        </w:trPr>
        <w:tc>
          <w:tcPr>
            <w:tcW w:w="4661" w:type="dxa"/>
            <w:noWrap/>
            <w:vAlign w:val="center"/>
          </w:tcPr>
          <w:p w14:paraId="3DF6DEE5"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42D1CB1C" w14:textId="77777777" w:rsidR="0076357A" w:rsidRPr="00AA4C18" w:rsidRDefault="0076357A" w:rsidP="0076357A">
            <w:pPr>
              <w:jc w:val="right"/>
              <w:rPr>
                <w:b/>
                <w:bCs/>
                <w:iCs/>
              </w:rPr>
            </w:pPr>
            <w:r w:rsidRPr="00AA4C18">
              <w:rPr>
                <w:b/>
                <w:bCs/>
                <w:iCs/>
              </w:rPr>
              <w:t>0</w:t>
            </w:r>
          </w:p>
        </w:tc>
        <w:tc>
          <w:tcPr>
            <w:tcW w:w="1347" w:type="dxa"/>
            <w:noWrap/>
            <w:vAlign w:val="center"/>
          </w:tcPr>
          <w:p w14:paraId="0569DBCC" w14:textId="77777777" w:rsidR="0076357A" w:rsidRPr="00AA4C18" w:rsidRDefault="0076357A" w:rsidP="0076357A">
            <w:pPr>
              <w:jc w:val="right"/>
              <w:rPr>
                <w:b/>
                <w:bCs/>
                <w:iCs/>
              </w:rPr>
            </w:pPr>
            <w:r w:rsidRPr="00AA4C18">
              <w:rPr>
                <w:b/>
                <w:bCs/>
                <w:iCs/>
              </w:rPr>
              <w:t>0</w:t>
            </w:r>
          </w:p>
        </w:tc>
        <w:tc>
          <w:tcPr>
            <w:tcW w:w="1460" w:type="dxa"/>
            <w:noWrap/>
            <w:vAlign w:val="center"/>
          </w:tcPr>
          <w:p w14:paraId="4921E6CB" w14:textId="77777777" w:rsidR="0076357A" w:rsidRPr="00AA4C18" w:rsidRDefault="0076357A" w:rsidP="0076357A">
            <w:pPr>
              <w:jc w:val="right"/>
              <w:rPr>
                <w:b/>
                <w:bCs/>
                <w:iCs/>
              </w:rPr>
            </w:pPr>
            <w:r w:rsidRPr="00AA4C18">
              <w:rPr>
                <w:b/>
                <w:bCs/>
                <w:iCs/>
              </w:rPr>
              <w:t>0</w:t>
            </w:r>
          </w:p>
        </w:tc>
        <w:tc>
          <w:tcPr>
            <w:tcW w:w="1227" w:type="dxa"/>
            <w:noWrap/>
            <w:vAlign w:val="center"/>
          </w:tcPr>
          <w:p w14:paraId="349FD0BD" w14:textId="77777777" w:rsidR="0076357A" w:rsidRPr="00AA4C18" w:rsidRDefault="0076357A" w:rsidP="0076357A">
            <w:pPr>
              <w:jc w:val="right"/>
              <w:rPr>
                <w:b/>
                <w:bCs/>
                <w:iCs/>
              </w:rPr>
            </w:pPr>
            <w:r w:rsidRPr="00AA4C18">
              <w:rPr>
                <w:b/>
                <w:bCs/>
                <w:iCs/>
              </w:rPr>
              <w:t>0</w:t>
            </w:r>
          </w:p>
        </w:tc>
      </w:tr>
      <w:tr w:rsidR="0076357A" w:rsidRPr="00AA4C18" w14:paraId="30A4FF01" w14:textId="77777777" w:rsidTr="0076357A">
        <w:trPr>
          <w:trHeight w:val="125"/>
          <w:jc w:val="center"/>
        </w:trPr>
        <w:tc>
          <w:tcPr>
            <w:tcW w:w="4661" w:type="dxa"/>
            <w:noWrap/>
            <w:vAlign w:val="center"/>
          </w:tcPr>
          <w:p w14:paraId="12FDB3CE" w14:textId="77777777" w:rsidR="0076357A" w:rsidRPr="00AA4C18" w:rsidRDefault="0076357A" w:rsidP="0076357A">
            <w:pPr>
              <w:rPr>
                <w:b/>
                <w:bCs/>
                <w:i/>
                <w:iCs/>
              </w:rPr>
            </w:pPr>
            <w:r w:rsidRPr="00AA4C18">
              <w:rPr>
                <w:b/>
                <w:bCs/>
                <w:i/>
                <w:iCs/>
              </w:rPr>
              <w:t>- vplyv na ostatné subjekty verejnej správy</w:t>
            </w:r>
          </w:p>
        </w:tc>
        <w:tc>
          <w:tcPr>
            <w:tcW w:w="1267" w:type="dxa"/>
            <w:noWrap/>
            <w:vAlign w:val="center"/>
          </w:tcPr>
          <w:p w14:paraId="29E7A5E7" w14:textId="77777777" w:rsidR="0076357A" w:rsidRPr="00AA4C18" w:rsidRDefault="0076357A" w:rsidP="0076357A">
            <w:pPr>
              <w:jc w:val="right"/>
              <w:rPr>
                <w:b/>
                <w:bCs/>
                <w:iCs/>
              </w:rPr>
            </w:pPr>
            <w:r w:rsidRPr="00AA4C18">
              <w:rPr>
                <w:b/>
                <w:bCs/>
                <w:iCs/>
              </w:rPr>
              <w:t>0</w:t>
            </w:r>
          </w:p>
        </w:tc>
        <w:tc>
          <w:tcPr>
            <w:tcW w:w="1347" w:type="dxa"/>
            <w:noWrap/>
            <w:vAlign w:val="center"/>
          </w:tcPr>
          <w:p w14:paraId="36D44E02" w14:textId="77777777" w:rsidR="0076357A" w:rsidRPr="00AA4C18" w:rsidRDefault="0076357A" w:rsidP="0076357A">
            <w:pPr>
              <w:jc w:val="right"/>
              <w:rPr>
                <w:b/>
                <w:bCs/>
                <w:iCs/>
              </w:rPr>
            </w:pPr>
            <w:r w:rsidRPr="00AA4C18">
              <w:rPr>
                <w:b/>
                <w:bCs/>
                <w:iCs/>
              </w:rPr>
              <w:t>0</w:t>
            </w:r>
          </w:p>
        </w:tc>
        <w:tc>
          <w:tcPr>
            <w:tcW w:w="1460" w:type="dxa"/>
            <w:noWrap/>
            <w:vAlign w:val="center"/>
          </w:tcPr>
          <w:p w14:paraId="09C17A52" w14:textId="77777777" w:rsidR="0076357A" w:rsidRPr="00AA4C18" w:rsidRDefault="0076357A" w:rsidP="0076357A">
            <w:pPr>
              <w:jc w:val="right"/>
              <w:rPr>
                <w:b/>
                <w:bCs/>
                <w:iCs/>
              </w:rPr>
            </w:pPr>
            <w:r w:rsidRPr="00AA4C18">
              <w:rPr>
                <w:b/>
                <w:bCs/>
                <w:iCs/>
              </w:rPr>
              <w:t>0</w:t>
            </w:r>
          </w:p>
        </w:tc>
        <w:tc>
          <w:tcPr>
            <w:tcW w:w="1227" w:type="dxa"/>
            <w:noWrap/>
            <w:vAlign w:val="center"/>
          </w:tcPr>
          <w:p w14:paraId="5E7E5C3A" w14:textId="77777777" w:rsidR="0076357A" w:rsidRPr="00AA4C18" w:rsidRDefault="0076357A" w:rsidP="0076357A">
            <w:pPr>
              <w:jc w:val="right"/>
              <w:rPr>
                <w:b/>
                <w:bCs/>
                <w:iCs/>
              </w:rPr>
            </w:pPr>
            <w:r w:rsidRPr="00AA4C18">
              <w:rPr>
                <w:b/>
                <w:bCs/>
                <w:iCs/>
              </w:rPr>
              <w:t>0</w:t>
            </w:r>
          </w:p>
        </w:tc>
      </w:tr>
      <w:tr w:rsidR="0076357A" w:rsidRPr="00AA4C18" w14:paraId="545D658D" w14:textId="77777777" w:rsidTr="0076357A">
        <w:trPr>
          <w:trHeight w:val="125"/>
          <w:jc w:val="center"/>
        </w:trPr>
        <w:tc>
          <w:tcPr>
            <w:tcW w:w="4661" w:type="dxa"/>
            <w:shd w:val="clear" w:color="auto" w:fill="C0C0C0"/>
            <w:noWrap/>
            <w:vAlign w:val="center"/>
          </w:tcPr>
          <w:p w14:paraId="44D78C59" w14:textId="77777777" w:rsidR="0076357A" w:rsidRPr="00AA4C18" w:rsidRDefault="0076357A" w:rsidP="0076357A">
            <w:pPr>
              <w:rPr>
                <w:b/>
                <w:bCs/>
              </w:rPr>
            </w:pPr>
            <w:r w:rsidRPr="00AA4C18">
              <w:rPr>
                <w:b/>
                <w:bCs/>
              </w:rPr>
              <w:t>Výdavky verejnej správy celkom</w:t>
            </w:r>
          </w:p>
        </w:tc>
        <w:tc>
          <w:tcPr>
            <w:tcW w:w="1267" w:type="dxa"/>
            <w:shd w:val="clear" w:color="auto" w:fill="C0C0C0"/>
            <w:noWrap/>
            <w:vAlign w:val="center"/>
          </w:tcPr>
          <w:p w14:paraId="1C301B02" w14:textId="77777777" w:rsidR="0076357A" w:rsidRPr="00AA4C18" w:rsidRDefault="0076357A" w:rsidP="0076357A">
            <w:pPr>
              <w:jc w:val="right"/>
              <w:rPr>
                <w:b/>
                <w:bCs/>
              </w:rPr>
            </w:pPr>
            <w:r w:rsidRPr="00AA4C18">
              <w:rPr>
                <w:b/>
                <w:bCs/>
              </w:rPr>
              <w:t>6 556 000</w:t>
            </w:r>
          </w:p>
        </w:tc>
        <w:tc>
          <w:tcPr>
            <w:tcW w:w="1347" w:type="dxa"/>
            <w:shd w:val="clear" w:color="auto" w:fill="C0C0C0"/>
            <w:noWrap/>
            <w:vAlign w:val="center"/>
          </w:tcPr>
          <w:p w14:paraId="7C88EC0C" w14:textId="77777777" w:rsidR="0076357A" w:rsidRPr="00AA4C18" w:rsidRDefault="0076357A" w:rsidP="0076357A">
            <w:pPr>
              <w:jc w:val="right"/>
              <w:rPr>
                <w:b/>
                <w:bCs/>
              </w:rPr>
            </w:pPr>
            <w:r w:rsidRPr="00AA4C18">
              <w:rPr>
                <w:b/>
                <w:bCs/>
              </w:rPr>
              <w:t>24 458 290</w:t>
            </w:r>
          </w:p>
        </w:tc>
        <w:tc>
          <w:tcPr>
            <w:tcW w:w="1460" w:type="dxa"/>
            <w:shd w:val="clear" w:color="auto" w:fill="C0C0C0"/>
            <w:noWrap/>
            <w:vAlign w:val="center"/>
          </w:tcPr>
          <w:p w14:paraId="2BD47DC6" w14:textId="77777777" w:rsidR="0076357A" w:rsidRPr="00AA4C18" w:rsidRDefault="0076357A" w:rsidP="0076357A">
            <w:pPr>
              <w:jc w:val="right"/>
              <w:rPr>
                <w:b/>
                <w:bCs/>
              </w:rPr>
            </w:pPr>
            <w:r w:rsidRPr="00AA4C18">
              <w:rPr>
                <w:b/>
                <w:bCs/>
              </w:rPr>
              <w:t>20 916 989</w:t>
            </w:r>
          </w:p>
        </w:tc>
        <w:tc>
          <w:tcPr>
            <w:tcW w:w="1227" w:type="dxa"/>
            <w:shd w:val="clear" w:color="auto" w:fill="C0C0C0"/>
            <w:noWrap/>
            <w:vAlign w:val="center"/>
          </w:tcPr>
          <w:p w14:paraId="11E9E0AF" w14:textId="77777777" w:rsidR="0076357A" w:rsidRPr="00AA4C18" w:rsidRDefault="0076357A" w:rsidP="0076357A">
            <w:pPr>
              <w:jc w:val="right"/>
              <w:rPr>
                <w:b/>
                <w:bCs/>
              </w:rPr>
            </w:pPr>
            <w:r w:rsidRPr="00AA4C18">
              <w:rPr>
                <w:b/>
                <w:bCs/>
              </w:rPr>
              <w:t xml:space="preserve">2 966 372   </w:t>
            </w:r>
          </w:p>
        </w:tc>
      </w:tr>
      <w:tr w:rsidR="0076357A" w:rsidRPr="00AA4C18" w14:paraId="52CC9106" w14:textId="77777777" w:rsidTr="0076357A">
        <w:trPr>
          <w:trHeight w:val="70"/>
          <w:jc w:val="center"/>
        </w:trPr>
        <w:tc>
          <w:tcPr>
            <w:tcW w:w="4661" w:type="dxa"/>
            <w:noWrap/>
            <w:vAlign w:val="center"/>
          </w:tcPr>
          <w:p w14:paraId="1E0DB31B" w14:textId="77777777" w:rsidR="0076357A" w:rsidRPr="00AA4C18" w:rsidRDefault="0076357A" w:rsidP="0076357A">
            <w:r w:rsidRPr="00AA4C18">
              <w:t>v tom: za každý subjekt verejnej správy / program zvlášť</w:t>
            </w:r>
          </w:p>
        </w:tc>
        <w:tc>
          <w:tcPr>
            <w:tcW w:w="1267" w:type="dxa"/>
            <w:noWrap/>
            <w:vAlign w:val="center"/>
          </w:tcPr>
          <w:p w14:paraId="0E9CE755" w14:textId="77777777" w:rsidR="0076357A" w:rsidRPr="00AA4C18" w:rsidRDefault="0076357A" w:rsidP="0076357A">
            <w:pPr>
              <w:jc w:val="right"/>
            </w:pPr>
            <w:r w:rsidRPr="00AA4C18">
              <w:t>0</w:t>
            </w:r>
          </w:p>
        </w:tc>
        <w:tc>
          <w:tcPr>
            <w:tcW w:w="1347" w:type="dxa"/>
            <w:noWrap/>
            <w:vAlign w:val="center"/>
          </w:tcPr>
          <w:p w14:paraId="34635729" w14:textId="77777777" w:rsidR="0076357A" w:rsidRPr="00AA4C18" w:rsidRDefault="0076357A" w:rsidP="0076357A">
            <w:pPr>
              <w:jc w:val="right"/>
            </w:pPr>
            <w:r w:rsidRPr="00AA4C18">
              <w:t>0</w:t>
            </w:r>
          </w:p>
        </w:tc>
        <w:tc>
          <w:tcPr>
            <w:tcW w:w="1460" w:type="dxa"/>
            <w:noWrap/>
            <w:vAlign w:val="center"/>
          </w:tcPr>
          <w:p w14:paraId="62138AF9" w14:textId="77777777" w:rsidR="0076357A" w:rsidRPr="00AA4C18" w:rsidRDefault="0076357A" w:rsidP="0076357A">
            <w:pPr>
              <w:jc w:val="right"/>
            </w:pPr>
            <w:r w:rsidRPr="00AA4C18">
              <w:t>0</w:t>
            </w:r>
          </w:p>
        </w:tc>
        <w:tc>
          <w:tcPr>
            <w:tcW w:w="1227" w:type="dxa"/>
            <w:noWrap/>
            <w:vAlign w:val="center"/>
          </w:tcPr>
          <w:p w14:paraId="22C74C73" w14:textId="77777777" w:rsidR="0076357A" w:rsidRPr="00AA4C18" w:rsidRDefault="0076357A" w:rsidP="0076357A">
            <w:pPr>
              <w:jc w:val="right"/>
            </w:pPr>
            <w:r w:rsidRPr="00AA4C18">
              <w:t>0</w:t>
            </w:r>
          </w:p>
        </w:tc>
      </w:tr>
      <w:tr w:rsidR="0076357A" w:rsidRPr="00AA4C18" w14:paraId="1CF43D7D" w14:textId="77777777" w:rsidTr="0076357A">
        <w:trPr>
          <w:trHeight w:val="70"/>
          <w:jc w:val="center"/>
        </w:trPr>
        <w:tc>
          <w:tcPr>
            <w:tcW w:w="4661" w:type="dxa"/>
            <w:noWrap/>
            <w:vAlign w:val="center"/>
          </w:tcPr>
          <w:p w14:paraId="0CE46455" w14:textId="77777777" w:rsidR="0076357A" w:rsidRPr="00AA4C18" w:rsidRDefault="0076357A" w:rsidP="0076357A">
            <w:r w:rsidRPr="00AA4C18">
              <w:rPr>
                <w:i/>
              </w:rPr>
              <w:t>Rozpočtové prostriedky</w:t>
            </w:r>
            <w:r w:rsidRPr="00AA4C18">
              <w:t xml:space="preserve"> – kapitola Štatistického úradu SR – z toho:</w:t>
            </w:r>
          </w:p>
        </w:tc>
        <w:tc>
          <w:tcPr>
            <w:tcW w:w="1267" w:type="dxa"/>
            <w:noWrap/>
            <w:vAlign w:val="center"/>
          </w:tcPr>
          <w:p w14:paraId="30E9B97E" w14:textId="77777777" w:rsidR="0076357A" w:rsidRPr="00AA4C18" w:rsidRDefault="0076357A" w:rsidP="0076357A">
            <w:pPr>
              <w:jc w:val="right"/>
              <w:rPr>
                <w:b/>
                <w:bCs/>
              </w:rPr>
            </w:pPr>
            <w:r w:rsidRPr="00AA4C18">
              <w:rPr>
                <w:b/>
                <w:bCs/>
              </w:rPr>
              <w:t>6 556 000</w:t>
            </w:r>
          </w:p>
        </w:tc>
        <w:tc>
          <w:tcPr>
            <w:tcW w:w="1347" w:type="dxa"/>
            <w:noWrap/>
            <w:vAlign w:val="center"/>
          </w:tcPr>
          <w:p w14:paraId="117DDB7C" w14:textId="77777777" w:rsidR="0076357A" w:rsidRPr="00AA4C18" w:rsidRDefault="0076357A" w:rsidP="0076357A">
            <w:pPr>
              <w:jc w:val="right"/>
              <w:rPr>
                <w:b/>
                <w:bCs/>
              </w:rPr>
            </w:pPr>
            <w:r w:rsidRPr="00AA4C18">
              <w:rPr>
                <w:b/>
                <w:bCs/>
              </w:rPr>
              <w:t>24 458 290*</w:t>
            </w:r>
          </w:p>
        </w:tc>
        <w:tc>
          <w:tcPr>
            <w:tcW w:w="1460" w:type="dxa"/>
            <w:noWrap/>
            <w:vAlign w:val="center"/>
          </w:tcPr>
          <w:p w14:paraId="2459ED2E" w14:textId="77777777" w:rsidR="0076357A" w:rsidRPr="00AA4C18" w:rsidRDefault="0076357A" w:rsidP="0076357A">
            <w:pPr>
              <w:jc w:val="right"/>
              <w:rPr>
                <w:b/>
                <w:bCs/>
              </w:rPr>
            </w:pPr>
            <w:r w:rsidRPr="00AA4C18">
              <w:rPr>
                <w:b/>
                <w:bCs/>
              </w:rPr>
              <w:t>20 916 989**</w:t>
            </w:r>
          </w:p>
        </w:tc>
        <w:tc>
          <w:tcPr>
            <w:tcW w:w="1227" w:type="dxa"/>
            <w:noWrap/>
            <w:vAlign w:val="center"/>
          </w:tcPr>
          <w:p w14:paraId="28ECBBFA" w14:textId="77777777" w:rsidR="0076357A" w:rsidRPr="00AA4C18" w:rsidRDefault="0076357A" w:rsidP="0076357A">
            <w:pPr>
              <w:jc w:val="right"/>
              <w:rPr>
                <w:b/>
                <w:bCs/>
              </w:rPr>
            </w:pPr>
            <w:r w:rsidRPr="00AA4C18">
              <w:rPr>
                <w:b/>
                <w:bCs/>
              </w:rPr>
              <w:t xml:space="preserve">2 966 372   </w:t>
            </w:r>
          </w:p>
        </w:tc>
      </w:tr>
      <w:tr w:rsidR="0076357A" w:rsidRPr="00AA4C18" w14:paraId="40D9CB45" w14:textId="77777777" w:rsidTr="0076357A">
        <w:trPr>
          <w:trHeight w:val="70"/>
          <w:jc w:val="center"/>
        </w:trPr>
        <w:tc>
          <w:tcPr>
            <w:tcW w:w="4661" w:type="dxa"/>
            <w:noWrap/>
            <w:vAlign w:val="center"/>
          </w:tcPr>
          <w:p w14:paraId="60E7ABD1" w14:textId="77777777" w:rsidR="0076357A" w:rsidRPr="00AA4C18" w:rsidRDefault="0076357A" w:rsidP="0076357A">
            <w:r w:rsidRPr="00AA4C18">
              <w:t xml:space="preserve">- program 07V – Štatistické zisťovania </w:t>
            </w:r>
          </w:p>
        </w:tc>
        <w:tc>
          <w:tcPr>
            <w:tcW w:w="1267" w:type="dxa"/>
            <w:noWrap/>
            <w:vAlign w:val="center"/>
          </w:tcPr>
          <w:p w14:paraId="32B74EBD" w14:textId="77777777" w:rsidR="0076357A" w:rsidRPr="00AA4C18" w:rsidRDefault="0076357A" w:rsidP="0076357A">
            <w:pPr>
              <w:jc w:val="right"/>
              <w:rPr>
                <w:b/>
                <w:bCs/>
              </w:rPr>
            </w:pPr>
            <w:r w:rsidRPr="00AA4C18">
              <w:rPr>
                <w:b/>
                <w:bCs/>
              </w:rPr>
              <w:t>1 871 000</w:t>
            </w:r>
          </w:p>
        </w:tc>
        <w:tc>
          <w:tcPr>
            <w:tcW w:w="1347" w:type="dxa"/>
            <w:noWrap/>
            <w:vAlign w:val="center"/>
          </w:tcPr>
          <w:p w14:paraId="3D546C05" w14:textId="77777777" w:rsidR="0076357A" w:rsidRPr="00AA4C18" w:rsidRDefault="0076357A" w:rsidP="0076357A">
            <w:pPr>
              <w:jc w:val="right"/>
              <w:rPr>
                <w:b/>
                <w:bCs/>
              </w:rPr>
            </w:pPr>
            <w:r w:rsidRPr="00AA4C18">
              <w:rPr>
                <w:b/>
                <w:bCs/>
              </w:rPr>
              <w:t>14 984 290*</w:t>
            </w:r>
          </w:p>
        </w:tc>
        <w:tc>
          <w:tcPr>
            <w:tcW w:w="1460" w:type="dxa"/>
            <w:noWrap/>
            <w:vAlign w:val="center"/>
          </w:tcPr>
          <w:p w14:paraId="6AC0E0F8" w14:textId="77777777" w:rsidR="0076357A" w:rsidRPr="00AA4C18" w:rsidRDefault="0076357A" w:rsidP="0076357A">
            <w:pPr>
              <w:jc w:val="right"/>
              <w:rPr>
                <w:b/>
                <w:bCs/>
              </w:rPr>
            </w:pPr>
            <w:r w:rsidRPr="00AA4C18">
              <w:rPr>
                <w:b/>
                <w:bCs/>
              </w:rPr>
              <w:t xml:space="preserve">17 487 989** </w:t>
            </w:r>
          </w:p>
        </w:tc>
        <w:tc>
          <w:tcPr>
            <w:tcW w:w="1227" w:type="dxa"/>
            <w:noWrap/>
            <w:vAlign w:val="center"/>
          </w:tcPr>
          <w:p w14:paraId="04836C2E" w14:textId="77777777" w:rsidR="0076357A" w:rsidRPr="00AA4C18" w:rsidRDefault="0076357A" w:rsidP="0076357A">
            <w:pPr>
              <w:jc w:val="right"/>
              <w:rPr>
                <w:b/>
                <w:bCs/>
              </w:rPr>
            </w:pPr>
            <w:r w:rsidRPr="00AA4C18">
              <w:rPr>
                <w:b/>
                <w:bCs/>
              </w:rPr>
              <w:t>1 556 372</w:t>
            </w:r>
          </w:p>
        </w:tc>
      </w:tr>
      <w:tr w:rsidR="0076357A" w:rsidRPr="00AA4C18" w14:paraId="4A630EF5" w14:textId="77777777" w:rsidTr="0076357A">
        <w:trPr>
          <w:trHeight w:val="70"/>
          <w:jc w:val="center"/>
        </w:trPr>
        <w:tc>
          <w:tcPr>
            <w:tcW w:w="4661" w:type="dxa"/>
            <w:noWrap/>
            <w:vAlign w:val="center"/>
          </w:tcPr>
          <w:p w14:paraId="7E57F67F" w14:textId="77777777" w:rsidR="0076357A" w:rsidRPr="00AA4C18" w:rsidRDefault="0076357A" w:rsidP="0076357A">
            <w:r w:rsidRPr="00AA4C18">
              <w:t>- program 0EK0N - Informačné technológie financované zo štátneho rozpočtu – Štatistický úrad SR</w:t>
            </w:r>
          </w:p>
        </w:tc>
        <w:tc>
          <w:tcPr>
            <w:tcW w:w="1267" w:type="dxa"/>
            <w:noWrap/>
            <w:vAlign w:val="center"/>
          </w:tcPr>
          <w:p w14:paraId="0F985D93" w14:textId="77777777" w:rsidR="0076357A" w:rsidRPr="00AA4C18" w:rsidRDefault="0076357A" w:rsidP="0076357A">
            <w:pPr>
              <w:jc w:val="right"/>
              <w:rPr>
                <w:b/>
                <w:bCs/>
              </w:rPr>
            </w:pPr>
            <w:r w:rsidRPr="00AA4C18">
              <w:rPr>
                <w:b/>
                <w:bCs/>
              </w:rPr>
              <w:t>4 685 000</w:t>
            </w:r>
          </w:p>
        </w:tc>
        <w:tc>
          <w:tcPr>
            <w:tcW w:w="1347" w:type="dxa"/>
            <w:noWrap/>
            <w:vAlign w:val="center"/>
          </w:tcPr>
          <w:p w14:paraId="634A988E" w14:textId="77777777" w:rsidR="0076357A" w:rsidRPr="00AA4C18" w:rsidRDefault="0076357A" w:rsidP="0076357A">
            <w:pPr>
              <w:jc w:val="right"/>
              <w:rPr>
                <w:b/>
                <w:bCs/>
              </w:rPr>
            </w:pPr>
            <w:r w:rsidRPr="00AA4C18">
              <w:rPr>
                <w:b/>
                <w:bCs/>
              </w:rPr>
              <w:t>9 474 000</w:t>
            </w:r>
          </w:p>
        </w:tc>
        <w:tc>
          <w:tcPr>
            <w:tcW w:w="1460" w:type="dxa"/>
            <w:noWrap/>
            <w:vAlign w:val="center"/>
          </w:tcPr>
          <w:p w14:paraId="3FCB7CB7" w14:textId="77777777" w:rsidR="0076357A" w:rsidRPr="00AA4C18" w:rsidRDefault="0076357A" w:rsidP="0076357A">
            <w:pPr>
              <w:jc w:val="right"/>
              <w:rPr>
                <w:b/>
                <w:bCs/>
              </w:rPr>
            </w:pPr>
            <w:r w:rsidRPr="00AA4C18">
              <w:rPr>
                <w:b/>
                <w:bCs/>
              </w:rPr>
              <w:t>3 429  000</w:t>
            </w:r>
          </w:p>
        </w:tc>
        <w:tc>
          <w:tcPr>
            <w:tcW w:w="1227" w:type="dxa"/>
            <w:noWrap/>
            <w:vAlign w:val="center"/>
          </w:tcPr>
          <w:p w14:paraId="7C7C5F5B" w14:textId="77777777" w:rsidR="0076357A" w:rsidRPr="00AA4C18" w:rsidRDefault="0076357A" w:rsidP="0076357A">
            <w:pPr>
              <w:jc w:val="right"/>
              <w:rPr>
                <w:b/>
                <w:bCs/>
              </w:rPr>
            </w:pPr>
            <w:r w:rsidRPr="00AA4C18">
              <w:rPr>
                <w:b/>
                <w:bCs/>
              </w:rPr>
              <w:t>1 410 000</w:t>
            </w:r>
          </w:p>
        </w:tc>
      </w:tr>
      <w:tr w:rsidR="0076357A" w:rsidRPr="00AA4C18" w14:paraId="3D31C4C1" w14:textId="77777777" w:rsidTr="0076357A">
        <w:trPr>
          <w:trHeight w:val="70"/>
          <w:jc w:val="center"/>
        </w:trPr>
        <w:tc>
          <w:tcPr>
            <w:tcW w:w="4661" w:type="dxa"/>
            <w:noWrap/>
            <w:vAlign w:val="center"/>
          </w:tcPr>
          <w:p w14:paraId="5541B23B" w14:textId="77777777" w:rsidR="0076357A" w:rsidRPr="00AA4C18" w:rsidRDefault="0076357A" w:rsidP="0076357A">
            <w:pPr>
              <w:rPr>
                <w:b/>
                <w:bCs/>
                <w:i/>
                <w:iCs/>
              </w:rPr>
            </w:pPr>
            <w:r w:rsidRPr="00AA4C18">
              <w:rPr>
                <w:b/>
                <w:bCs/>
                <w:i/>
                <w:iCs/>
              </w:rPr>
              <w:t xml:space="preserve">z toho: </w:t>
            </w:r>
          </w:p>
        </w:tc>
        <w:tc>
          <w:tcPr>
            <w:tcW w:w="1267" w:type="dxa"/>
            <w:noWrap/>
            <w:vAlign w:val="center"/>
          </w:tcPr>
          <w:p w14:paraId="545F6A7B" w14:textId="77777777" w:rsidR="0076357A" w:rsidRPr="00AA4C18" w:rsidRDefault="0076357A" w:rsidP="0076357A">
            <w:pPr>
              <w:jc w:val="right"/>
              <w:rPr>
                <w:b/>
                <w:bCs/>
                <w:iCs/>
              </w:rPr>
            </w:pPr>
          </w:p>
        </w:tc>
        <w:tc>
          <w:tcPr>
            <w:tcW w:w="1347" w:type="dxa"/>
            <w:noWrap/>
            <w:vAlign w:val="center"/>
          </w:tcPr>
          <w:p w14:paraId="6B84E3D9" w14:textId="77777777" w:rsidR="0076357A" w:rsidRPr="00AA4C18" w:rsidRDefault="0076357A" w:rsidP="0076357A">
            <w:pPr>
              <w:jc w:val="right"/>
              <w:rPr>
                <w:b/>
                <w:bCs/>
                <w:iCs/>
              </w:rPr>
            </w:pPr>
          </w:p>
        </w:tc>
        <w:tc>
          <w:tcPr>
            <w:tcW w:w="1460" w:type="dxa"/>
            <w:noWrap/>
            <w:vAlign w:val="center"/>
          </w:tcPr>
          <w:p w14:paraId="6425DCA3" w14:textId="77777777" w:rsidR="0076357A" w:rsidRPr="00AA4C18" w:rsidRDefault="0076357A" w:rsidP="0076357A">
            <w:pPr>
              <w:jc w:val="right"/>
              <w:rPr>
                <w:b/>
                <w:bCs/>
                <w:iCs/>
              </w:rPr>
            </w:pPr>
          </w:p>
        </w:tc>
        <w:tc>
          <w:tcPr>
            <w:tcW w:w="1227" w:type="dxa"/>
            <w:noWrap/>
            <w:vAlign w:val="center"/>
          </w:tcPr>
          <w:p w14:paraId="1B8E4D22" w14:textId="77777777" w:rsidR="0076357A" w:rsidRPr="00AA4C18" w:rsidRDefault="0076357A" w:rsidP="0076357A">
            <w:pPr>
              <w:jc w:val="right"/>
              <w:rPr>
                <w:b/>
                <w:bCs/>
                <w:iCs/>
              </w:rPr>
            </w:pPr>
          </w:p>
        </w:tc>
      </w:tr>
      <w:tr w:rsidR="0076357A" w:rsidRPr="00AA4C18" w14:paraId="4CAAC0DE" w14:textId="77777777" w:rsidTr="0076357A">
        <w:trPr>
          <w:trHeight w:val="70"/>
          <w:jc w:val="center"/>
        </w:trPr>
        <w:tc>
          <w:tcPr>
            <w:tcW w:w="4661" w:type="dxa"/>
            <w:noWrap/>
            <w:vAlign w:val="center"/>
          </w:tcPr>
          <w:p w14:paraId="3955EAD1" w14:textId="77777777" w:rsidR="0076357A" w:rsidRPr="00AA4C18" w:rsidRDefault="0076357A" w:rsidP="0076357A">
            <w:pPr>
              <w:rPr>
                <w:b/>
                <w:bCs/>
                <w:i/>
                <w:iCs/>
              </w:rPr>
            </w:pPr>
            <w:r w:rsidRPr="00AA4C18">
              <w:rPr>
                <w:b/>
                <w:bCs/>
                <w:i/>
                <w:iCs/>
              </w:rPr>
              <w:t>- vplyv na ŠR</w:t>
            </w:r>
          </w:p>
        </w:tc>
        <w:tc>
          <w:tcPr>
            <w:tcW w:w="1267" w:type="dxa"/>
            <w:noWrap/>
            <w:vAlign w:val="center"/>
          </w:tcPr>
          <w:p w14:paraId="301E3170" w14:textId="77777777" w:rsidR="0076357A" w:rsidRPr="00AA4C18" w:rsidRDefault="0076357A" w:rsidP="0076357A">
            <w:pPr>
              <w:jc w:val="right"/>
              <w:rPr>
                <w:b/>
                <w:bCs/>
                <w:iCs/>
              </w:rPr>
            </w:pPr>
            <w:r w:rsidRPr="00AA4C18">
              <w:rPr>
                <w:b/>
                <w:bCs/>
                <w:iCs/>
              </w:rPr>
              <w:t>6 556 000</w:t>
            </w:r>
          </w:p>
        </w:tc>
        <w:tc>
          <w:tcPr>
            <w:tcW w:w="1347" w:type="dxa"/>
            <w:noWrap/>
            <w:vAlign w:val="center"/>
          </w:tcPr>
          <w:p w14:paraId="115B638B" w14:textId="77777777" w:rsidR="0076357A" w:rsidRPr="00AA4C18" w:rsidRDefault="0076357A" w:rsidP="0076357A">
            <w:pPr>
              <w:jc w:val="right"/>
              <w:rPr>
                <w:b/>
                <w:bCs/>
                <w:iCs/>
              </w:rPr>
            </w:pPr>
            <w:r w:rsidRPr="00AA4C18">
              <w:rPr>
                <w:b/>
                <w:bCs/>
                <w:iCs/>
              </w:rPr>
              <w:t>24 458 290</w:t>
            </w:r>
          </w:p>
        </w:tc>
        <w:tc>
          <w:tcPr>
            <w:tcW w:w="1460" w:type="dxa"/>
            <w:noWrap/>
            <w:vAlign w:val="center"/>
          </w:tcPr>
          <w:p w14:paraId="7A067467" w14:textId="77777777" w:rsidR="0076357A" w:rsidRPr="00AA4C18" w:rsidRDefault="0076357A" w:rsidP="0076357A">
            <w:pPr>
              <w:jc w:val="right"/>
              <w:rPr>
                <w:b/>
                <w:bCs/>
                <w:iCs/>
              </w:rPr>
            </w:pPr>
            <w:r w:rsidRPr="00AA4C18">
              <w:rPr>
                <w:b/>
                <w:bCs/>
                <w:iCs/>
              </w:rPr>
              <w:t>20 916 989</w:t>
            </w:r>
          </w:p>
        </w:tc>
        <w:tc>
          <w:tcPr>
            <w:tcW w:w="1227" w:type="dxa"/>
            <w:noWrap/>
            <w:vAlign w:val="center"/>
          </w:tcPr>
          <w:p w14:paraId="64AC9A5D" w14:textId="77777777" w:rsidR="0076357A" w:rsidRPr="00AA4C18" w:rsidRDefault="0076357A" w:rsidP="0076357A">
            <w:pPr>
              <w:jc w:val="right"/>
              <w:rPr>
                <w:b/>
                <w:bCs/>
                <w:iCs/>
              </w:rPr>
            </w:pPr>
            <w:r w:rsidRPr="00AA4C18">
              <w:rPr>
                <w:b/>
                <w:bCs/>
                <w:iCs/>
              </w:rPr>
              <w:t>2 966 372</w:t>
            </w:r>
          </w:p>
        </w:tc>
      </w:tr>
      <w:tr w:rsidR="0076357A" w:rsidRPr="00AA4C18" w14:paraId="02BDE5B0" w14:textId="77777777" w:rsidTr="0076357A">
        <w:trPr>
          <w:trHeight w:val="70"/>
          <w:jc w:val="center"/>
        </w:trPr>
        <w:tc>
          <w:tcPr>
            <w:tcW w:w="4661" w:type="dxa"/>
            <w:noWrap/>
            <w:vAlign w:val="center"/>
          </w:tcPr>
          <w:p w14:paraId="4DB5F1BE" w14:textId="77777777" w:rsidR="0076357A" w:rsidRPr="00AA4C18" w:rsidRDefault="0076357A" w:rsidP="0076357A">
            <w:pPr>
              <w:rPr>
                <w:b/>
                <w:bCs/>
                <w:i/>
                <w:iCs/>
              </w:rPr>
            </w:pPr>
            <w:r w:rsidRPr="00AA4C18">
              <w:rPr>
                <w:i/>
              </w:rPr>
              <w:t>Rozpočtové prostriedky</w:t>
            </w:r>
            <w:r w:rsidRPr="00AA4C18">
              <w:t xml:space="preserve"> – kapitola Štatistického úradu SR – z toho:</w:t>
            </w:r>
          </w:p>
        </w:tc>
        <w:tc>
          <w:tcPr>
            <w:tcW w:w="1267" w:type="dxa"/>
            <w:noWrap/>
            <w:vAlign w:val="center"/>
          </w:tcPr>
          <w:p w14:paraId="5807F1D8" w14:textId="77777777" w:rsidR="0076357A" w:rsidRPr="00AA4C18" w:rsidRDefault="0076357A" w:rsidP="0076357A">
            <w:pPr>
              <w:jc w:val="right"/>
              <w:rPr>
                <w:b/>
                <w:bCs/>
                <w:iCs/>
              </w:rPr>
            </w:pPr>
            <w:r w:rsidRPr="00AA4C18">
              <w:rPr>
                <w:b/>
                <w:bCs/>
              </w:rPr>
              <w:t>6 556 000</w:t>
            </w:r>
          </w:p>
        </w:tc>
        <w:tc>
          <w:tcPr>
            <w:tcW w:w="1347" w:type="dxa"/>
            <w:noWrap/>
            <w:vAlign w:val="center"/>
          </w:tcPr>
          <w:p w14:paraId="43D5D3EB" w14:textId="77777777" w:rsidR="0076357A" w:rsidRPr="00AA4C18" w:rsidRDefault="0076357A" w:rsidP="0076357A">
            <w:pPr>
              <w:jc w:val="right"/>
              <w:rPr>
                <w:b/>
                <w:bCs/>
                <w:iCs/>
              </w:rPr>
            </w:pPr>
            <w:r w:rsidRPr="00AA4C18">
              <w:rPr>
                <w:b/>
                <w:bCs/>
              </w:rPr>
              <w:t>24 458 290</w:t>
            </w:r>
          </w:p>
        </w:tc>
        <w:tc>
          <w:tcPr>
            <w:tcW w:w="1460" w:type="dxa"/>
            <w:noWrap/>
            <w:vAlign w:val="center"/>
          </w:tcPr>
          <w:p w14:paraId="7D2FC026" w14:textId="77777777" w:rsidR="0076357A" w:rsidRPr="00AA4C18" w:rsidRDefault="0076357A" w:rsidP="0076357A">
            <w:pPr>
              <w:jc w:val="right"/>
              <w:rPr>
                <w:b/>
                <w:bCs/>
                <w:iCs/>
              </w:rPr>
            </w:pPr>
            <w:r w:rsidRPr="00AA4C18">
              <w:rPr>
                <w:b/>
                <w:bCs/>
              </w:rPr>
              <w:t>20 916 989</w:t>
            </w:r>
          </w:p>
        </w:tc>
        <w:tc>
          <w:tcPr>
            <w:tcW w:w="1227" w:type="dxa"/>
            <w:noWrap/>
            <w:vAlign w:val="center"/>
          </w:tcPr>
          <w:p w14:paraId="2BEB7395" w14:textId="77777777" w:rsidR="0076357A" w:rsidRPr="00AA4C18" w:rsidRDefault="0076357A" w:rsidP="0076357A">
            <w:pPr>
              <w:jc w:val="right"/>
              <w:rPr>
                <w:b/>
                <w:bCs/>
                <w:iCs/>
              </w:rPr>
            </w:pPr>
            <w:r w:rsidRPr="00AA4C18">
              <w:rPr>
                <w:b/>
                <w:bCs/>
              </w:rPr>
              <w:t xml:space="preserve">2 966 372   </w:t>
            </w:r>
          </w:p>
        </w:tc>
      </w:tr>
      <w:tr w:rsidR="0076357A" w:rsidRPr="00AA4C18" w14:paraId="7A82ED17" w14:textId="77777777" w:rsidTr="0076357A">
        <w:trPr>
          <w:trHeight w:val="70"/>
          <w:jc w:val="center"/>
        </w:trPr>
        <w:tc>
          <w:tcPr>
            <w:tcW w:w="4661" w:type="dxa"/>
            <w:noWrap/>
            <w:vAlign w:val="center"/>
          </w:tcPr>
          <w:p w14:paraId="4A213A26" w14:textId="77777777" w:rsidR="0076357A" w:rsidRPr="00AA4C18" w:rsidRDefault="0076357A" w:rsidP="0076357A">
            <w:r w:rsidRPr="00AA4C18">
              <w:t>- program 07V – Štatistické zisťovania</w:t>
            </w:r>
          </w:p>
        </w:tc>
        <w:tc>
          <w:tcPr>
            <w:tcW w:w="1267" w:type="dxa"/>
            <w:noWrap/>
            <w:vAlign w:val="center"/>
          </w:tcPr>
          <w:p w14:paraId="77C099E6" w14:textId="77777777" w:rsidR="0076357A" w:rsidRPr="00AA4C18" w:rsidRDefault="0076357A" w:rsidP="0076357A">
            <w:pPr>
              <w:jc w:val="right"/>
              <w:rPr>
                <w:b/>
                <w:bCs/>
                <w:iCs/>
              </w:rPr>
            </w:pPr>
            <w:r w:rsidRPr="00AA4C18">
              <w:rPr>
                <w:b/>
                <w:bCs/>
                <w:iCs/>
              </w:rPr>
              <w:t>1 871 000</w:t>
            </w:r>
          </w:p>
        </w:tc>
        <w:tc>
          <w:tcPr>
            <w:tcW w:w="1347" w:type="dxa"/>
            <w:noWrap/>
            <w:vAlign w:val="center"/>
          </w:tcPr>
          <w:p w14:paraId="32DCF215" w14:textId="77777777" w:rsidR="0076357A" w:rsidRPr="00AA4C18" w:rsidRDefault="0076357A" w:rsidP="0076357A">
            <w:pPr>
              <w:jc w:val="right"/>
              <w:rPr>
                <w:b/>
                <w:bCs/>
                <w:iCs/>
              </w:rPr>
            </w:pPr>
            <w:r w:rsidRPr="00AA4C18">
              <w:rPr>
                <w:b/>
                <w:bCs/>
              </w:rPr>
              <w:t>14 984 290</w:t>
            </w:r>
          </w:p>
        </w:tc>
        <w:tc>
          <w:tcPr>
            <w:tcW w:w="1460" w:type="dxa"/>
            <w:noWrap/>
            <w:vAlign w:val="center"/>
          </w:tcPr>
          <w:p w14:paraId="613FEE43" w14:textId="77777777" w:rsidR="0076357A" w:rsidRPr="00AA4C18" w:rsidRDefault="0076357A" w:rsidP="0076357A">
            <w:pPr>
              <w:jc w:val="right"/>
              <w:rPr>
                <w:b/>
                <w:bCs/>
                <w:iCs/>
              </w:rPr>
            </w:pPr>
            <w:r w:rsidRPr="00AA4C18">
              <w:rPr>
                <w:b/>
                <w:bCs/>
              </w:rPr>
              <w:t>17 487 989</w:t>
            </w:r>
          </w:p>
        </w:tc>
        <w:tc>
          <w:tcPr>
            <w:tcW w:w="1227" w:type="dxa"/>
            <w:noWrap/>
            <w:vAlign w:val="center"/>
          </w:tcPr>
          <w:p w14:paraId="6CA469FD" w14:textId="77777777" w:rsidR="0076357A" w:rsidRPr="00AA4C18" w:rsidRDefault="0076357A" w:rsidP="0076357A">
            <w:pPr>
              <w:jc w:val="right"/>
              <w:rPr>
                <w:b/>
                <w:bCs/>
                <w:iCs/>
              </w:rPr>
            </w:pPr>
            <w:r w:rsidRPr="00AA4C18">
              <w:rPr>
                <w:b/>
                <w:bCs/>
              </w:rPr>
              <w:t>1 556 372</w:t>
            </w:r>
          </w:p>
        </w:tc>
      </w:tr>
      <w:tr w:rsidR="0076357A" w:rsidRPr="00AA4C18" w14:paraId="1D32663B" w14:textId="77777777" w:rsidTr="0076357A">
        <w:trPr>
          <w:trHeight w:val="70"/>
          <w:jc w:val="center"/>
        </w:trPr>
        <w:tc>
          <w:tcPr>
            <w:tcW w:w="4661" w:type="dxa"/>
            <w:noWrap/>
            <w:vAlign w:val="center"/>
          </w:tcPr>
          <w:p w14:paraId="0BCE9800" w14:textId="77777777" w:rsidR="0076357A" w:rsidRPr="00AA4C18" w:rsidRDefault="0076357A" w:rsidP="0076357A">
            <w:r w:rsidRPr="00AA4C18">
              <w:t>- program 0EK0N - Informačné technológie financované zo štátneho rozpočtu – Štatistický úrad SR</w:t>
            </w:r>
          </w:p>
        </w:tc>
        <w:tc>
          <w:tcPr>
            <w:tcW w:w="1267" w:type="dxa"/>
            <w:noWrap/>
            <w:vAlign w:val="center"/>
          </w:tcPr>
          <w:p w14:paraId="0FA9E93B" w14:textId="77777777" w:rsidR="0076357A" w:rsidRPr="00AA4C18" w:rsidRDefault="0076357A" w:rsidP="0076357A">
            <w:pPr>
              <w:jc w:val="right"/>
              <w:rPr>
                <w:b/>
                <w:bCs/>
                <w:iCs/>
              </w:rPr>
            </w:pPr>
            <w:r w:rsidRPr="00AA4C18">
              <w:rPr>
                <w:b/>
                <w:bCs/>
                <w:iCs/>
              </w:rPr>
              <w:t>4 685 000</w:t>
            </w:r>
          </w:p>
        </w:tc>
        <w:tc>
          <w:tcPr>
            <w:tcW w:w="1347" w:type="dxa"/>
            <w:noWrap/>
            <w:vAlign w:val="center"/>
          </w:tcPr>
          <w:p w14:paraId="04653CE0" w14:textId="77777777" w:rsidR="0076357A" w:rsidRPr="00AA4C18" w:rsidRDefault="0076357A" w:rsidP="0076357A">
            <w:pPr>
              <w:jc w:val="right"/>
              <w:rPr>
                <w:b/>
                <w:bCs/>
                <w:iCs/>
              </w:rPr>
            </w:pPr>
            <w:r w:rsidRPr="00AA4C18">
              <w:rPr>
                <w:b/>
                <w:bCs/>
              </w:rPr>
              <w:t xml:space="preserve">9 474 000 </w:t>
            </w:r>
          </w:p>
        </w:tc>
        <w:tc>
          <w:tcPr>
            <w:tcW w:w="1460" w:type="dxa"/>
            <w:noWrap/>
            <w:vAlign w:val="center"/>
          </w:tcPr>
          <w:p w14:paraId="3ADD18F2" w14:textId="77777777" w:rsidR="0076357A" w:rsidRPr="00AA4C18" w:rsidRDefault="0076357A" w:rsidP="0076357A">
            <w:pPr>
              <w:jc w:val="right"/>
              <w:rPr>
                <w:b/>
                <w:bCs/>
                <w:iCs/>
              </w:rPr>
            </w:pPr>
            <w:r w:rsidRPr="00AA4C18">
              <w:rPr>
                <w:b/>
                <w:bCs/>
              </w:rPr>
              <w:t>3 429 000</w:t>
            </w:r>
          </w:p>
        </w:tc>
        <w:tc>
          <w:tcPr>
            <w:tcW w:w="1227" w:type="dxa"/>
            <w:noWrap/>
            <w:vAlign w:val="center"/>
          </w:tcPr>
          <w:p w14:paraId="4F12BEE6" w14:textId="77777777" w:rsidR="0076357A" w:rsidRPr="00AA4C18" w:rsidRDefault="0076357A" w:rsidP="0076357A">
            <w:pPr>
              <w:jc w:val="right"/>
              <w:rPr>
                <w:b/>
                <w:bCs/>
                <w:iCs/>
              </w:rPr>
            </w:pPr>
            <w:r w:rsidRPr="00AA4C18">
              <w:rPr>
                <w:b/>
                <w:bCs/>
              </w:rPr>
              <w:t>1 410 000</w:t>
            </w:r>
          </w:p>
        </w:tc>
      </w:tr>
      <w:tr w:rsidR="0076357A" w:rsidRPr="00AA4C18" w14:paraId="02453FB2" w14:textId="77777777" w:rsidTr="0076357A">
        <w:trPr>
          <w:trHeight w:val="70"/>
          <w:jc w:val="center"/>
        </w:trPr>
        <w:tc>
          <w:tcPr>
            <w:tcW w:w="4661" w:type="dxa"/>
            <w:noWrap/>
            <w:vAlign w:val="center"/>
          </w:tcPr>
          <w:p w14:paraId="3188B5C2" w14:textId="77777777" w:rsidR="0076357A" w:rsidRPr="00AA4C18" w:rsidRDefault="0076357A" w:rsidP="0076357A">
            <w:pPr>
              <w:rPr>
                <w:bCs/>
                <w:i/>
                <w:iCs/>
              </w:rPr>
            </w:pPr>
            <w:r w:rsidRPr="00AA4C18">
              <w:rPr>
                <w:bCs/>
                <w:i/>
                <w:iCs/>
              </w:rPr>
              <w:t xml:space="preserve">    EÚ zdroje</w:t>
            </w:r>
          </w:p>
        </w:tc>
        <w:tc>
          <w:tcPr>
            <w:tcW w:w="1267" w:type="dxa"/>
            <w:noWrap/>
            <w:vAlign w:val="center"/>
          </w:tcPr>
          <w:p w14:paraId="64B1A286" w14:textId="77777777" w:rsidR="0076357A" w:rsidRPr="00AA4C18" w:rsidRDefault="0076357A" w:rsidP="0076357A">
            <w:pPr>
              <w:jc w:val="right"/>
            </w:pPr>
            <w:r w:rsidRPr="00AA4C18">
              <w:t>0</w:t>
            </w:r>
          </w:p>
        </w:tc>
        <w:tc>
          <w:tcPr>
            <w:tcW w:w="1347" w:type="dxa"/>
            <w:noWrap/>
            <w:vAlign w:val="center"/>
          </w:tcPr>
          <w:p w14:paraId="0DB4E0B9" w14:textId="77777777" w:rsidR="0076357A" w:rsidRPr="00AA4C18" w:rsidRDefault="0076357A" w:rsidP="0076357A">
            <w:pPr>
              <w:jc w:val="right"/>
            </w:pPr>
            <w:r w:rsidRPr="00AA4C18">
              <w:t>0</w:t>
            </w:r>
          </w:p>
        </w:tc>
        <w:tc>
          <w:tcPr>
            <w:tcW w:w="1460" w:type="dxa"/>
            <w:noWrap/>
            <w:vAlign w:val="center"/>
          </w:tcPr>
          <w:p w14:paraId="6F1DDE37" w14:textId="77777777" w:rsidR="0076357A" w:rsidRPr="00AA4C18" w:rsidRDefault="0076357A" w:rsidP="0076357A">
            <w:pPr>
              <w:jc w:val="right"/>
            </w:pPr>
            <w:r w:rsidRPr="00AA4C18">
              <w:t>0</w:t>
            </w:r>
          </w:p>
        </w:tc>
        <w:tc>
          <w:tcPr>
            <w:tcW w:w="1227" w:type="dxa"/>
            <w:noWrap/>
            <w:vAlign w:val="center"/>
          </w:tcPr>
          <w:p w14:paraId="67E2C8FB" w14:textId="77777777" w:rsidR="0076357A" w:rsidRPr="00AA4C18" w:rsidRDefault="0076357A" w:rsidP="0076357A">
            <w:pPr>
              <w:jc w:val="right"/>
            </w:pPr>
            <w:r w:rsidRPr="00AA4C18">
              <w:t>0</w:t>
            </w:r>
          </w:p>
        </w:tc>
      </w:tr>
      <w:tr w:rsidR="0076357A" w:rsidRPr="00AA4C18" w14:paraId="07C1616E" w14:textId="77777777" w:rsidTr="0076357A">
        <w:trPr>
          <w:trHeight w:val="70"/>
          <w:jc w:val="center"/>
        </w:trPr>
        <w:tc>
          <w:tcPr>
            <w:tcW w:w="4661" w:type="dxa"/>
            <w:noWrap/>
            <w:vAlign w:val="center"/>
          </w:tcPr>
          <w:p w14:paraId="35A94277" w14:textId="77777777" w:rsidR="0076357A" w:rsidRPr="00AA4C18" w:rsidRDefault="0076357A" w:rsidP="0076357A">
            <w:pPr>
              <w:rPr>
                <w:bCs/>
                <w:i/>
                <w:iCs/>
              </w:rPr>
            </w:pPr>
            <w:r w:rsidRPr="00AA4C18">
              <w:rPr>
                <w:bCs/>
                <w:i/>
                <w:iCs/>
              </w:rPr>
              <w:t xml:space="preserve">    spolufinancovanie</w:t>
            </w:r>
          </w:p>
        </w:tc>
        <w:tc>
          <w:tcPr>
            <w:tcW w:w="1267" w:type="dxa"/>
            <w:noWrap/>
            <w:vAlign w:val="center"/>
          </w:tcPr>
          <w:p w14:paraId="3967AEEB" w14:textId="77777777" w:rsidR="0076357A" w:rsidRPr="00AA4C18" w:rsidRDefault="0076357A" w:rsidP="0076357A">
            <w:pPr>
              <w:jc w:val="right"/>
            </w:pPr>
            <w:r w:rsidRPr="00AA4C18">
              <w:t>0</w:t>
            </w:r>
          </w:p>
        </w:tc>
        <w:tc>
          <w:tcPr>
            <w:tcW w:w="1347" w:type="dxa"/>
            <w:noWrap/>
            <w:vAlign w:val="center"/>
          </w:tcPr>
          <w:p w14:paraId="59AE3620" w14:textId="77777777" w:rsidR="0076357A" w:rsidRPr="00AA4C18" w:rsidRDefault="0076357A" w:rsidP="0076357A">
            <w:pPr>
              <w:jc w:val="right"/>
            </w:pPr>
            <w:r w:rsidRPr="00AA4C18">
              <w:t>0</w:t>
            </w:r>
          </w:p>
        </w:tc>
        <w:tc>
          <w:tcPr>
            <w:tcW w:w="1460" w:type="dxa"/>
            <w:noWrap/>
            <w:vAlign w:val="center"/>
          </w:tcPr>
          <w:p w14:paraId="0B5F51C7" w14:textId="77777777" w:rsidR="0076357A" w:rsidRPr="00AA4C18" w:rsidRDefault="0076357A" w:rsidP="0076357A">
            <w:pPr>
              <w:jc w:val="right"/>
            </w:pPr>
            <w:r w:rsidRPr="00AA4C18">
              <w:t>0</w:t>
            </w:r>
          </w:p>
        </w:tc>
        <w:tc>
          <w:tcPr>
            <w:tcW w:w="1227" w:type="dxa"/>
            <w:noWrap/>
            <w:vAlign w:val="center"/>
          </w:tcPr>
          <w:p w14:paraId="62D10533" w14:textId="77777777" w:rsidR="0076357A" w:rsidRPr="00AA4C18" w:rsidRDefault="0076357A" w:rsidP="0076357A">
            <w:pPr>
              <w:jc w:val="right"/>
            </w:pPr>
            <w:r w:rsidRPr="00AA4C18">
              <w:t>0</w:t>
            </w:r>
          </w:p>
        </w:tc>
      </w:tr>
      <w:tr w:rsidR="0076357A" w:rsidRPr="00AA4C18" w14:paraId="0249B9BD" w14:textId="77777777" w:rsidTr="0076357A">
        <w:trPr>
          <w:trHeight w:val="125"/>
          <w:jc w:val="center"/>
        </w:trPr>
        <w:tc>
          <w:tcPr>
            <w:tcW w:w="4661" w:type="dxa"/>
            <w:noWrap/>
            <w:vAlign w:val="center"/>
          </w:tcPr>
          <w:p w14:paraId="20C35BA8" w14:textId="77777777" w:rsidR="0076357A" w:rsidRPr="00AA4C18" w:rsidRDefault="0076357A" w:rsidP="0076357A">
            <w:pPr>
              <w:rPr>
                <w:b/>
                <w:bCs/>
                <w:i/>
                <w:iCs/>
                <w:highlight w:val="cyan"/>
              </w:rPr>
            </w:pPr>
            <w:r w:rsidRPr="00AA4C18">
              <w:rPr>
                <w:b/>
                <w:bCs/>
                <w:i/>
                <w:iCs/>
              </w:rPr>
              <w:t>- vplyv na obce</w:t>
            </w:r>
          </w:p>
        </w:tc>
        <w:tc>
          <w:tcPr>
            <w:tcW w:w="1267" w:type="dxa"/>
            <w:noWrap/>
            <w:vAlign w:val="center"/>
          </w:tcPr>
          <w:p w14:paraId="019FF355" w14:textId="77777777" w:rsidR="0076357A" w:rsidRPr="00AA4C18" w:rsidRDefault="0076357A" w:rsidP="0076357A">
            <w:pPr>
              <w:jc w:val="right"/>
              <w:rPr>
                <w:b/>
                <w:bCs/>
                <w:iCs/>
              </w:rPr>
            </w:pPr>
            <w:r w:rsidRPr="00AA4C18">
              <w:rPr>
                <w:b/>
                <w:bCs/>
                <w:iCs/>
              </w:rPr>
              <w:t>0</w:t>
            </w:r>
          </w:p>
        </w:tc>
        <w:tc>
          <w:tcPr>
            <w:tcW w:w="1347" w:type="dxa"/>
            <w:noWrap/>
            <w:vAlign w:val="center"/>
          </w:tcPr>
          <w:p w14:paraId="7046B94D" w14:textId="77777777" w:rsidR="0076357A" w:rsidRPr="00AA4C18" w:rsidRDefault="0076357A" w:rsidP="0076357A">
            <w:pPr>
              <w:jc w:val="right"/>
              <w:rPr>
                <w:b/>
                <w:bCs/>
                <w:iCs/>
              </w:rPr>
            </w:pPr>
            <w:r w:rsidRPr="00AA4C18">
              <w:rPr>
                <w:b/>
                <w:bCs/>
                <w:iCs/>
              </w:rPr>
              <w:t>0</w:t>
            </w:r>
          </w:p>
        </w:tc>
        <w:tc>
          <w:tcPr>
            <w:tcW w:w="1460" w:type="dxa"/>
            <w:noWrap/>
            <w:vAlign w:val="center"/>
          </w:tcPr>
          <w:p w14:paraId="643FAC5E" w14:textId="77777777" w:rsidR="0076357A" w:rsidRPr="00AA4C18" w:rsidRDefault="0076357A" w:rsidP="0076357A">
            <w:pPr>
              <w:jc w:val="right"/>
              <w:rPr>
                <w:b/>
                <w:bCs/>
                <w:iCs/>
              </w:rPr>
            </w:pPr>
            <w:r w:rsidRPr="00AA4C18">
              <w:rPr>
                <w:b/>
                <w:bCs/>
                <w:iCs/>
              </w:rPr>
              <w:t>0</w:t>
            </w:r>
          </w:p>
        </w:tc>
        <w:tc>
          <w:tcPr>
            <w:tcW w:w="1227" w:type="dxa"/>
            <w:noWrap/>
            <w:vAlign w:val="center"/>
          </w:tcPr>
          <w:p w14:paraId="79C47F04" w14:textId="77777777" w:rsidR="0076357A" w:rsidRPr="00AA4C18" w:rsidRDefault="0076357A" w:rsidP="0076357A">
            <w:pPr>
              <w:jc w:val="right"/>
              <w:rPr>
                <w:b/>
                <w:bCs/>
                <w:iCs/>
              </w:rPr>
            </w:pPr>
            <w:r w:rsidRPr="00AA4C18">
              <w:rPr>
                <w:b/>
                <w:bCs/>
                <w:iCs/>
              </w:rPr>
              <w:t>0</w:t>
            </w:r>
          </w:p>
        </w:tc>
      </w:tr>
      <w:tr w:rsidR="0076357A" w:rsidRPr="00AA4C18" w14:paraId="65F1DCE0" w14:textId="77777777" w:rsidTr="0076357A">
        <w:trPr>
          <w:trHeight w:val="125"/>
          <w:jc w:val="center"/>
        </w:trPr>
        <w:tc>
          <w:tcPr>
            <w:tcW w:w="4661" w:type="dxa"/>
            <w:noWrap/>
            <w:vAlign w:val="center"/>
          </w:tcPr>
          <w:p w14:paraId="61672FBF"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4E9F930C" w14:textId="77777777" w:rsidR="0076357A" w:rsidRPr="00AA4C18" w:rsidRDefault="0076357A" w:rsidP="0076357A">
            <w:pPr>
              <w:jc w:val="right"/>
              <w:rPr>
                <w:b/>
                <w:bCs/>
                <w:iCs/>
              </w:rPr>
            </w:pPr>
            <w:r w:rsidRPr="00AA4C18">
              <w:rPr>
                <w:b/>
                <w:bCs/>
                <w:iCs/>
              </w:rPr>
              <w:t>0</w:t>
            </w:r>
          </w:p>
        </w:tc>
        <w:tc>
          <w:tcPr>
            <w:tcW w:w="1347" w:type="dxa"/>
            <w:noWrap/>
            <w:vAlign w:val="center"/>
          </w:tcPr>
          <w:p w14:paraId="5AD909FA" w14:textId="77777777" w:rsidR="0076357A" w:rsidRPr="00AA4C18" w:rsidRDefault="0076357A" w:rsidP="0076357A">
            <w:pPr>
              <w:jc w:val="right"/>
              <w:rPr>
                <w:b/>
                <w:bCs/>
                <w:iCs/>
              </w:rPr>
            </w:pPr>
            <w:r w:rsidRPr="00AA4C18">
              <w:rPr>
                <w:b/>
                <w:bCs/>
                <w:iCs/>
              </w:rPr>
              <w:t>0</w:t>
            </w:r>
          </w:p>
        </w:tc>
        <w:tc>
          <w:tcPr>
            <w:tcW w:w="1460" w:type="dxa"/>
            <w:noWrap/>
            <w:vAlign w:val="center"/>
          </w:tcPr>
          <w:p w14:paraId="536094C2" w14:textId="77777777" w:rsidR="0076357A" w:rsidRPr="00AA4C18" w:rsidRDefault="0076357A" w:rsidP="0076357A">
            <w:pPr>
              <w:jc w:val="right"/>
              <w:rPr>
                <w:b/>
                <w:bCs/>
                <w:iCs/>
              </w:rPr>
            </w:pPr>
            <w:r w:rsidRPr="00AA4C18">
              <w:rPr>
                <w:b/>
                <w:bCs/>
                <w:iCs/>
              </w:rPr>
              <w:t>0</w:t>
            </w:r>
          </w:p>
        </w:tc>
        <w:tc>
          <w:tcPr>
            <w:tcW w:w="1227" w:type="dxa"/>
            <w:noWrap/>
            <w:vAlign w:val="center"/>
          </w:tcPr>
          <w:p w14:paraId="3B37C79E" w14:textId="77777777" w:rsidR="0076357A" w:rsidRPr="00AA4C18" w:rsidRDefault="0076357A" w:rsidP="0076357A">
            <w:pPr>
              <w:jc w:val="right"/>
              <w:rPr>
                <w:b/>
                <w:bCs/>
                <w:iCs/>
              </w:rPr>
            </w:pPr>
            <w:r w:rsidRPr="00AA4C18">
              <w:rPr>
                <w:b/>
                <w:bCs/>
                <w:iCs/>
              </w:rPr>
              <w:t>0</w:t>
            </w:r>
          </w:p>
        </w:tc>
      </w:tr>
      <w:tr w:rsidR="0076357A" w:rsidRPr="00AA4C18" w14:paraId="3675B623" w14:textId="77777777" w:rsidTr="0076357A">
        <w:trPr>
          <w:trHeight w:val="70"/>
          <w:jc w:val="center"/>
        </w:trPr>
        <w:tc>
          <w:tcPr>
            <w:tcW w:w="4661" w:type="dxa"/>
            <w:noWrap/>
            <w:vAlign w:val="center"/>
          </w:tcPr>
          <w:p w14:paraId="0AB36D79" w14:textId="77777777" w:rsidR="0076357A" w:rsidRPr="00AA4C18" w:rsidRDefault="0076357A" w:rsidP="0076357A">
            <w:pPr>
              <w:rPr>
                <w:b/>
                <w:bCs/>
              </w:rPr>
            </w:pPr>
            <w:r w:rsidRPr="00AA4C18">
              <w:rPr>
                <w:b/>
                <w:bCs/>
                <w:i/>
                <w:iCs/>
              </w:rPr>
              <w:t>- vplyv na ostatné subjekty verejnej správy</w:t>
            </w:r>
          </w:p>
        </w:tc>
        <w:tc>
          <w:tcPr>
            <w:tcW w:w="1267" w:type="dxa"/>
            <w:noWrap/>
            <w:vAlign w:val="center"/>
          </w:tcPr>
          <w:p w14:paraId="207B643F" w14:textId="77777777" w:rsidR="0076357A" w:rsidRPr="00AA4C18" w:rsidRDefault="0076357A" w:rsidP="0076357A">
            <w:pPr>
              <w:jc w:val="right"/>
              <w:rPr>
                <w:b/>
                <w:bCs/>
                <w:iCs/>
              </w:rPr>
            </w:pPr>
            <w:r w:rsidRPr="00AA4C18">
              <w:rPr>
                <w:b/>
                <w:bCs/>
                <w:iCs/>
              </w:rPr>
              <w:t>0</w:t>
            </w:r>
          </w:p>
        </w:tc>
        <w:tc>
          <w:tcPr>
            <w:tcW w:w="1347" w:type="dxa"/>
            <w:noWrap/>
            <w:vAlign w:val="center"/>
          </w:tcPr>
          <w:p w14:paraId="38C17B96" w14:textId="77777777" w:rsidR="0076357A" w:rsidRPr="00AA4C18" w:rsidRDefault="0076357A" w:rsidP="0076357A">
            <w:pPr>
              <w:jc w:val="right"/>
              <w:rPr>
                <w:b/>
                <w:bCs/>
                <w:iCs/>
              </w:rPr>
            </w:pPr>
            <w:r w:rsidRPr="00AA4C18">
              <w:rPr>
                <w:b/>
                <w:bCs/>
                <w:iCs/>
              </w:rPr>
              <w:t>0</w:t>
            </w:r>
          </w:p>
        </w:tc>
        <w:tc>
          <w:tcPr>
            <w:tcW w:w="1460" w:type="dxa"/>
            <w:noWrap/>
            <w:vAlign w:val="center"/>
          </w:tcPr>
          <w:p w14:paraId="71AEF3E5" w14:textId="77777777" w:rsidR="0076357A" w:rsidRPr="00AA4C18" w:rsidRDefault="0076357A" w:rsidP="0076357A">
            <w:pPr>
              <w:jc w:val="right"/>
              <w:rPr>
                <w:b/>
                <w:bCs/>
                <w:iCs/>
              </w:rPr>
            </w:pPr>
            <w:r w:rsidRPr="00AA4C18">
              <w:rPr>
                <w:b/>
                <w:bCs/>
                <w:iCs/>
              </w:rPr>
              <w:t>0</w:t>
            </w:r>
          </w:p>
        </w:tc>
        <w:tc>
          <w:tcPr>
            <w:tcW w:w="1227" w:type="dxa"/>
            <w:noWrap/>
            <w:vAlign w:val="center"/>
          </w:tcPr>
          <w:p w14:paraId="5FCF8031" w14:textId="77777777" w:rsidR="0076357A" w:rsidRPr="00AA4C18" w:rsidRDefault="0076357A" w:rsidP="0076357A">
            <w:pPr>
              <w:jc w:val="right"/>
              <w:rPr>
                <w:b/>
                <w:bCs/>
                <w:iCs/>
              </w:rPr>
            </w:pPr>
            <w:r w:rsidRPr="00AA4C18">
              <w:rPr>
                <w:b/>
                <w:bCs/>
                <w:iCs/>
              </w:rPr>
              <w:t>0</w:t>
            </w:r>
          </w:p>
        </w:tc>
      </w:tr>
      <w:tr w:rsidR="0076357A" w:rsidRPr="00AA4C18" w14:paraId="70B7AA87" w14:textId="77777777" w:rsidTr="0076357A">
        <w:trPr>
          <w:trHeight w:val="70"/>
          <w:jc w:val="center"/>
        </w:trPr>
        <w:tc>
          <w:tcPr>
            <w:tcW w:w="4661" w:type="dxa"/>
            <w:shd w:val="clear" w:color="auto" w:fill="BFBFBF" w:themeFill="background1" w:themeFillShade="BF"/>
            <w:noWrap/>
            <w:vAlign w:val="center"/>
          </w:tcPr>
          <w:p w14:paraId="5CD92A7D" w14:textId="77777777" w:rsidR="0076357A" w:rsidRPr="00AA4C18" w:rsidRDefault="0076357A" w:rsidP="0076357A">
            <w:pPr>
              <w:rPr>
                <w:b/>
                <w:bCs/>
              </w:rPr>
            </w:pPr>
            <w:r w:rsidRPr="00AA4C18">
              <w:rPr>
                <w:b/>
                <w:bCs/>
              </w:rPr>
              <w:t xml:space="preserve">Vplyv na počet zamestnancov </w:t>
            </w:r>
          </w:p>
        </w:tc>
        <w:tc>
          <w:tcPr>
            <w:tcW w:w="1267" w:type="dxa"/>
            <w:shd w:val="clear" w:color="auto" w:fill="BFBFBF" w:themeFill="background1" w:themeFillShade="BF"/>
            <w:noWrap/>
            <w:vAlign w:val="center"/>
          </w:tcPr>
          <w:p w14:paraId="123FEC15" w14:textId="77777777" w:rsidR="0076357A" w:rsidRPr="00AA4C18" w:rsidRDefault="0076357A" w:rsidP="0076357A">
            <w:pPr>
              <w:jc w:val="right"/>
              <w:rPr>
                <w:b/>
                <w:bCs/>
              </w:rPr>
            </w:pPr>
            <w:r w:rsidRPr="00AA4C18">
              <w:rPr>
                <w:b/>
                <w:bCs/>
              </w:rPr>
              <w:t>36</w:t>
            </w:r>
          </w:p>
        </w:tc>
        <w:tc>
          <w:tcPr>
            <w:tcW w:w="1347" w:type="dxa"/>
            <w:shd w:val="clear" w:color="auto" w:fill="BFBFBF" w:themeFill="background1" w:themeFillShade="BF"/>
            <w:noWrap/>
            <w:vAlign w:val="center"/>
          </w:tcPr>
          <w:p w14:paraId="39509FF8" w14:textId="77777777" w:rsidR="0076357A" w:rsidRPr="00AA4C18" w:rsidRDefault="0076357A" w:rsidP="0076357A">
            <w:pPr>
              <w:jc w:val="right"/>
              <w:rPr>
                <w:b/>
                <w:bCs/>
              </w:rPr>
            </w:pPr>
            <w:r w:rsidRPr="00AA4C18">
              <w:rPr>
                <w:b/>
                <w:bCs/>
              </w:rPr>
              <w:t>37</w:t>
            </w:r>
          </w:p>
        </w:tc>
        <w:tc>
          <w:tcPr>
            <w:tcW w:w="1460" w:type="dxa"/>
            <w:shd w:val="clear" w:color="auto" w:fill="BFBFBF" w:themeFill="background1" w:themeFillShade="BF"/>
            <w:noWrap/>
            <w:vAlign w:val="center"/>
          </w:tcPr>
          <w:p w14:paraId="6515CBBA" w14:textId="77777777" w:rsidR="0076357A" w:rsidRPr="00AA4C18" w:rsidRDefault="0076357A" w:rsidP="0076357A">
            <w:pPr>
              <w:jc w:val="right"/>
              <w:rPr>
                <w:b/>
                <w:bCs/>
              </w:rPr>
            </w:pPr>
            <w:r w:rsidRPr="00AA4C18">
              <w:rPr>
                <w:b/>
                <w:bCs/>
              </w:rPr>
              <w:t>49</w:t>
            </w:r>
          </w:p>
        </w:tc>
        <w:tc>
          <w:tcPr>
            <w:tcW w:w="1227" w:type="dxa"/>
            <w:shd w:val="clear" w:color="auto" w:fill="BFBFBF" w:themeFill="background1" w:themeFillShade="BF"/>
            <w:noWrap/>
            <w:vAlign w:val="center"/>
          </w:tcPr>
          <w:p w14:paraId="10358839" w14:textId="77777777" w:rsidR="0076357A" w:rsidRPr="00AA4C18" w:rsidRDefault="0076357A" w:rsidP="0076357A">
            <w:pPr>
              <w:jc w:val="right"/>
              <w:rPr>
                <w:b/>
                <w:bCs/>
              </w:rPr>
            </w:pPr>
            <w:r w:rsidRPr="00AA4C18">
              <w:rPr>
                <w:b/>
                <w:bCs/>
              </w:rPr>
              <w:t>24</w:t>
            </w:r>
          </w:p>
        </w:tc>
      </w:tr>
      <w:tr w:rsidR="0076357A" w:rsidRPr="00AA4C18" w14:paraId="11E9DBAB" w14:textId="77777777" w:rsidTr="0076357A">
        <w:trPr>
          <w:trHeight w:val="70"/>
          <w:jc w:val="center"/>
        </w:trPr>
        <w:tc>
          <w:tcPr>
            <w:tcW w:w="4661" w:type="dxa"/>
            <w:noWrap/>
            <w:vAlign w:val="center"/>
          </w:tcPr>
          <w:p w14:paraId="5115E33F" w14:textId="77777777" w:rsidR="0076357A" w:rsidRPr="00AA4C18" w:rsidRDefault="0076357A" w:rsidP="0076357A">
            <w:pPr>
              <w:rPr>
                <w:b/>
                <w:bCs/>
                <w:i/>
                <w:iCs/>
              </w:rPr>
            </w:pPr>
            <w:r w:rsidRPr="00AA4C18">
              <w:rPr>
                <w:b/>
                <w:bCs/>
                <w:i/>
                <w:iCs/>
              </w:rPr>
              <w:t xml:space="preserve">- vplyv na ŠR – </w:t>
            </w:r>
            <w:r w:rsidRPr="00AA4C18">
              <w:rPr>
                <w:bCs/>
                <w:iCs/>
              </w:rPr>
              <w:t>Štatistický úrad SR</w:t>
            </w:r>
          </w:p>
        </w:tc>
        <w:tc>
          <w:tcPr>
            <w:tcW w:w="1267" w:type="dxa"/>
            <w:noWrap/>
            <w:vAlign w:val="center"/>
          </w:tcPr>
          <w:p w14:paraId="4FBBB86F" w14:textId="77777777" w:rsidR="0076357A" w:rsidRPr="00AA4C18" w:rsidRDefault="0076357A" w:rsidP="0076357A">
            <w:pPr>
              <w:jc w:val="right"/>
              <w:rPr>
                <w:b/>
                <w:bCs/>
                <w:iCs/>
              </w:rPr>
            </w:pPr>
            <w:r w:rsidRPr="00AA4C18">
              <w:rPr>
                <w:b/>
                <w:bCs/>
                <w:iCs/>
              </w:rPr>
              <w:t>36</w:t>
            </w:r>
          </w:p>
        </w:tc>
        <w:tc>
          <w:tcPr>
            <w:tcW w:w="1347" w:type="dxa"/>
            <w:noWrap/>
            <w:vAlign w:val="center"/>
          </w:tcPr>
          <w:p w14:paraId="6F9F5E47" w14:textId="77777777" w:rsidR="0076357A" w:rsidRPr="00AA4C18" w:rsidRDefault="0076357A" w:rsidP="0076357A">
            <w:pPr>
              <w:jc w:val="right"/>
              <w:rPr>
                <w:b/>
                <w:bCs/>
                <w:iCs/>
              </w:rPr>
            </w:pPr>
            <w:r w:rsidRPr="00AA4C18">
              <w:rPr>
                <w:b/>
                <w:bCs/>
                <w:iCs/>
              </w:rPr>
              <w:t>37</w:t>
            </w:r>
          </w:p>
        </w:tc>
        <w:tc>
          <w:tcPr>
            <w:tcW w:w="1460" w:type="dxa"/>
            <w:noWrap/>
            <w:vAlign w:val="center"/>
          </w:tcPr>
          <w:p w14:paraId="4FF0AF78" w14:textId="77777777" w:rsidR="0076357A" w:rsidRPr="00AA4C18" w:rsidRDefault="0076357A" w:rsidP="0076357A">
            <w:pPr>
              <w:jc w:val="right"/>
              <w:rPr>
                <w:b/>
                <w:bCs/>
                <w:iCs/>
              </w:rPr>
            </w:pPr>
            <w:r w:rsidRPr="00AA4C18">
              <w:rPr>
                <w:b/>
                <w:bCs/>
                <w:iCs/>
              </w:rPr>
              <w:t>49</w:t>
            </w:r>
          </w:p>
        </w:tc>
        <w:tc>
          <w:tcPr>
            <w:tcW w:w="1227" w:type="dxa"/>
            <w:noWrap/>
            <w:vAlign w:val="center"/>
          </w:tcPr>
          <w:p w14:paraId="5F887B2A" w14:textId="77777777" w:rsidR="0076357A" w:rsidRPr="00AA4C18" w:rsidRDefault="0076357A" w:rsidP="0076357A">
            <w:pPr>
              <w:jc w:val="right"/>
              <w:rPr>
                <w:b/>
                <w:bCs/>
                <w:iCs/>
              </w:rPr>
            </w:pPr>
            <w:r w:rsidRPr="00AA4C18">
              <w:rPr>
                <w:b/>
                <w:bCs/>
                <w:iCs/>
              </w:rPr>
              <w:t>24</w:t>
            </w:r>
          </w:p>
        </w:tc>
      </w:tr>
      <w:tr w:rsidR="0076357A" w:rsidRPr="00AA4C18" w14:paraId="1429DE4A" w14:textId="77777777" w:rsidTr="0076357A">
        <w:trPr>
          <w:trHeight w:val="70"/>
          <w:jc w:val="center"/>
        </w:trPr>
        <w:tc>
          <w:tcPr>
            <w:tcW w:w="4661" w:type="dxa"/>
            <w:noWrap/>
            <w:vAlign w:val="center"/>
          </w:tcPr>
          <w:p w14:paraId="539CE7B1" w14:textId="77777777" w:rsidR="0076357A" w:rsidRPr="00AA4C18" w:rsidRDefault="0076357A" w:rsidP="0076357A">
            <w:pPr>
              <w:rPr>
                <w:b/>
                <w:bCs/>
                <w:i/>
                <w:iCs/>
              </w:rPr>
            </w:pPr>
            <w:r w:rsidRPr="00AA4C18">
              <w:rPr>
                <w:b/>
                <w:bCs/>
                <w:i/>
                <w:iCs/>
              </w:rPr>
              <w:t>- vplyv na obce</w:t>
            </w:r>
          </w:p>
        </w:tc>
        <w:tc>
          <w:tcPr>
            <w:tcW w:w="1267" w:type="dxa"/>
            <w:noWrap/>
            <w:vAlign w:val="center"/>
          </w:tcPr>
          <w:p w14:paraId="45715076" w14:textId="77777777" w:rsidR="0076357A" w:rsidRPr="00AA4C18" w:rsidRDefault="0076357A" w:rsidP="0076357A">
            <w:pPr>
              <w:jc w:val="right"/>
              <w:rPr>
                <w:b/>
                <w:bCs/>
                <w:iCs/>
              </w:rPr>
            </w:pPr>
            <w:r w:rsidRPr="00AA4C18">
              <w:rPr>
                <w:b/>
                <w:bCs/>
                <w:iCs/>
              </w:rPr>
              <w:t>0</w:t>
            </w:r>
          </w:p>
        </w:tc>
        <w:tc>
          <w:tcPr>
            <w:tcW w:w="1347" w:type="dxa"/>
            <w:noWrap/>
            <w:vAlign w:val="center"/>
          </w:tcPr>
          <w:p w14:paraId="27288C92" w14:textId="77777777" w:rsidR="0076357A" w:rsidRPr="00AA4C18" w:rsidRDefault="0076357A" w:rsidP="0076357A">
            <w:pPr>
              <w:jc w:val="right"/>
              <w:rPr>
                <w:b/>
                <w:bCs/>
                <w:iCs/>
              </w:rPr>
            </w:pPr>
            <w:r w:rsidRPr="00AA4C18">
              <w:rPr>
                <w:b/>
                <w:bCs/>
                <w:iCs/>
              </w:rPr>
              <w:t>0</w:t>
            </w:r>
          </w:p>
        </w:tc>
        <w:tc>
          <w:tcPr>
            <w:tcW w:w="1460" w:type="dxa"/>
            <w:noWrap/>
            <w:vAlign w:val="center"/>
          </w:tcPr>
          <w:p w14:paraId="59A57E60" w14:textId="77777777" w:rsidR="0076357A" w:rsidRPr="00AA4C18" w:rsidRDefault="0076357A" w:rsidP="0076357A">
            <w:pPr>
              <w:jc w:val="right"/>
              <w:rPr>
                <w:b/>
                <w:bCs/>
                <w:iCs/>
              </w:rPr>
            </w:pPr>
            <w:r w:rsidRPr="00AA4C18">
              <w:rPr>
                <w:b/>
                <w:bCs/>
                <w:iCs/>
              </w:rPr>
              <w:t>0</w:t>
            </w:r>
          </w:p>
        </w:tc>
        <w:tc>
          <w:tcPr>
            <w:tcW w:w="1227" w:type="dxa"/>
            <w:noWrap/>
            <w:vAlign w:val="center"/>
          </w:tcPr>
          <w:p w14:paraId="3CEE11B3" w14:textId="77777777" w:rsidR="0076357A" w:rsidRPr="00AA4C18" w:rsidRDefault="0076357A" w:rsidP="0076357A">
            <w:pPr>
              <w:jc w:val="right"/>
              <w:rPr>
                <w:b/>
                <w:bCs/>
                <w:iCs/>
              </w:rPr>
            </w:pPr>
            <w:r w:rsidRPr="00AA4C18">
              <w:rPr>
                <w:b/>
                <w:bCs/>
                <w:iCs/>
              </w:rPr>
              <w:t>0</w:t>
            </w:r>
          </w:p>
        </w:tc>
      </w:tr>
      <w:tr w:rsidR="0076357A" w:rsidRPr="00AA4C18" w14:paraId="1B0BF81E" w14:textId="77777777" w:rsidTr="0076357A">
        <w:trPr>
          <w:trHeight w:val="70"/>
          <w:jc w:val="center"/>
        </w:trPr>
        <w:tc>
          <w:tcPr>
            <w:tcW w:w="4661" w:type="dxa"/>
            <w:noWrap/>
            <w:vAlign w:val="center"/>
          </w:tcPr>
          <w:p w14:paraId="254183B1"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5D65E9BA" w14:textId="77777777" w:rsidR="0076357A" w:rsidRPr="00AA4C18" w:rsidRDefault="0076357A" w:rsidP="0076357A">
            <w:pPr>
              <w:jc w:val="right"/>
              <w:rPr>
                <w:b/>
                <w:bCs/>
                <w:iCs/>
              </w:rPr>
            </w:pPr>
            <w:r w:rsidRPr="00AA4C18">
              <w:rPr>
                <w:b/>
                <w:bCs/>
                <w:iCs/>
              </w:rPr>
              <w:t>0</w:t>
            </w:r>
          </w:p>
        </w:tc>
        <w:tc>
          <w:tcPr>
            <w:tcW w:w="1347" w:type="dxa"/>
            <w:noWrap/>
            <w:vAlign w:val="center"/>
          </w:tcPr>
          <w:p w14:paraId="29C468E7" w14:textId="77777777" w:rsidR="0076357A" w:rsidRPr="00AA4C18" w:rsidRDefault="0076357A" w:rsidP="0076357A">
            <w:pPr>
              <w:jc w:val="right"/>
              <w:rPr>
                <w:b/>
                <w:bCs/>
                <w:iCs/>
              </w:rPr>
            </w:pPr>
            <w:r w:rsidRPr="00AA4C18">
              <w:rPr>
                <w:b/>
                <w:bCs/>
                <w:iCs/>
              </w:rPr>
              <w:t>0</w:t>
            </w:r>
          </w:p>
        </w:tc>
        <w:tc>
          <w:tcPr>
            <w:tcW w:w="1460" w:type="dxa"/>
            <w:noWrap/>
            <w:vAlign w:val="center"/>
          </w:tcPr>
          <w:p w14:paraId="6EF921B5" w14:textId="77777777" w:rsidR="0076357A" w:rsidRPr="00AA4C18" w:rsidRDefault="0076357A" w:rsidP="0076357A">
            <w:pPr>
              <w:jc w:val="right"/>
              <w:rPr>
                <w:b/>
                <w:bCs/>
                <w:iCs/>
              </w:rPr>
            </w:pPr>
            <w:r w:rsidRPr="00AA4C18">
              <w:rPr>
                <w:b/>
                <w:bCs/>
                <w:iCs/>
              </w:rPr>
              <w:t>0</w:t>
            </w:r>
          </w:p>
        </w:tc>
        <w:tc>
          <w:tcPr>
            <w:tcW w:w="1227" w:type="dxa"/>
            <w:noWrap/>
            <w:vAlign w:val="center"/>
          </w:tcPr>
          <w:p w14:paraId="668F1B02" w14:textId="77777777" w:rsidR="0076357A" w:rsidRPr="00AA4C18" w:rsidRDefault="0076357A" w:rsidP="0076357A">
            <w:pPr>
              <w:jc w:val="right"/>
              <w:rPr>
                <w:b/>
                <w:bCs/>
                <w:iCs/>
              </w:rPr>
            </w:pPr>
            <w:r w:rsidRPr="00AA4C18">
              <w:rPr>
                <w:b/>
                <w:bCs/>
                <w:iCs/>
              </w:rPr>
              <w:t>0</w:t>
            </w:r>
          </w:p>
        </w:tc>
      </w:tr>
      <w:tr w:rsidR="0076357A" w:rsidRPr="00AA4C18" w14:paraId="009A58A9" w14:textId="77777777" w:rsidTr="0076357A">
        <w:trPr>
          <w:trHeight w:val="70"/>
          <w:jc w:val="center"/>
        </w:trPr>
        <w:tc>
          <w:tcPr>
            <w:tcW w:w="4661" w:type="dxa"/>
            <w:noWrap/>
            <w:vAlign w:val="center"/>
          </w:tcPr>
          <w:p w14:paraId="353A48F4" w14:textId="77777777" w:rsidR="0076357A" w:rsidRPr="00AA4C18" w:rsidRDefault="0076357A" w:rsidP="0076357A">
            <w:pPr>
              <w:rPr>
                <w:b/>
                <w:bCs/>
                <w:i/>
                <w:iCs/>
              </w:rPr>
            </w:pPr>
            <w:r w:rsidRPr="00AA4C18">
              <w:rPr>
                <w:b/>
                <w:bCs/>
                <w:i/>
                <w:iCs/>
              </w:rPr>
              <w:t>- vplyv na ostatné subjekty verejnej správy</w:t>
            </w:r>
          </w:p>
        </w:tc>
        <w:tc>
          <w:tcPr>
            <w:tcW w:w="1267" w:type="dxa"/>
            <w:noWrap/>
            <w:vAlign w:val="center"/>
          </w:tcPr>
          <w:p w14:paraId="180D7902" w14:textId="77777777" w:rsidR="0076357A" w:rsidRPr="00AA4C18" w:rsidRDefault="0076357A" w:rsidP="0076357A">
            <w:pPr>
              <w:jc w:val="right"/>
              <w:rPr>
                <w:b/>
                <w:bCs/>
                <w:iCs/>
              </w:rPr>
            </w:pPr>
            <w:r w:rsidRPr="00AA4C18">
              <w:rPr>
                <w:b/>
                <w:bCs/>
                <w:iCs/>
              </w:rPr>
              <w:t>0</w:t>
            </w:r>
          </w:p>
        </w:tc>
        <w:tc>
          <w:tcPr>
            <w:tcW w:w="1347" w:type="dxa"/>
            <w:noWrap/>
            <w:vAlign w:val="center"/>
          </w:tcPr>
          <w:p w14:paraId="57E7F653" w14:textId="77777777" w:rsidR="0076357A" w:rsidRPr="00AA4C18" w:rsidRDefault="0076357A" w:rsidP="0076357A">
            <w:pPr>
              <w:jc w:val="right"/>
              <w:rPr>
                <w:b/>
                <w:bCs/>
                <w:iCs/>
              </w:rPr>
            </w:pPr>
            <w:r w:rsidRPr="00AA4C18">
              <w:rPr>
                <w:b/>
                <w:bCs/>
                <w:iCs/>
              </w:rPr>
              <w:t>0</w:t>
            </w:r>
          </w:p>
        </w:tc>
        <w:tc>
          <w:tcPr>
            <w:tcW w:w="1460" w:type="dxa"/>
            <w:noWrap/>
            <w:vAlign w:val="center"/>
          </w:tcPr>
          <w:p w14:paraId="78E1BB9F" w14:textId="77777777" w:rsidR="0076357A" w:rsidRPr="00AA4C18" w:rsidRDefault="0076357A" w:rsidP="0076357A">
            <w:pPr>
              <w:jc w:val="right"/>
              <w:rPr>
                <w:b/>
                <w:bCs/>
                <w:iCs/>
              </w:rPr>
            </w:pPr>
            <w:r w:rsidRPr="00AA4C18">
              <w:rPr>
                <w:b/>
                <w:bCs/>
                <w:iCs/>
              </w:rPr>
              <w:t>0</w:t>
            </w:r>
          </w:p>
        </w:tc>
        <w:tc>
          <w:tcPr>
            <w:tcW w:w="1227" w:type="dxa"/>
            <w:noWrap/>
            <w:vAlign w:val="center"/>
          </w:tcPr>
          <w:p w14:paraId="06E7AB11" w14:textId="77777777" w:rsidR="0076357A" w:rsidRPr="00AA4C18" w:rsidRDefault="0076357A" w:rsidP="0076357A">
            <w:pPr>
              <w:jc w:val="right"/>
              <w:rPr>
                <w:b/>
                <w:bCs/>
                <w:iCs/>
              </w:rPr>
            </w:pPr>
            <w:r w:rsidRPr="00AA4C18">
              <w:rPr>
                <w:b/>
                <w:bCs/>
                <w:iCs/>
              </w:rPr>
              <w:t>0</w:t>
            </w:r>
          </w:p>
        </w:tc>
      </w:tr>
      <w:tr w:rsidR="0076357A" w:rsidRPr="00AA4C18" w14:paraId="6AB0D94B" w14:textId="77777777" w:rsidTr="0076357A">
        <w:trPr>
          <w:trHeight w:val="70"/>
          <w:jc w:val="center"/>
        </w:trPr>
        <w:tc>
          <w:tcPr>
            <w:tcW w:w="4661" w:type="dxa"/>
            <w:shd w:val="clear" w:color="auto" w:fill="BFBFBF" w:themeFill="background1" w:themeFillShade="BF"/>
            <w:noWrap/>
            <w:vAlign w:val="center"/>
          </w:tcPr>
          <w:p w14:paraId="3C4808B0" w14:textId="77777777" w:rsidR="0076357A" w:rsidRPr="00AA4C18" w:rsidRDefault="0076357A" w:rsidP="0076357A">
            <w:pPr>
              <w:rPr>
                <w:b/>
              </w:rPr>
            </w:pPr>
            <w:r w:rsidRPr="00AA4C18">
              <w:rPr>
                <w:b/>
              </w:rPr>
              <w:t>Vplyv na mzdové výdavky</w:t>
            </w:r>
          </w:p>
        </w:tc>
        <w:tc>
          <w:tcPr>
            <w:tcW w:w="1267" w:type="dxa"/>
            <w:shd w:val="clear" w:color="auto" w:fill="BFBFBF" w:themeFill="background1" w:themeFillShade="BF"/>
            <w:noWrap/>
            <w:vAlign w:val="center"/>
          </w:tcPr>
          <w:p w14:paraId="328211BF" w14:textId="77777777" w:rsidR="0076357A" w:rsidRPr="00AA4C18" w:rsidRDefault="0076357A" w:rsidP="0076357A">
            <w:pPr>
              <w:jc w:val="right"/>
              <w:rPr>
                <w:b/>
              </w:rPr>
            </w:pPr>
            <w:r w:rsidRPr="00AA4C18">
              <w:rPr>
                <w:b/>
              </w:rPr>
              <w:t>693 000</w:t>
            </w:r>
          </w:p>
        </w:tc>
        <w:tc>
          <w:tcPr>
            <w:tcW w:w="1347" w:type="dxa"/>
            <w:shd w:val="clear" w:color="auto" w:fill="BFBFBF" w:themeFill="background1" w:themeFillShade="BF"/>
            <w:noWrap/>
            <w:vAlign w:val="center"/>
          </w:tcPr>
          <w:p w14:paraId="42EF881B" w14:textId="77777777" w:rsidR="0076357A" w:rsidRPr="00AA4C18" w:rsidRDefault="0076357A" w:rsidP="0076357A">
            <w:pPr>
              <w:jc w:val="right"/>
              <w:rPr>
                <w:b/>
              </w:rPr>
            </w:pPr>
            <w:r w:rsidRPr="00AA4C18">
              <w:rPr>
                <w:b/>
              </w:rPr>
              <w:t>713 072</w:t>
            </w:r>
          </w:p>
        </w:tc>
        <w:tc>
          <w:tcPr>
            <w:tcW w:w="1460" w:type="dxa"/>
            <w:shd w:val="clear" w:color="auto" w:fill="BFBFBF" w:themeFill="background1" w:themeFillShade="BF"/>
            <w:noWrap/>
            <w:vAlign w:val="center"/>
          </w:tcPr>
          <w:p w14:paraId="7A4544BA" w14:textId="77777777" w:rsidR="0076357A" w:rsidRPr="00AA4C18" w:rsidRDefault="0076357A" w:rsidP="0076357A">
            <w:pPr>
              <w:jc w:val="right"/>
              <w:rPr>
                <w:b/>
              </w:rPr>
            </w:pPr>
            <w:r w:rsidRPr="00AA4C18">
              <w:rPr>
                <w:b/>
              </w:rPr>
              <w:t>1 049 546</w:t>
            </w:r>
          </w:p>
        </w:tc>
        <w:tc>
          <w:tcPr>
            <w:tcW w:w="1227" w:type="dxa"/>
            <w:shd w:val="clear" w:color="auto" w:fill="BFBFBF" w:themeFill="background1" w:themeFillShade="BF"/>
            <w:noWrap/>
            <w:vAlign w:val="center"/>
          </w:tcPr>
          <w:p w14:paraId="4E6A9A5E" w14:textId="77777777" w:rsidR="0076357A" w:rsidRPr="00AA4C18" w:rsidRDefault="0076357A" w:rsidP="0076357A">
            <w:pPr>
              <w:jc w:val="right"/>
              <w:rPr>
                <w:b/>
              </w:rPr>
            </w:pPr>
            <w:r w:rsidRPr="00AA4C18">
              <w:rPr>
                <w:b/>
              </w:rPr>
              <w:t>553 073</w:t>
            </w:r>
          </w:p>
        </w:tc>
      </w:tr>
      <w:tr w:rsidR="0076357A" w:rsidRPr="00AA4C18" w14:paraId="0DC0980A" w14:textId="77777777" w:rsidTr="0076357A">
        <w:trPr>
          <w:trHeight w:val="70"/>
          <w:jc w:val="center"/>
        </w:trPr>
        <w:tc>
          <w:tcPr>
            <w:tcW w:w="4661" w:type="dxa"/>
            <w:noWrap/>
            <w:vAlign w:val="center"/>
          </w:tcPr>
          <w:p w14:paraId="1D8D0796" w14:textId="77777777" w:rsidR="0076357A" w:rsidRPr="00AA4C18" w:rsidRDefault="0076357A" w:rsidP="0076357A">
            <w:pPr>
              <w:rPr>
                <w:b/>
                <w:bCs/>
                <w:i/>
                <w:iCs/>
              </w:rPr>
            </w:pPr>
            <w:r w:rsidRPr="00AA4C18">
              <w:rPr>
                <w:b/>
                <w:bCs/>
                <w:i/>
                <w:iCs/>
              </w:rPr>
              <w:t xml:space="preserve">- vplyv na ŠR – </w:t>
            </w:r>
            <w:r w:rsidRPr="00AA4C18">
              <w:rPr>
                <w:bCs/>
                <w:iCs/>
              </w:rPr>
              <w:t>Štatistický úrad SR</w:t>
            </w:r>
          </w:p>
        </w:tc>
        <w:tc>
          <w:tcPr>
            <w:tcW w:w="1267" w:type="dxa"/>
            <w:noWrap/>
            <w:vAlign w:val="center"/>
          </w:tcPr>
          <w:p w14:paraId="4668CA34" w14:textId="77777777" w:rsidR="0076357A" w:rsidRPr="00AA4C18" w:rsidRDefault="0076357A" w:rsidP="0076357A">
            <w:pPr>
              <w:jc w:val="right"/>
              <w:rPr>
                <w:b/>
                <w:bCs/>
                <w:iCs/>
              </w:rPr>
            </w:pPr>
            <w:r w:rsidRPr="00AA4C18">
              <w:rPr>
                <w:b/>
                <w:bCs/>
                <w:iCs/>
              </w:rPr>
              <w:t>693 000</w:t>
            </w:r>
          </w:p>
        </w:tc>
        <w:tc>
          <w:tcPr>
            <w:tcW w:w="1347" w:type="dxa"/>
            <w:noWrap/>
            <w:vAlign w:val="center"/>
          </w:tcPr>
          <w:p w14:paraId="3D21F605" w14:textId="77777777" w:rsidR="0076357A" w:rsidRPr="00AA4C18" w:rsidRDefault="0076357A" w:rsidP="0076357A">
            <w:pPr>
              <w:jc w:val="right"/>
              <w:rPr>
                <w:b/>
                <w:bCs/>
                <w:iCs/>
              </w:rPr>
            </w:pPr>
            <w:r w:rsidRPr="00AA4C18">
              <w:rPr>
                <w:b/>
                <w:bCs/>
                <w:iCs/>
              </w:rPr>
              <w:t>713 072</w:t>
            </w:r>
          </w:p>
        </w:tc>
        <w:tc>
          <w:tcPr>
            <w:tcW w:w="1460" w:type="dxa"/>
            <w:noWrap/>
            <w:vAlign w:val="center"/>
          </w:tcPr>
          <w:p w14:paraId="5AE80272" w14:textId="77777777" w:rsidR="0076357A" w:rsidRPr="00AA4C18" w:rsidRDefault="0076357A" w:rsidP="0076357A">
            <w:pPr>
              <w:jc w:val="right"/>
              <w:rPr>
                <w:b/>
                <w:bCs/>
                <w:iCs/>
              </w:rPr>
            </w:pPr>
            <w:r w:rsidRPr="00AA4C18">
              <w:rPr>
                <w:b/>
                <w:bCs/>
                <w:iCs/>
              </w:rPr>
              <w:t xml:space="preserve"> 1 049 546</w:t>
            </w:r>
          </w:p>
        </w:tc>
        <w:tc>
          <w:tcPr>
            <w:tcW w:w="1227" w:type="dxa"/>
            <w:noWrap/>
            <w:vAlign w:val="center"/>
          </w:tcPr>
          <w:p w14:paraId="11B2A715" w14:textId="77777777" w:rsidR="0076357A" w:rsidRPr="00AA4C18" w:rsidRDefault="0076357A" w:rsidP="0076357A">
            <w:pPr>
              <w:jc w:val="right"/>
              <w:rPr>
                <w:b/>
                <w:bCs/>
                <w:iCs/>
              </w:rPr>
            </w:pPr>
            <w:r w:rsidRPr="00AA4C18">
              <w:rPr>
                <w:b/>
                <w:bCs/>
                <w:iCs/>
              </w:rPr>
              <w:t>553 073</w:t>
            </w:r>
          </w:p>
        </w:tc>
      </w:tr>
      <w:tr w:rsidR="0076357A" w:rsidRPr="00AA4C18" w14:paraId="55195BC0" w14:textId="77777777" w:rsidTr="0076357A">
        <w:trPr>
          <w:trHeight w:val="70"/>
          <w:jc w:val="center"/>
        </w:trPr>
        <w:tc>
          <w:tcPr>
            <w:tcW w:w="4661" w:type="dxa"/>
            <w:noWrap/>
            <w:vAlign w:val="center"/>
          </w:tcPr>
          <w:p w14:paraId="30956F15" w14:textId="77777777" w:rsidR="0076357A" w:rsidRPr="00AA4C18" w:rsidRDefault="0076357A" w:rsidP="0076357A">
            <w:pPr>
              <w:rPr>
                <w:b/>
                <w:bCs/>
                <w:i/>
                <w:iCs/>
              </w:rPr>
            </w:pPr>
            <w:r w:rsidRPr="00AA4C18">
              <w:rPr>
                <w:b/>
                <w:bCs/>
                <w:i/>
                <w:iCs/>
              </w:rPr>
              <w:t>- vplyv na obce</w:t>
            </w:r>
          </w:p>
        </w:tc>
        <w:tc>
          <w:tcPr>
            <w:tcW w:w="1267" w:type="dxa"/>
            <w:noWrap/>
            <w:vAlign w:val="center"/>
          </w:tcPr>
          <w:p w14:paraId="6FD33BFD" w14:textId="77777777" w:rsidR="0076357A" w:rsidRPr="00AA4C18" w:rsidRDefault="0076357A" w:rsidP="0076357A">
            <w:pPr>
              <w:jc w:val="right"/>
              <w:rPr>
                <w:b/>
                <w:bCs/>
                <w:iCs/>
              </w:rPr>
            </w:pPr>
            <w:r w:rsidRPr="00AA4C18">
              <w:rPr>
                <w:b/>
                <w:bCs/>
                <w:iCs/>
              </w:rPr>
              <w:t>0</w:t>
            </w:r>
          </w:p>
        </w:tc>
        <w:tc>
          <w:tcPr>
            <w:tcW w:w="1347" w:type="dxa"/>
            <w:noWrap/>
            <w:vAlign w:val="center"/>
          </w:tcPr>
          <w:p w14:paraId="15B13E11" w14:textId="77777777" w:rsidR="0076357A" w:rsidRPr="00AA4C18" w:rsidRDefault="0076357A" w:rsidP="0076357A">
            <w:pPr>
              <w:jc w:val="right"/>
              <w:rPr>
                <w:b/>
                <w:bCs/>
                <w:iCs/>
              </w:rPr>
            </w:pPr>
            <w:r w:rsidRPr="00AA4C18">
              <w:rPr>
                <w:b/>
                <w:bCs/>
                <w:iCs/>
              </w:rPr>
              <w:t>0</w:t>
            </w:r>
          </w:p>
        </w:tc>
        <w:tc>
          <w:tcPr>
            <w:tcW w:w="1460" w:type="dxa"/>
            <w:noWrap/>
            <w:vAlign w:val="center"/>
          </w:tcPr>
          <w:p w14:paraId="4BA6CE0B" w14:textId="77777777" w:rsidR="0076357A" w:rsidRPr="00AA4C18" w:rsidRDefault="0076357A" w:rsidP="0076357A">
            <w:pPr>
              <w:jc w:val="right"/>
              <w:rPr>
                <w:b/>
                <w:bCs/>
                <w:iCs/>
              </w:rPr>
            </w:pPr>
            <w:r w:rsidRPr="00AA4C18">
              <w:rPr>
                <w:b/>
                <w:bCs/>
                <w:iCs/>
              </w:rPr>
              <w:t>0</w:t>
            </w:r>
          </w:p>
        </w:tc>
        <w:tc>
          <w:tcPr>
            <w:tcW w:w="1227" w:type="dxa"/>
            <w:noWrap/>
            <w:vAlign w:val="center"/>
          </w:tcPr>
          <w:p w14:paraId="593B5ADB" w14:textId="77777777" w:rsidR="0076357A" w:rsidRPr="00AA4C18" w:rsidRDefault="0076357A" w:rsidP="0076357A">
            <w:pPr>
              <w:jc w:val="right"/>
              <w:rPr>
                <w:b/>
                <w:bCs/>
                <w:iCs/>
              </w:rPr>
            </w:pPr>
            <w:r w:rsidRPr="00AA4C18">
              <w:rPr>
                <w:b/>
                <w:bCs/>
                <w:iCs/>
              </w:rPr>
              <w:t>0</w:t>
            </w:r>
          </w:p>
        </w:tc>
      </w:tr>
      <w:tr w:rsidR="0076357A" w:rsidRPr="00AA4C18" w14:paraId="516583CF" w14:textId="77777777" w:rsidTr="0076357A">
        <w:trPr>
          <w:trHeight w:val="70"/>
          <w:jc w:val="center"/>
        </w:trPr>
        <w:tc>
          <w:tcPr>
            <w:tcW w:w="4661" w:type="dxa"/>
            <w:noWrap/>
            <w:vAlign w:val="center"/>
          </w:tcPr>
          <w:p w14:paraId="48E1A692"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13C0165E" w14:textId="77777777" w:rsidR="0076357A" w:rsidRPr="00AA4C18" w:rsidRDefault="0076357A" w:rsidP="0076357A">
            <w:pPr>
              <w:jc w:val="right"/>
              <w:rPr>
                <w:b/>
                <w:bCs/>
                <w:iCs/>
              </w:rPr>
            </w:pPr>
            <w:r w:rsidRPr="00AA4C18">
              <w:rPr>
                <w:b/>
                <w:bCs/>
                <w:iCs/>
              </w:rPr>
              <w:t>0</w:t>
            </w:r>
          </w:p>
        </w:tc>
        <w:tc>
          <w:tcPr>
            <w:tcW w:w="1347" w:type="dxa"/>
            <w:noWrap/>
            <w:vAlign w:val="center"/>
          </w:tcPr>
          <w:p w14:paraId="4B26DA22" w14:textId="77777777" w:rsidR="0076357A" w:rsidRPr="00AA4C18" w:rsidRDefault="0076357A" w:rsidP="0076357A">
            <w:pPr>
              <w:jc w:val="right"/>
              <w:rPr>
                <w:b/>
                <w:bCs/>
                <w:iCs/>
              </w:rPr>
            </w:pPr>
            <w:r w:rsidRPr="00AA4C18">
              <w:rPr>
                <w:b/>
                <w:bCs/>
                <w:iCs/>
              </w:rPr>
              <w:t>0</w:t>
            </w:r>
          </w:p>
        </w:tc>
        <w:tc>
          <w:tcPr>
            <w:tcW w:w="1460" w:type="dxa"/>
            <w:noWrap/>
            <w:vAlign w:val="center"/>
          </w:tcPr>
          <w:p w14:paraId="2C8B16DB" w14:textId="77777777" w:rsidR="0076357A" w:rsidRPr="00AA4C18" w:rsidRDefault="0076357A" w:rsidP="0076357A">
            <w:pPr>
              <w:jc w:val="right"/>
              <w:rPr>
                <w:b/>
                <w:bCs/>
                <w:iCs/>
              </w:rPr>
            </w:pPr>
            <w:r w:rsidRPr="00AA4C18">
              <w:rPr>
                <w:b/>
                <w:bCs/>
                <w:iCs/>
              </w:rPr>
              <w:t>0</w:t>
            </w:r>
          </w:p>
        </w:tc>
        <w:tc>
          <w:tcPr>
            <w:tcW w:w="1227" w:type="dxa"/>
            <w:noWrap/>
            <w:vAlign w:val="center"/>
          </w:tcPr>
          <w:p w14:paraId="6EF8947D" w14:textId="77777777" w:rsidR="0076357A" w:rsidRPr="00AA4C18" w:rsidRDefault="0076357A" w:rsidP="0076357A">
            <w:pPr>
              <w:jc w:val="right"/>
              <w:rPr>
                <w:b/>
                <w:bCs/>
                <w:iCs/>
              </w:rPr>
            </w:pPr>
            <w:r w:rsidRPr="00AA4C18">
              <w:rPr>
                <w:b/>
                <w:bCs/>
                <w:iCs/>
              </w:rPr>
              <w:t>0</w:t>
            </w:r>
          </w:p>
        </w:tc>
      </w:tr>
      <w:tr w:rsidR="0076357A" w:rsidRPr="00AA4C18" w14:paraId="33ED5A22" w14:textId="77777777" w:rsidTr="0076357A">
        <w:trPr>
          <w:trHeight w:val="70"/>
          <w:jc w:val="center"/>
        </w:trPr>
        <w:tc>
          <w:tcPr>
            <w:tcW w:w="4661" w:type="dxa"/>
            <w:noWrap/>
            <w:vAlign w:val="center"/>
          </w:tcPr>
          <w:p w14:paraId="3E7E748A" w14:textId="77777777" w:rsidR="0076357A" w:rsidRPr="00AA4C18" w:rsidRDefault="0076357A" w:rsidP="0076357A">
            <w:pPr>
              <w:rPr>
                <w:b/>
                <w:bCs/>
              </w:rPr>
            </w:pPr>
            <w:r w:rsidRPr="00AA4C18">
              <w:rPr>
                <w:b/>
                <w:bCs/>
                <w:i/>
                <w:iCs/>
              </w:rPr>
              <w:lastRenderedPageBreak/>
              <w:t>- vplyv na ostatné subjekty verejnej správy</w:t>
            </w:r>
          </w:p>
        </w:tc>
        <w:tc>
          <w:tcPr>
            <w:tcW w:w="1267" w:type="dxa"/>
            <w:noWrap/>
            <w:vAlign w:val="center"/>
          </w:tcPr>
          <w:p w14:paraId="1449B1E5" w14:textId="77777777" w:rsidR="0076357A" w:rsidRPr="00AA4C18" w:rsidRDefault="0076357A" w:rsidP="0076357A">
            <w:pPr>
              <w:jc w:val="right"/>
              <w:rPr>
                <w:b/>
                <w:bCs/>
                <w:iCs/>
              </w:rPr>
            </w:pPr>
            <w:r w:rsidRPr="00AA4C18">
              <w:rPr>
                <w:b/>
                <w:bCs/>
                <w:iCs/>
              </w:rPr>
              <w:t>0</w:t>
            </w:r>
          </w:p>
        </w:tc>
        <w:tc>
          <w:tcPr>
            <w:tcW w:w="1347" w:type="dxa"/>
            <w:noWrap/>
            <w:vAlign w:val="center"/>
          </w:tcPr>
          <w:p w14:paraId="6A3A56E9" w14:textId="77777777" w:rsidR="0076357A" w:rsidRPr="00AA4C18" w:rsidRDefault="0076357A" w:rsidP="0076357A">
            <w:pPr>
              <w:jc w:val="right"/>
              <w:rPr>
                <w:b/>
                <w:bCs/>
                <w:iCs/>
              </w:rPr>
            </w:pPr>
            <w:r w:rsidRPr="00AA4C18">
              <w:rPr>
                <w:b/>
                <w:bCs/>
                <w:iCs/>
              </w:rPr>
              <w:t>0</w:t>
            </w:r>
          </w:p>
        </w:tc>
        <w:tc>
          <w:tcPr>
            <w:tcW w:w="1460" w:type="dxa"/>
            <w:noWrap/>
            <w:vAlign w:val="center"/>
          </w:tcPr>
          <w:p w14:paraId="5B2515BD" w14:textId="77777777" w:rsidR="0076357A" w:rsidRPr="00AA4C18" w:rsidRDefault="0076357A" w:rsidP="0076357A">
            <w:pPr>
              <w:jc w:val="right"/>
              <w:rPr>
                <w:b/>
                <w:bCs/>
                <w:iCs/>
              </w:rPr>
            </w:pPr>
            <w:r w:rsidRPr="00AA4C18">
              <w:rPr>
                <w:b/>
                <w:bCs/>
                <w:iCs/>
              </w:rPr>
              <w:t>0</w:t>
            </w:r>
          </w:p>
        </w:tc>
        <w:tc>
          <w:tcPr>
            <w:tcW w:w="1227" w:type="dxa"/>
            <w:noWrap/>
            <w:vAlign w:val="center"/>
          </w:tcPr>
          <w:p w14:paraId="38BFDF7C" w14:textId="77777777" w:rsidR="0076357A" w:rsidRPr="00AA4C18" w:rsidRDefault="0076357A" w:rsidP="0076357A">
            <w:pPr>
              <w:jc w:val="right"/>
              <w:rPr>
                <w:b/>
                <w:bCs/>
                <w:iCs/>
              </w:rPr>
            </w:pPr>
            <w:r w:rsidRPr="00AA4C18">
              <w:rPr>
                <w:b/>
                <w:bCs/>
                <w:iCs/>
              </w:rPr>
              <w:t>0</w:t>
            </w:r>
          </w:p>
        </w:tc>
      </w:tr>
      <w:tr w:rsidR="0076357A" w:rsidRPr="00AA4C18" w14:paraId="50C8A673" w14:textId="77777777" w:rsidTr="0076357A">
        <w:trPr>
          <w:trHeight w:val="70"/>
          <w:jc w:val="center"/>
        </w:trPr>
        <w:tc>
          <w:tcPr>
            <w:tcW w:w="4661" w:type="dxa"/>
            <w:shd w:val="clear" w:color="auto" w:fill="C0C0C0"/>
            <w:noWrap/>
            <w:vAlign w:val="center"/>
          </w:tcPr>
          <w:p w14:paraId="33A7AC22" w14:textId="77777777" w:rsidR="0076357A" w:rsidRPr="00AA4C18" w:rsidRDefault="0076357A" w:rsidP="0076357A">
            <w:pPr>
              <w:rPr>
                <w:b/>
                <w:bCs/>
              </w:rPr>
            </w:pPr>
            <w:r w:rsidRPr="00AA4C18">
              <w:rPr>
                <w:b/>
                <w:bCs/>
              </w:rPr>
              <w:t>Financovanie zabezpečené v rozpočte</w:t>
            </w:r>
          </w:p>
        </w:tc>
        <w:tc>
          <w:tcPr>
            <w:tcW w:w="1267" w:type="dxa"/>
            <w:shd w:val="clear" w:color="auto" w:fill="C0C0C0"/>
            <w:noWrap/>
            <w:vAlign w:val="center"/>
          </w:tcPr>
          <w:p w14:paraId="42836FC4" w14:textId="77777777" w:rsidR="0076357A" w:rsidRPr="00AA4C18" w:rsidRDefault="0076357A" w:rsidP="0076357A">
            <w:pPr>
              <w:jc w:val="right"/>
              <w:rPr>
                <w:b/>
                <w:bCs/>
              </w:rPr>
            </w:pPr>
            <w:r w:rsidRPr="00AA4C18">
              <w:rPr>
                <w:b/>
                <w:bCs/>
              </w:rPr>
              <w:t>6 556 000</w:t>
            </w:r>
          </w:p>
        </w:tc>
        <w:tc>
          <w:tcPr>
            <w:tcW w:w="1347" w:type="dxa"/>
            <w:shd w:val="clear" w:color="auto" w:fill="C0C0C0"/>
            <w:noWrap/>
            <w:vAlign w:val="center"/>
          </w:tcPr>
          <w:p w14:paraId="47637CC2" w14:textId="77777777" w:rsidR="0076357A" w:rsidRPr="00AA4C18" w:rsidRDefault="0076357A" w:rsidP="0076357A">
            <w:pPr>
              <w:jc w:val="right"/>
              <w:rPr>
                <w:b/>
                <w:bCs/>
              </w:rPr>
            </w:pPr>
            <w:r w:rsidRPr="00AA4C18">
              <w:rPr>
                <w:b/>
                <w:bCs/>
              </w:rPr>
              <w:t>24 458 290</w:t>
            </w:r>
          </w:p>
        </w:tc>
        <w:tc>
          <w:tcPr>
            <w:tcW w:w="1460" w:type="dxa"/>
            <w:shd w:val="clear" w:color="auto" w:fill="C0C0C0"/>
            <w:noWrap/>
            <w:vAlign w:val="center"/>
          </w:tcPr>
          <w:p w14:paraId="4EB5EE0D" w14:textId="77777777" w:rsidR="0076357A" w:rsidRPr="00AA4C18" w:rsidRDefault="0076357A" w:rsidP="0076357A">
            <w:pPr>
              <w:jc w:val="right"/>
              <w:rPr>
                <w:b/>
                <w:bCs/>
              </w:rPr>
            </w:pPr>
            <w:r w:rsidRPr="00AA4C18">
              <w:rPr>
                <w:b/>
                <w:bCs/>
              </w:rPr>
              <w:t>20 916 989</w:t>
            </w:r>
          </w:p>
        </w:tc>
        <w:tc>
          <w:tcPr>
            <w:tcW w:w="1227" w:type="dxa"/>
            <w:shd w:val="clear" w:color="auto" w:fill="C0C0C0"/>
            <w:noWrap/>
            <w:vAlign w:val="center"/>
          </w:tcPr>
          <w:p w14:paraId="347A3ED1" w14:textId="77777777" w:rsidR="0076357A" w:rsidRPr="00AA4C18" w:rsidRDefault="0076357A" w:rsidP="0076357A">
            <w:pPr>
              <w:jc w:val="right"/>
              <w:rPr>
                <w:b/>
                <w:bCs/>
              </w:rPr>
            </w:pPr>
            <w:r w:rsidRPr="00AA4C18">
              <w:rPr>
                <w:b/>
                <w:bCs/>
              </w:rPr>
              <w:t xml:space="preserve">2 966 372   </w:t>
            </w:r>
          </w:p>
        </w:tc>
      </w:tr>
      <w:tr w:rsidR="0076357A" w:rsidRPr="00AA4C18" w14:paraId="11724D11" w14:textId="77777777" w:rsidTr="0076357A">
        <w:trPr>
          <w:trHeight w:val="70"/>
          <w:jc w:val="center"/>
        </w:trPr>
        <w:tc>
          <w:tcPr>
            <w:tcW w:w="4661" w:type="dxa"/>
            <w:noWrap/>
            <w:vAlign w:val="center"/>
          </w:tcPr>
          <w:p w14:paraId="3CA67167" w14:textId="77777777" w:rsidR="0076357A" w:rsidRPr="00AA4C18" w:rsidRDefault="0076357A" w:rsidP="0076357A">
            <w:r w:rsidRPr="00AA4C18">
              <w:t xml:space="preserve">v tom: za každý subjekt verejnej správy / program zvlášť </w:t>
            </w:r>
          </w:p>
        </w:tc>
        <w:tc>
          <w:tcPr>
            <w:tcW w:w="1267" w:type="dxa"/>
            <w:noWrap/>
            <w:vAlign w:val="center"/>
          </w:tcPr>
          <w:p w14:paraId="58595E46" w14:textId="77777777" w:rsidR="0076357A" w:rsidRPr="00AA4C18" w:rsidRDefault="0076357A" w:rsidP="0076357A">
            <w:pPr>
              <w:jc w:val="right"/>
            </w:pPr>
          </w:p>
        </w:tc>
        <w:tc>
          <w:tcPr>
            <w:tcW w:w="1347" w:type="dxa"/>
            <w:noWrap/>
            <w:vAlign w:val="center"/>
          </w:tcPr>
          <w:p w14:paraId="778285CF" w14:textId="77777777" w:rsidR="0076357A" w:rsidRPr="00AA4C18" w:rsidRDefault="0076357A" w:rsidP="0076357A">
            <w:pPr>
              <w:jc w:val="center"/>
              <w:rPr>
                <w:b/>
                <w:bCs/>
              </w:rPr>
            </w:pPr>
          </w:p>
        </w:tc>
        <w:tc>
          <w:tcPr>
            <w:tcW w:w="1460" w:type="dxa"/>
            <w:noWrap/>
            <w:vAlign w:val="center"/>
          </w:tcPr>
          <w:p w14:paraId="655442FE" w14:textId="77777777" w:rsidR="0076357A" w:rsidRPr="00AA4C18" w:rsidRDefault="0076357A" w:rsidP="0076357A">
            <w:pPr>
              <w:jc w:val="right"/>
              <w:rPr>
                <w:b/>
                <w:bCs/>
              </w:rPr>
            </w:pPr>
          </w:p>
        </w:tc>
        <w:tc>
          <w:tcPr>
            <w:tcW w:w="1227" w:type="dxa"/>
            <w:noWrap/>
            <w:vAlign w:val="center"/>
          </w:tcPr>
          <w:p w14:paraId="6C9B0095" w14:textId="77777777" w:rsidR="0076357A" w:rsidRPr="00AA4C18" w:rsidRDefault="0076357A" w:rsidP="0076357A">
            <w:pPr>
              <w:jc w:val="right"/>
              <w:rPr>
                <w:b/>
                <w:bCs/>
              </w:rPr>
            </w:pPr>
          </w:p>
        </w:tc>
      </w:tr>
      <w:tr w:rsidR="0076357A" w:rsidRPr="00AA4C18" w14:paraId="3E9B0B61" w14:textId="77777777" w:rsidTr="0076357A">
        <w:trPr>
          <w:trHeight w:val="70"/>
          <w:jc w:val="center"/>
        </w:trPr>
        <w:tc>
          <w:tcPr>
            <w:tcW w:w="4661" w:type="dxa"/>
            <w:noWrap/>
            <w:vAlign w:val="center"/>
          </w:tcPr>
          <w:p w14:paraId="69033F3E" w14:textId="77777777" w:rsidR="0076357A" w:rsidRPr="00AA4C18" w:rsidRDefault="0076357A" w:rsidP="0076357A">
            <w:r w:rsidRPr="00AA4C18">
              <w:t>Štatistický úrad SR</w:t>
            </w:r>
          </w:p>
        </w:tc>
        <w:tc>
          <w:tcPr>
            <w:tcW w:w="1267" w:type="dxa"/>
            <w:noWrap/>
            <w:vAlign w:val="center"/>
          </w:tcPr>
          <w:p w14:paraId="3C9E24F6" w14:textId="77777777" w:rsidR="0076357A" w:rsidRPr="00AA4C18" w:rsidRDefault="0076357A" w:rsidP="0076357A">
            <w:pPr>
              <w:jc w:val="right"/>
              <w:rPr>
                <w:b/>
                <w:bCs/>
              </w:rPr>
            </w:pPr>
            <w:r w:rsidRPr="00AA4C18">
              <w:rPr>
                <w:b/>
                <w:bCs/>
              </w:rPr>
              <w:t>6 556 000</w:t>
            </w:r>
          </w:p>
        </w:tc>
        <w:tc>
          <w:tcPr>
            <w:tcW w:w="1347" w:type="dxa"/>
            <w:noWrap/>
            <w:vAlign w:val="center"/>
          </w:tcPr>
          <w:p w14:paraId="19FCB960" w14:textId="77777777" w:rsidR="0076357A" w:rsidRPr="00AA4C18" w:rsidRDefault="0076357A" w:rsidP="0076357A">
            <w:pPr>
              <w:jc w:val="right"/>
              <w:rPr>
                <w:b/>
                <w:bCs/>
              </w:rPr>
            </w:pPr>
            <w:r w:rsidRPr="00AA4C18">
              <w:rPr>
                <w:b/>
                <w:bCs/>
              </w:rPr>
              <w:t>24 458 290</w:t>
            </w:r>
          </w:p>
        </w:tc>
        <w:tc>
          <w:tcPr>
            <w:tcW w:w="1460" w:type="dxa"/>
            <w:noWrap/>
            <w:vAlign w:val="center"/>
          </w:tcPr>
          <w:p w14:paraId="0F6060B5" w14:textId="77777777" w:rsidR="0076357A" w:rsidRPr="00AA4C18" w:rsidRDefault="0076357A" w:rsidP="0076357A">
            <w:pPr>
              <w:jc w:val="right"/>
              <w:rPr>
                <w:b/>
                <w:bCs/>
              </w:rPr>
            </w:pPr>
            <w:r w:rsidRPr="00AA4C18">
              <w:rPr>
                <w:b/>
                <w:bCs/>
              </w:rPr>
              <w:t>20 916 989</w:t>
            </w:r>
          </w:p>
        </w:tc>
        <w:tc>
          <w:tcPr>
            <w:tcW w:w="1227" w:type="dxa"/>
            <w:noWrap/>
            <w:vAlign w:val="center"/>
          </w:tcPr>
          <w:p w14:paraId="7F6AC881" w14:textId="77777777" w:rsidR="0076357A" w:rsidRPr="00AA4C18" w:rsidRDefault="0076357A" w:rsidP="0076357A">
            <w:pPr>
              <w:jc w:val="right"/>
              <w:rPr>
                <w:b/>
                <w:bCs/>
              </w:rPr>
            </w:pPr>
            <w:r w:rsidRPr="00AA4C18">
              <w:rPr>
                <w:b/>
                <w:bCs/>
              </w:rPr>
              <w:t>2 966 372</w:t>
            </w:r>
          </w:p>
        </w:tc>
      </w:tr>
      <w:tr w:rsidR="0076357A" w:rsidRPr="00AA4C18" w14:paraId="21B07239" w14:textId="77777777" w:rsidTr="0076357A">
        <w:trPr>
          <w:trHeight w:val="70"/>
          <w:jc w:val="center"/>
        </w:trPr>
        <w:tc>
          <w:tcPr>
            <w:tcW w:w="4661" w:type="dxa"/>
            <w:shd w:val="clear" w:color="auto" w:fill="BFBFBF" w:themeFill="background1" w:themeFillShade="BF"/>
            <w:noWrap/>
            <w:vAlign w:val="center"/>
          </w:tcPr>
          <w:p w14:paraId="5D104E4B" w14:textId="77777777" w:rsidR="0076357A" w:rsidRPr="00AA4C18" w:rsidRDefault="0076357A" w:rsidP="0076357A">
            <w:pPr>
              <w:rPr>
                <w:b/>
              </w:rPr>
            </w:pPr>
            <w:r w:rsidRPr="00AA4C18">
              <w:rPr>
                <w:b/>
              </w:rPr>
              <w:t>Iné ako rozpočtové zdroje</w:t>
            </w:r>
          </w:p>
        </w:tc>
        <w:tc>
          <w:tcPr>
            <w:tcW w:w="1267" w:type="dxa"/>
            <w:shd w:val="clear" w:color="auto" w:fill="BFBFBF" w:themeFill="background1" w:themeFillShade="BF"/>
            <w:noWrap/>
            <w:vAlign w:val="center"/>
          </w:tcPr>
          <w:p w14:paraId="55988D14" w14:textId="77777777" w:rsidR="0076357A" w:rsidRPr="00AA4C18" w:rsidRDefault="0076357A" w:rsidP="0076357A">
            <w:pPr>
              <w:jc w:val="right"/>
              <w:rPr>
                <w:b/>
                <w:bCs/>
              </w:rPr>
            </w:pPr>
            <w:r w:rsidRPr="00AA4C18">
              <w:rPr>
                <w:b/>
                <w:bCs/>
              </w:rPr>
              <w:t>0</w:t>
            </w:r>
          </w:p>
        </w:tc>
        <w:tc>
          <w:tcPr>
            <w:tcW w:w="1347" w:type="dxa"/>
            <w:shd w:val="clear" w:color="auto" w:fill="BFBFBF" w:themeFill="background1" w:themeFillShade="BF"/>
            <w:noWrap/>
            <w:vAlign w:val="center"/>
          </w:tcPr>
          <w:p w14:paraId="58691F71" w14:textId="77777777" w:rsidR="0076357A" w:rsidRPr="00AA4C18" w:rsidRDefault="0076357A" w:rsidP="0076357A">
            <w:pPr>
              <w:jc w:val="right"/>
              <w:rPr>
                <w:b/>
                <w:bCs/>
              </w:rPr>
            </w:pPr>
            <w:r w:rsidRPr="00AA4C18">
              <w:rPr>
                <w:b/>
                <w:bCs/>
              </w:rPr>
              <w:t>0</w:t>
            </w:r>
          </w:p>
        </w:tc>
        <w:tc>
          <w:tcPr>
            <w:tcW w:w="1460" w:type="dxa"/>
            <w:shd w:val="clear" w:color="auto" w:fill="BFBFBF" w:themeFill="background1" w:themeFillShade="BF"/>
            <w:noWrap/>
            <w:vAlign w:val="center"/>
          </w:tcPr>
          <w:p w14:paraId="53E81076" w14:textId="77777777" w:rsidR="0076357A" w:rsidRPr="00AA4C18" w:rsidRDefault="0076357A" w:rsidP="0076357A">
            <w:pPr>
              <w:jc w:val="right"/>
              <w:rPr>
                <w:b/>
                <w:bCs/>
              </w:rPr>
            </w:pPr>
            <w:r w:rsidRPr="00AA4C18">
              <w:rPr>
                <w:b/>
                <w:bCs/>
              </w:rPr>
              <w:t>0</w:t>
            </w:r>
          </w:p>
        </w:tc>
        <w:tc>
          <w:tcPr>
            <w:tcW w:w="1227" w:type="dxa"/>
            <w:shd w:val="clear" w:color="auto" w:fill="BFBFBF" w:themeFill="background1" w:themeFillShade="BF"/>
            <w:noWrap/>
            <w:vAlign w:val="center"/>
          </w:tcPr>
          <w:p w14:paraId="08CC539D" w14:textId="77777777" w:rsidR="0076357A" w:rsidRPr="00AA4C18" w:rsidRDefault="0076357A" w:rsidP="0076357A">
            <w:pPr>
              <w:jc w:val="right"/>
              <w:rPr>
                <w:b/>
                <w:bCs/>
              </w:rPr>
            </w:pPr>
            <w:r w:rsidRPr="00AA4C18">
              <w:rPr>
                <w:b/>
                <w:bCs/>
              </w:rPr>
              <w:t>0</w:t>
            </w:r>
          </w:p>
        </w:tc>
      </w:tr>
      <w:tr w:rsidR="0076357A" w:rsidRPr="00AA4C18" w14:paraId="0969607C" w14:textId="77777777" w:rsidTr="0076357A">
        <w:trPr>
          <w:trHeight w:val="70"/>
          <w:jc w:val="center"/>
        </w:trPr>
        <w:tc>
          <w:tcPr>
            <w:tcW w:w="4661" w:type="dxa"/>
            <w:shd w:val="clear" w:color="auto" w:fill="A6A6A6" w:themeFill="background1" w:themeFillShade="A6"/>
            <w:noWrap/>
            <w:vAlign w:val="center"/>
          </w:tcPr>
          <w:p w14:paraId="091AB36D" w14:textId="77777777" w:rsidR="0076357A" w:rsidRPr="00AA4C18" w:rsidRDefault="0076357A" w:rsidP="0076357A">
            <w:pPr>
              <w:rPr>
                <w:b/>
                <w:bCs/>
              </w:rPr>
            </w:pPr>
            <w:r w:rsidRPr="00AA4C18">
              <w:rPr>
                <w:b/>
                <w:bCs/>
              </w:rPr>
              <w:t>Rozpočtovo nekrytý vplyv / úspora</w:t>
            </w:r>
          </w:p>
        </w:tc>
        <w:tc>
          <w:tcPr>
            <w:tcW w:w="1267" w:type="dxa"/>
            <w:shd w:val="clear" w:color="auto" w:fill="A6A6A6" w:themeFill="background1" w:themeFillShade="A6"/>
            <w:noWrap/>
            <w:vAlign w:val="center"/>
          </w:tcPr>
          <w:p w14:paraId="60621158" w14:textId="77777777" w:rsidR="0076357A" w:rsidRPr="00AA4C18" w:rsidRDefault="0076357A" w:rsidP="0076357A">
            <w:pPr>
              <w:jc w:val="right"/>
              <w:rPr>
                <w:b/>
                <w:bCs/>
              </w:rPr>
            </w:pPr>
            <w:r w:rsidRPr="00AA4C18">
              <w:rPr>
                <w:b/>
                <w:bCs/>
              </w:rPr>
              <w:t>0</w:t>
            </w:r>
          </w:p>
        </w:tc>
        <w:tc>
          <w:tcPr>
            <w:tcW w:w="1347" w:type="dxa"/>
            <w:shd w:val="clear" w:color="auto" w:fill="A6A6A6" w:themeFill="background1" w:themeFillShade="A6"/>
            <w:noWrap/>
            <w:vAlign w:val="center"/>
          </w:tcPr>
          <w:p w14:paraId="2D405861" w14:textId="77777777" w:rsidR="0076357A" w:rsidRPr="00AA4C18" w:rsidRDefault="0076357A" w:rsidP="0076357A">
            <w:pPr>
              <w:jc w:val="right"/>
              <w:rPr>
                <w:b/>
                <w:bCs/>
              </w:rPr>
            </w:pPr>
            <w:r w:rsidRPr="00AA4C18">
              <w:rPr>
                <w:b/>
                <w:bCs/>
              </w:rPr>
              <w:t>0</w:t>
            </w:r>
          </w:p>
        </w:tc>
        <w:tc>
          <w:tcPr>
            <w:tcW w:w="1460" w:type="dxa"/>
            <w:shd w:val="clear" w:color="auto" w:fill="A6A6A6" w:themeFill="background1" w:themeFillShade="A6"/>
            <w:noWrap/>
            <w:vAlign w:val="center"/>
          </w:tcPr>
          <w:p w14:paraId="188B3AF0" w14:textId="77777777" w:rsidR="0076357A" w:rsidRPr="00AA4C18" w:rsidRDefault="0076357A" w:rsidP="0076357A">
            <w:pPr>
              <w:jc w:val="right"/>
              <w:rPr>
                <w:b/>
                <w:bCs/>
              </w:rPr>
            </w:pPr>
            <w:r w:rsidRPr="00AA4C18">
              <w:rPr>
                <w:b/>
                <w:bCs/>
              </w:rPr>
              <w:t>0</w:t>
            </w:r>
          </w:p>
        </w:tc>
        <w:tc>
          <w:tcPr>
            <w:tcW w:w="1227" w:type="dxa"/>
            <w:shd w:val="clear" w:color="auto" w:fill="A6A6A6" w:themeFill="background1" w:themeFillShade="A6"/>
            <w:noWrap/>
            <w:vAlign w:val="center"/>
          </w:tcPr>
          <w:p w14:paraId="3060B76B" w14:textId="77777777" w:rsidR="0076357A" w:rsidRPr="00AA4C18" w:rsidRDefault="0076357A" w:rsidP="0076357A">
            <w:pPr>
              <w:jc w:val="right"/>
              <w:rPr>
                <w:b/>
                <w:bCs/>
              </w:rPr>
            </w:pPr>
            <w:r w:rsidRPr="00AA4C18">
              <w:rPr>
                <w:b/>
                <w:bCs/>
              </w:rPr>
              <w:t>0</w:t>
            </w:r>
          </w:p>
        </w:tc>
      </w:tr>
      <w:bookmarkEnd w:id="0"/>
    </w:tbl>
    <w:p w14:paraId="2AA73C01" w14:textId="77777777" w:rsidR="0076357A" w:rsidRPr="00AA4C18" w:rsidRDefault="0076357A" w:rsidP="0076357A">
      <w:pPr>
        <w:rPr>
          <w:b/>
          <w:bCs/>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347"/>
        <w:gridCol w:w="1325"/>
        <w:gridCol w:w="1227"/>
      </w:tblGrid>
      <w:tr w:rsidR="0076357A" w:rsidRPr="00AA4C18" w14:paraId="4B0D2B03" w14:textId="77777777" w:rsidTr="0076357A">
        <w:trPr>
          <w:cantSplit/>
          <w:trHeight w:val="194"/>
          <w:jc w:val="center"/>
        </w:trPr>
        <w:tc>
          <w:tcPr>
            <w:tcW w:w="4661" w:type="dxa"/>
            <w:vMerge w:val="restart"/>
            <w:shd w:val="clear" w:color="auto" w:fill="BFBFBF" w:themeFill="background1" w:themeFillShade="BF"/>
            <w:vAlign w:val="center"/>
          </w:tcPr>
          <w:p w14:paraId="6CB5CCB9" w14:textId="77777777" w:rsidR="0076357A" w:rsidRPr="00AA4C18" w:rsidRDefault="0076357A" w:rsidP="0076357A">
            <w:pPr>
              <w:jc w:val="center"/>
              <w:rPr>
                <w:b/>
                <w:bCs/>
              </w:rPr>
            </w:pPr>
            <w:r w:rsidRPr="00AA4C18">
              <w:rPr>
                <w:b/>
                <w:bCs/>
              </w:rPr>
              <w:t>Vplyvy na rozpočet verejnej správy</w:t>
            </w:r>
          </w:p>
        </w:tc>
        <w:tc>
          <w:tcPr>
            <w:tcW w:w="5166" w:type="dxa"/>
            <w:gridSpan w:val="4"/>
            <w:shd w:val="clear" w:color="auto" w:fill="BFBFBF" w:themeFill="background1" w:themeFillShade="BF"/>
            <w:vAlign w:val="center"/>
          </w:tcPr>
          <w:p w14:paraId="157BD7A9" w14:textId="77777777" w:rsidR="0076357A" w:rsidRPr="00AA4C18" w:rsidRDefault="0076357A" w:rsidP="0076357A">
            <w:pPr>
              <w:jc w:val="center"/>
              <w:rPr>
                <w:b/>
                <w:bCs/>
              </w:rPr>
            </w:pPr>
            <w:r w:rsidRPr="00AA4C18">
              <w:rPr>
                <w:b/>
                <w:bCs/>
              </w:rPr>
              <w:t>Vplyv na rozpočet verejnej správy (v eurách)</w:t>
            </w:r>
          </w:p>
        </w:tc>
      </w:tr>
      <w:tr w:rsidR="0076357A" w:rsidRPr="00AA4C18" w14:paraId="205F2555" w14:textId="77777777" w:rsidTr="0076357A">
        <w:trPr>
          <w:cantSplit/>
          <w:trHeight w:val="70"/>
          <w:jc w:val="center"/>
        </w:trPr>
        <w:tc>
          <w:tcPr>
            <w:tcW w:w="4661" w:type="dxa"/>
            <w:vMerge/>
            <w:shd w:val="clear" w:color="auto" w:fill="BFBFBF" w:themeFill="background1" w:themeFillShade="BF"/>
            <w:vAlign w:val="center"/>
          </w:tcPr>
          <w:p w14:paraId="5337E9E8" w14:textId="77777777" w:rsidR="0076357A" w:rsidRPr="00AA4C18" w:rsidRDefault="0076357A" w:rsidP="0076357A">
            <w:pPr>
              <w:jc w:val="center"/>
              <w:rPr>
                <w:b/>
                <w:bCs/>
              </w:rPr>
            </w:pPr>
          </w:p>
        </w:tc>
        <w:tc>
          <w:tcPr>
            <w:tcW w:w="1267" w:type="dxa"/>
            <w:shd w:val="clear" w:color="auto" w:fill="BFBFBF" w:themeFill="background1" w:themeFillShade="BF"/>
            <w:vAlign w:val="center"/>
          </w:tcPr>
          <w:p w14:paraId="23153EA0" w14:textId="77777777" w:rsidR="0076357A" w:rsidRPr="00AA4C18" w:rsidRDefault="0076357A" w:rsidP="0076357A">
            <w:pPr>
              <w:jc w:val="center"/>
              <w:rPr>
                <w:b/>
                <w:bCs/>
              </w:rPr>
            </w:pPr>
            <w:r w:rsidRPr="00AA4C18">
              <w:rPr>
                <w:b/>
                <w:bCs/>
              </w:rPr>
              <w:t>2023</w:t>
            </w:r>
          </w:p>
        </w:tc>
        <w:tc>
          <w:tcPr>
            <w:tcW w:w="1347" w:type="dxa"/>
            <w:shd w:val="clear" w:color="auto" w:fill="BFBFBF" w:themeFill="background1" w:themeFillShade="BF"/>
            <w:vAlign w:val="center"/>
          </w:tcPr>
          <w:p w14:paraId="011055B3" w14:textId="77777777" w:rsidR="0076357A" w:rsidRPr="00AA4C18" w:rsidRDefault="0076357A" w:rsidP="0076357A">
            <w:pPr>
              <w:jc w:val="center"/>
              <w:rPr>
                <w:b/>
                <w:bCs/>
              </w:rPr>
            </w:pPr>
            <w:r w:rsidRPr="00AA4C18">
              <w:rPr>
                <w:b/>
                <w:bCs/>
              </w:rPr>
              <w:t>2024</w:t>
            </w:r>
          </w:p>
        </w:tc>
        <w:tc>
          <w:tcPr>
            <w:tcW w:w="1325" w:type="dxa"/>
            <w:shd w:val="clear" w:color="auto" w:fill="BFBFBF" w:themeFill="background1" w:themeFillShade="BF"/>
            <w:vAlign w:val="center"/>
          </w:tcPr>
          <w:p w14:paraId="6AB451C6" w14:textId="77777777" w:rsidR="0076357A" w:rsidRPr="00AA4C18" w:rsidRDefault="0076357A" w:rsidP="0076357A">
            <w:pPr>
              <w:jc w:val="center"/>
              <w:rPr>
                <w:b/>
                <w:bCs/>
              </w:rPr>
            </w:pPr>
          </w:p>
        </w:tc>
        <w:tc>
          <w:tcPr>
            <w:tcW w:w="1227" w:type="dxa"/>
            <w:shd w:val="clear" w:color="auto" w:fill="BFBFBF" w:themeFill="background1" w:themeFillShade="BF"/>
            <w:vAlign w:val="center"/>
          </w:tcPr>
          <w:p w14:paraId="22B1F70B" w14:textId="77777777" w:rsidR="0076357A" w:rsidRPr="00AA4C18" w:rsidRDefault="0076357A" w:rsidP="0076357A">
            <w:pPr>
              <w:jc w:val="center"/>
              <w:rPr>
                <w:b/>
                <w:bCs/>
              </w:rPr>
            </w:pPr>
          </w:p>
        </w:tc>
      </w:tr>
      <w:tr w:rsidR="0076357A" w:rsidRPr="00AA4C18" w14:paraId="5BE35384" w14:textId="77777777" w:rsidTr="0076357A">
        <w:trPr>
          <w:trHeight w:val="70"/>
          <w:jc w:val="center"/>
        </w:trPr>
        <w:tc>
          <w:tcPr>
            <w:tcW w:w="4661" w:type="dxa"/>
            <w:shd w:val="clear" w:color="auto" w:fill="C0C0C0"/>
            <w:noWrap/>
            <w:vAlign w:val="center"/>
          </w:tcPr>
          <w:p w14:paraId="7D27FA87" w14:textId="77777777" w:rsidR="0076357A" w:rsidRPr="00AA4C18" w:rsidRDefault="0076357A" w:rsidP="0076357A">
            <w:r w:rsidRPr="00AA4C18">
              <w:rPr>
                <w:b/>
                <w:bCs/>
              </w:rPr>
              <w:t>Príjmy verejnej správy celkom</w:t>
            </w:r>
          </w:p>
        </w:tc>
        <w:tc>
          <w:tcPr>
            <w:tcW w:w="1267" w:type="dxa"/>
            <w:shd w:val="clear" w:color="auto" w:fill="C0C0C0"/>
            <w:vAlign w:val="center"/>
          </w:tcPr>
          <w:p w14:paraId="01C30648" w14:textId="77777777" w:rsidR="0076357A" w:rsidRPr="00AA4C18" w:rsidRDefault="0076357A" w:rsidP="0076357A">
            <w:pPr>
              <w:jc w:val="right"/>
              <w:rPr>
                <w:b/>
                <w:bCs/>
              </w:rPr>
            </w:pPr>
            <w:r w:rsidRPr="00AA4C18">
              <w:rPr>
                <w:b/>
                <w:bCs/>
              </w:rPr>
              <w:t>0</w:t>
            </w:r>
          </w:p>
        </w:tc>
        <w:tc>
          <w:tcPr>
            <w:tcW w:w="1347" w:type="dxa"/>
            <w:shd w:val="clear" w:color="auto" w:fill="C0C0C0"/>
            <w:vAlign w:val="center"/>
          </w:tcPr>
          <w:p w14:paraId="31D4A7BD" w14:textId="77777777" w:rsidR="0076357A" w:rsidRPr="00AA4C18" w:rsidRDefault="0076357A" w:rsidP="0076357A">
            <w:pPr>
              <w:jc w:val="right"/>
              <w:rPr>
                <w:b/>
                <w:bCs/>
              </w:rPr>
            </w:pPr>
            <w:r w:rsidRPr="00AA4C18">
              <w:rPr>
                <w:b/>
                <w:bCs/>
              </w:rPr>
              <w:t>0</w:t>
            </w:r>
          </w:p>
        </w:tc>
        <w:tc>
          <w:tcPr>
            <w:tcW w:w="1325" w:type="dxa"/>
            <w:shd w:val="clear" w:color="auto" w:fill="C0C0C0"/>
            <w:vAlign w:val="center"/>
          </w:tcPr>
          <w:p w14:paraId="4633BE40" w14:textId="77777777" w:rsidR="0076357A" w:rsidRPr="00AA4C18" w:rsidRDefault="0076357A" w:rsidP="0076357A">
            <w:pPr>
              <w:jc w:val="right"/>
              <w:rPr>
                <w:b/>
                <w:bCs/>
              </w:rPr>
            </w:pPr>
          </w:p>
        </w:tc>
        <w:tc>
          <w:tcPr>
            <w:tcW w:w="1227" w:type="dxa"/>
            <w:shd w:val="clear" w:color="auto" w:fill="C0C0C0"/>
            <w:vAlign w:val="center"/>
          </w:tcPr>
          <w:p w14:paraId="4A167DC2" w14:textId="77777777" w:rsidR="0076357A" w:rsidRPr="00AA4C18" w:rsidRDefault="0076357A" w:rsidP="0076357A">
            <w:pPr>
              <w:jc w:val="right"/>
              <w:rPr>
                <w:b/>
                <w:bCs/>
              </w:rPr>
            </w:pPr>
          </w:p>
        </w:tc>
      </w:tr>
      <w:tr w:rsidR="0076357A" w:rsidRPr="00AA4C18" w14:paraId="2F7B2973" w14:textId="77777777" w:rsidTr="0076357A">
        <w:trPr>
          <w:trHeight w:val="132"/>
          <w:jc w:val="center"/>
        </w:trPr>
        <w:tc>
          <w:tcPr>
            <w:tcW w:w="4661" w:type="dxa"/>
            <w:noWrap/>
            <w:vAlign w:val="center"/>
          </w:tcPr>
          <w:p w14:paraId="3B07D934" w14:textId="77777777" w:rsidR="0076357A" w:rsidRPr="00AA4C18" w:rsidRDefault="0076357A" w:rsidP="0076357A">
            <w:r w:rsidRPr="00AA4C18">
              <w:t>v tom: za každý subjekt verejnej správy zvlášť</w:t>
            </w:r>
          </w:p>
        </w:tc>
        <w:tc>
          <w:tcPr>
            <w:tcW w:w="1267" w:type="dxa"/>
            <w:noWrap/>
            <w:vAlign w:val="center"/>
          </w:tcPr>
          <w:p w14:paraId="37246919" w14:textId="77777777" w:rsidR="0076357A" w:rsidRPr="00AA4C18" w:rsidRDefault="0076357A" w:rsidP="0076357A">
            <w:pPr>
              <w:jc w:val="right"/>
            </w:pPr>
            <w:r w:rsidRPr="00AA4C18">
              <w:t>0</w:t>
            </w:r>
          </w:p>
        </w:tc>
        <w:tc>
          <w:tcPr>
            <w:tcW w:w="1347" w:type="dxa"/>
            <w:noWrap/>
            <w:vAlign w:val="center"/>
          </w:tcPr>
          <w:p w14:paraId="0AE0A952" w14:textId="77777777" w:rsidR="0076357A" w:rsidRPr="00AA4C18" w:rsidRDefault="0076357A" w:rsidP="0076357A">
            <w:pPr>
              <w:jc w:val="right"/>
            </w:pPr>
            <w:r w:rsidRPr="00AA4C18">
              <w:t>0</w:t>
            </w:r>
          </w:p>
        </w:tc>
        <w:tc>
          <w:tcPr>
            <w:tcW w:w="1325" w:type="dxa"/>
            <w:noWrap/>
            <w:vAlign w:val="center"/>
          </w:tcPr>
          <w:p w14:paraId="67CC5BF8" w14:textId="77777777" w:rsidR="0076357A" w:rsidRPr="00AA4C18" w:rsidRDefault="0076357A" w:rsidP="0076357A">
            <w:pPr>
              <w:jc w:val="right"/>
            </w:pPr>
          </w:p>
        </w:tc>
        <w:tc>
          <w:tcPr>
            <w:tcW w:w="1227" w:type="dxa"/>
            <w:noWrap/>
            <w:vAlign w:val="center"/>
          </w:tcPr>
          <w:p w14:paraId="25F1273E" w14:textId="77777777" w:rsidR="0076357A" w:rsidRPr="00AA4C18" w:rsidRDefault="0076357A" w:rsidP="0076357A">
            <w:pPr>
              <w:jc w:val="right"/>
            </w:pPr>
          </w:p>
        </w:tc>
      </w:tr>
      <w:tr w:rsidR="0076357A" w:rsidRPr="00AA4C18" w14:paraId="0FA68A2D" w14:textId="77777777" w:rsidTr="0076357A">
        <w:trPr>
          <w:trHeight w:val="70"/>
          <w:jc w:val="center"/>
        </w:trPr>
        <w:tc>
          <w:tcPr>
            <w:tcW w:w="4661" w:type="dxa"/>
            <w:noWrap/>
            <w:vAlign w:val="center"/>
          </w:tcPr>
          <w:p w14:paraId="22F1F5E6" w14:textId="77777777" w:rsidR="0076357A" w:rsidRPr="00AA4C18" w:rsidRDefault="0076357A" w:rsidP="0076357A">
            <w:pPr>
              <w:rPr>
                <w:b/>
                <w:bCs/>
                <w:i/>
                <w:iCs/>
              </w:rPr>
            </w:pPr>
            <w:r w:rsidRPr="00AA4C18">
              <w:rPr>
                <w:b/>
                <w:bCs/>
                <w:i/>
                <w:iCs/>
              </w:rPr>
              <w:t xml:space="preserve">z toho:  </w:t>
            </w:r>
          </w:p>
        </w:tc>
        <w:tc>
          <w:tcPr>
            <w:tcW w:w="1267" w:type="dxa"/>
            <w:noWrap/>
            <w:vAlign w:val="center"/>
          </w:tcPr>
          <w:p w14:paraId="37733938" w14:textId="77777777" w:rsidR="0076357A" w:rsidRPr="00AA4C18" w:rsidRDefault="0076357A" w:rsidP="0076357A">
            <w:pPr>
              <w:jc w:val="right"/>
              <w:rPr>
                <w:b/>
                <w:bCs/>
                <w:iCs/>
              </w:rPr>
            </w:pPr>
          </w:p>
        </w:tc>
        <w:tc>
          <w:tcPr>
            <w:tcW w:w="1347" w:type="dxa"/>
            <w:noWrap/>
            <w:vAlign w:val="center"/>
          </w:tcPr>
          <w:p w14:paraId="5A66E9D1" w14:textId="77777777" w:rsidR="0076357A" w:rsidRPr="00AA4C18" w:rsidRDefault="0076357A" w:rsidP="0076357A">
            <w:pPr>
              <w:jc w:val="right"/>
              <w:rPr>
                <w:b/>
                <w:bCs/>
                <w:iCs/>
              </w:rPr>
            </w:pPr>
          </w:p>
        </w:tc>
        <w:tc>
          <w:tcPr>
            <w:tcW w:w="1325" w:type="dxa"/>
            <w:noWrap/>
            <w:vAlign w:val="center"/>
          </w:tcPr>
          <w:p w14:paraId="3924D3EA" w14:textId="77777777" w:rsidR="0076357A" w:rsidRPr="00AA4C18" w:rsidRDefault="0076357A" w:rsidP="0076357A">
            <w:pPr>
              <w:jc w:val="right"/>
              <w:rPr>
                <w:b/>
                <w:bCs/>
                <w:iCs/>
              </w:rPr>
            </w:pPr>
          </w:p>
        </w:tc>
        <w:tc>
          <w:tcPr>
            <w:tcW w:w="1227" w:type="dxa"/>
            <w:noWrap/>
            <w:vAlign w:val="center"/>
          </w:tcPr>
          <w:p w14:paraId="54E27B71" w14:textId="77777777" w:rsidR="0076357A" w:rsidRPr="00AA4C18" w:rsidRDefault="0076357A" w:rsidP="0076357A">
            <w:pPr>
              <w:jc w:val="right"/>
              <w:rPr>
                <w:b/>
                <w:bCs/>
                <w:iCs/>
              </w:rPr>
            </w:pPr>
          </w:p>
        </w:tc>
      </w:tr>
      <w:tr w:rsidR="0076357A" w:rsidRPr="00AA4C18" w14:paraId="6E603E71" w14:textId="77777777" w:rsidTr="0076357A">
        <w:trPr>
          <w:trHeight w:val="125"/>
          <w:jc w:val="center"/>
        </w:trPr>
        <w:tc>
          <w:tcPr>
            <w:tcW w:w="4661" w:type="dxa"/>
            <w:noWrap/>
            <w:vAlign w:val="center"/>
          </w:tcPr>
          <w:p w14:paraId="030F97F3" w14:textId="77777777" w:rsidR="0076357A" w:rsidRPr="00AA4C18" w:rsidRDefault="0076357A" w:rsidP="0076357A">
            <w:pPr>
              <w:rPr>
                <w:b/>
                <w:bCs/>
                <w:i/>
                <w:iCs/>
              </w:rPr>
            </w:pPr>
            <w:r w:rsidRPr="00AA4C18">
              <w:rPr>
                <w:b/>
                <w:bCs/>
                <w:i/>
                <w:iCs/>
              </w:rPr>
              <w:t>- vplyv na ŠR</w:t>
            </w:r>
          </w:p>
        </w:tc>
        <w:tc>
          <w:tcPr>
            <w:tcW w:w="1267" w:type="dxa"/>
            <w:noWrap/>
            <w:vAlign w:val="center"/>
          </w:tcPr>
          <w:p w14:paraId="0844F037" w14:textId="77777777" w:rsidR="0076357A" w:rsidRPr="00AA4C18" w:rsidRDefault="0076357A" w:rsidP="0076357A">
            <w:pPr>
              <w:jc w:val="right"/>
              <w:rPr>
                <w:b/>
                <w:bCs/>
                <w:iCs/>
              </w:rPr>
            </w:pPr>
            <w:r w:rsidRPr="00AA4C18">
              <w:rPr>
                <w:b/>
                <w:bCs/>
                <w:iCs/>
              </w:rPr>
              <w:t>0</w:t>
            </w:r>
          </w:p>
        </w:tc>
        <w:tc>
          <w:tcPr>
            <w:tcW w:w="1347" w:type="dxa"/>
            <w:noWrap/>
            <w:vAlign w:val="center"/>
          </w:tcPr>
          <w:p w14:paraId="57C02488" w14:textId="77777777" w:rsidR="0076357A" w:rsidRPr="00AA4C18" w:rsidRDefault="0076357A" w:rsidP="0076357A">
            <w:pPr>
              <w:jc w:val="right"/>
              <w:rPr>
                <w:b/>
                <w:bCs/>
                <w:iCs/>
              </w:rPr>
            </w:pPr>
            <w:r w:rsidRPr="00AA4C18">
              <w:rPr>
                <w:b/>
                <w:bCs/>
                <w:iCs/>
              </w:rPr>
              <w:t>0</w:t>
            </w:r>
          </w:p>
        </w:tc>
        <w:tc>
          <w:tcPr>
            <w:tcW w:w="1325" w:type="dxa"/>
            <w:noWrap/>
            <w:vAlign w:val="center"/>
          </w:tcPr>
          <w:p w14:paraId="014648DF" w14:textId="77777777" w:rsidR="0076357A" w:rsidRPr="00AA4C18" w:rsidRDefault="0076357A" w:rsidP="0076357A">
            <w:pPr>
              <w:jc w:val="right"/>
              <w:rPr>
                <w:b/>
                <w:bCs/>
                <w:iCs/>
              </w:rPr>
            </w:pPr>
          </w:p>
        </w:tc>
        <w:tc>
          <w:tcPr>
            <w:tcW w:w="1227" w:type="dxa"/>
            <w:noWrap/>
            <w:vAlign w:val="center"/>
          </w:tcPr>
          <w:p w14:paraId="0066448B" w14:textId="77777777" w:rsidR="0076357A" w:rsidRPr="00AA4C18" w:rsidRDefault="0076357A" w:rsidP="0076357A">
            <w:pPr>
              <w:jc w:val="right"/>
              <w:rPr>
                <w:b/>
                <w:bCs/>
                <w:iCs/>
              </w:rPr>
            </w:pPr>
          </w:p>
        </w:tc>
      </w:tr>
      <w:tr w:rsidR="0076357A" w:rsidRPr="00AA4C18" w14:paraId="0EE8846E" w14:textId="77777777" w:rsidTr="0076357A">
        <w:trPr>
          <w:trHeight w:val="125"/>
          <w:jc w:val="center"/>
        </w:trPr>
        <w:tc>
          <w:tcPr>
            <w:tcW w:w="4661" w:type="dxa"/>
            <w:noWrap/>
            <w:vAlign w:val="center"/>
          </w:tcPr>
          <w:p w14:paraId="7D48785B" w14:textId="77777777" w:rsidR="0076357A" w:rsidRPr="00AA4C18" w:rsidRDefault="0076357A" w:rsidP="0076357A">
            <w:pPr>
              <w:ind w:left="259"/>
              <w:rPr>
                <w:b/>
                <w:bCs/>
                <w:i/>
                <w:iCs/>
              </w:rPr>
            </w:pPr>
            <w:r w:rsidRPr="00AA4C18">
              <w:rPr>
                <w:bCs/>
                <w:i/>
                <w:iCs/>
              </w:rPr>
              <w:t>Rozpočtové prostriedky</w:t>
            </w:r>
          </w:p>
        </w:tc>
        <w:tc>
          <w:tcPr>
            <w:tcW w:w="1267" w:type="dxa"/>
            <w:noWrap/>
            <w:vAlign w:val="center"/>
          </w:tcPr>
          <w:p w14:paraId="603E46CC" w14:textId="77777777" w:rsidR="0076357A" w:rsidRPr="00AA4C18" w:rsidRDefault="0076357A" w:rsidP="0076357A">
            <w:pPr>
              <w:jc w:val="right"/>
              <w:rPr>
                <w:b/>
                <w:bCs/>
                <w:iCs/>
              </w:rPr>
            </w:pPr>
            <w:r w:rsidRPr="00AA4C18">
              <w:rPr>
                <w:b/>
                <w:bCs/>
                <w:iCs/>
              </w:rPr>
              <w:t>0</w:t>
            </w:r>
          </w:p>
        </w:tc>
        <w:tc>
          <w:tcPr>
            <w:tcW w:w="1347" w:type="dxa"/>
            <w:noWrap/>
            <w:vAlign w:val="center"/>
          </w:tcPr>
          <w:p w14:paraId="502EF72B" w14:textId="77777777" w:rsidR="0076357A" w:rsidRPr="00AA4C18" w:rsidRDefault="0076357A" w:rsidP="0076357A">
            <w:pPr>
              <w:jc w:val="right"/>
              <w:rPr>
                <w:b/>
                <w:bCs/>
                <w:iCs/>
              </w:rPr>
            </w:pPr>
            <w:r w:rsidRPr="00AA4C18">
              <w:rPr>
                <w:b/>
                <w:bCs/>
                <w:iCs/>
              </w:rPr>
              <w:t>0</w:t>
            </w:r>
          </w:p>
        </w:tc>
        <w:tc>
          <w:tcPr>
            <w:tcW w:w="1325" w:type="dxa"/>
            <w:noWrap/>
            <w:vAlign w:val="center"/>
          </w:tcPr>
          <w:p w14:paraId="34CD1E83" w14:textId="77777777" w:rsidR="0076357A" w:rsidRPr="00AA4C18" w:rsidRDefault="0076357A" w:rsidP="0076357A">
            <w:pPr>
              <w:jc w:val="right"/>
              <w:rPr>
                <w:b/>
                <w:bCs/>
                <w:iCs/>
              </w:rPr>
            </w:pPr>
          </w:p>
        </w:tc>
        <w:tc>
          <w:tcPr>
            <w:tcW w:w="1227" w:type="dxa"/>
            <w:noWrap/>
            <w:vAlign w:val="center"/>
          </w:tcPr>
          <w:p w14:paraId="3C186507" w14:textId="77777777" w:rsidR="0076357A" w:rsidRPr="00AA4C18" w:rsidRDefault="0076357A" w:rsidP="0076357A">
            <w:pPr>
              <w:jc w:val="right"/>
              <w:rPr>
                <w:b/>
                <w:bCs/>
                <w:iCs/>
              </w:rPr>
            </w:pPr>
          </w:p>
        </w:tc>
      </w:tr>
      <w:tr w:rsidR="0076357A" w:rsidRPr="00AA4C18" w14:paraId="35F7497B" w14:textId="77777777" w:rsidTr="0076357A">
        <w:trPr>
          <w:trHeight w:val="125"/>
          <w:jc w:val="center"/>
        </w:trPr>
        <w:tc>
          <w:tcPr>
            <w:tcW w:w="4661" w:type="dxa"/>
            <w:noWrap/>
            <w:vAlign w:val="center"/>
          </w:tcPr>
          <w:p w14:paraId="092D1CFF" w14:textId="77777777" w:rsidR="0076357A" w:rsidRPr="00AA4C18" w:rsidRDefault="0076357A" w:rsidP="0076357A">
            <w:pPr>
              <w:ind w:left="259"/>
              <w:rPr>
                <w:bCs/>
                <w:i/>
                <w:iCs/>
              </w:rPr>
            </w:pPr>
            <w:r w:rsidRPr="00AA4C18">
              <w:rPr>
                <w:bCs/>
                <w:i/>
                <w:iCs/>
              </w:rPr>
              <w:t>EÚ zdroje</w:t>
            </w:r>
          </w:p>
        </w:tc>
        <w:tc>
          <w:tcPr>
            <w:tcW w:w="1267" w:type="dxa"/>
            <w:noWrap/>
            <w:vAlign w:val="center"/>
          </w:tcPr>
          <w:p w14:paraId="22BE1C7C" w14:textId="77777777" w:rsidR="0076357A" w:rsidRPr="00AA4C18" w:rsidRDefault="0076357A" w:rsidP="0076357A">
            <w:pPr>
              <w:jc w:val="right"/>
            </w:pPr>
            <w:r w:rsidRPr="00AA4C18">
              <w:t>0</w:t>
            </w:r>
          </w:p>
        </w:tc>
        <w:tc>
          <w:tcPr>
            <w:tcW w:w="1347" w:type="dxa"/>
            <w:noWrap/>
            <w:vAlign w:val="center"/>
          </w:tcPr>
          <w:p w14:paraId="72577D36" w14:textId="77777777" w:rsidR="0076357A" w:rsidRPr="00AA4C18" w:rsidRDefault="0076357A" w:rsidP="0076357A">
            <w:pPr>
              <w:jc w:val="right"/>
            </w:pPr>
            <w:r w:rsidRPr="00AA4C18">
              <w:t>0</w:t>
            </w:r>
          </w:p>
        </w:tc>
        <w:tc>
          <w:tcPr>
            <w:tcW w:w="1325" w:type="dxa"/>
            <w:noWrap/>
            <w:vAlign w:val="center"/>
          </w:tcPr>
          <w:p w14:paraId="216B7B5A" w14:textId="77777777" w:rsidR="0076357A" w:rsidRPr="00AA4C18" w:rsidRDefault="0076357A" w:rsidP="0076357A">
            <w:pPr>
              <w:jc w:val="right"/>
            </w:pPr>
          </w:p>
        </w:tc>
        <w:tc>
          <w:tcPr>
            <w:tcW w:w="1227" w:type="dxa"/>
            <w:noWrap/>
            <w:vAlign w:val="center"/>
          </w:tcPr>
          <w:p w14:paraId="3367F38D" w14:textId="77777777" w:rsidR="0076357A" w:rsidRPr="00AA4C18" w:rsidRDefault="0076357A" w:rsidP="0076357A">
            <w:pPr>
              <w:jc w:val="right"/>
            </w:pPr>
          </w:p>
        </w:tc>
      </w:tr>
      <w:tr w:rsidR="0076357A" w:rsidRPr="00AA4C18" w14:paraId="704234FD" w14:textId="77777777" w:rsidTr="0076357A">
        <w:trPr>
          <w:trHeight w:val="125"/>
          <w:jc w:val="center"/>
        </w:trPr>
        <w:tc>
          <w:tcPr>
            <w:tcW w:w="4661" w:type="dxa"/>
            <w:noWrap/>
            <w:vAlign w:val="center"/>
          </w:tcPr>
          <w:p w14:paraId="6ACAC4AE" w14:textId="77777777" w:rsidR="0076357A" w:rsidRPr="00AA4C18" w:rsidRDefault="0076357A" w:rsidP="0076357A">
            <w:pPr>
              <w:rPr>
                <w:b/>
                <w:bCs/>
                <w:i/>
                <w:iCs/>
              </w:rPr>
            </w:pPr>
            <w:r w:rsidRPr="00AA4C18">
              <w:rPr>
                <w:b/>
                <w:bCs/>
                <w:i/>
                <w:iCs/>
              </w:rPr>
              <w:t>- vplyv na obce</w:t>
            </w:r>
          </w:p>
        </w:tc>
        <w:tc>
          <w:tcPr>
            <w:tcW w:w="1267" w:type="dxa"/>
            <w:noWrap/>
            <w:vAlign w:val="center"/>
          </w:tcPr>
          <w:p w14:paraId="7FE82E9C" w14:textId="77777777" w:rsidR="0076357A" w:rsidRPr="00AA4C18" w:rsidRDefault="0076357A" w:rsidP="0076357A">
            <w:pPr>
              <w:jc w:val="right"/>
              <w:rPr>
                <w:b/>
                <w:bCs/>
                <w:iCs/>
              </w:rPr>
            </w:pPr>
            <w:r w:rsidRPr="00AA4C18">
              <w:rPr>
                <w:b/>
                <w:bCs/>
                <w:iCs/>
              </w:rPr>
              <w:t>0</w:t>
            </w:r>
          </w:p>
        </w:tc>
        <w:tc>
          <w:tcPr>
            <w:tcW w:w="1347" w:type="dxa"/>
            <w:noWrap/>
            <w:vAlign w:val="center"/>
          </w:tcPr>
          <w:p w14:paraId="095109FD" w14:textId="77777777" w:rsidR="0076357A" w:rsidRPr="00AA4C18" w:rsidRDefault="0076357A" w:rsidP="0076357A">
            <w:pPr>
              <w:jc w:val="right"/>
              <w:rPr>
                <w:b/>
                <w:bCs/>
                <w:iCs/>
              </w:rPr>
            </w:pPr>
            <w:r w:rsidRPr="00AA4C18">
              <w:rPr>
                <w:b/>
                <w:bCs/>
                <w:iCs/>
              </w:rPr>
              <w:t>0</w:t>
            </w:r>
          </w:p>
        </w:tc>
        <w:tc>
          <w:tcPr>
            <w:tcW w:w="1325" w:type="dxa"/>
            <w:noWrap/>
            <w:vAlign w:val="center"/>
          </w:tcPr>
          <w:p w14:paraId="04F8F75F" w14:textId="77777777" w:rsidR="0076357A" w:rsidRPr="00AA4C18" w:rsidRDefault="0076357A" w:rsidP="0076357A">
            <w:pPr>
              <w:jc w:val="right"/>
              <w:rPr>
                <w:b/>
                <w:bCs/>
                <w:iCs/>
              </w:rPr>
            </w:pPr>
          </w:p>
        </w:tc>
        <w:tc>
          <w:tcPr>
            <w:tcW w:w="1227" w:type="dxa"/>
            <w:noWrap/>
            <w:vAlign w:val="center"/>
          </w:tcPr>
          <w:p w14:paraId="5E369D6D" w14:textId="77777777" w:rsidR="0076357A" w:rsidRPr="00AA4C18" w:rsidRDefault="0076357A" w:rsidP="0076357A">
            <w:pPr>
              <w:jc w:val="right"/>
              <w:rPr>
                <w:b/>
                <w:bCs/>
                <w:iCs/>
              </w:rPr>
            </w:pPr>
          </w:p>
        </w:tc>
      </w:tr>
      <w:tr w:rsidR="0076357A" w:rsidRPr="00AA4C18" w14:paraId="649DE3F3" w14:textId="77777777" w:rsidTr="0076357A">
        <w:trPr>
          <w:trHeight w:val="125"/>
          <w:jc w:val="center"/>
        </w:trPr>
        <w:tc>
          <w:tcPr>
            <w:tcW w:w="4661" w:type="dxa"/>
            <w:noWrap/>
            <w:vAlign w:val="center"/>
          </w:tcPr>
          <w:p w14:paraId="36F7B84F"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586685D7" w14:textId="77777777" w:rsidR="0076357A" w:rsidRPr="00AA4C18" w:rsidRDefault="0076357A" w:rsidP="0076357A">
            <w:pPr>
              <w:jc w:val="right"/>
              <w:rPr>
                <w:b/>
                <w:bCs/>
                <w:iCs/>
              </w:rPr>
            </w:pPr>
            <w:r w:rsidRPr="00AA4C18">
              <w:rPr>
                <w:b/>
                <w:bCs/>
                <w:iCs/>
              </w:rPr>
              <w:t>0</w:t>
            </w:r>
          </w:p>
        </w:tc>
        <w:tc>
          <w:tcPr>
            <w:tcW w:w="1347" w:type="dxa"/>
            <w:noWrap/>
            <w:vAlign w:val="center"/>
          </w:tcPr>
          <w:p w14:paraId="70296C75" w14:textId="77777777" w:rsidR="0076357A" w:rsidRPr="00AA4C18" w:rsidRDefault="0076357A" w:rsidP="0076357A">
            <w:pPr>
              <w:jc w:val="right"/>
              <w:rPr>
                <w:b/>
                <w:bCs/>
                <w:iCs/>
              </w:rPr>
            </w:pPr>
            <w:r w:rsidRPr="00AA4C18">
              <w:rPr>
                <w:b/>
                <w:bCs/>
                <w:iCs/>
              </w:rPr>
              <w:t>0</w:t>
            </w:r>
          </w:p>
        </w:tc>
        <w:tc>
          <w:tcPr>
            <w:tcW w:w="1325" w:type="dxa"/>
            <w:noWrap/>
            <w:vAlign w:val="center"/>
          </w:tcPr>
          <w:p w14:paraId="0032BF2A" w14:textId="77777777" w:rsidR="0076357A" w:rsidRPr="00AA4C18" w:rsidRDefault="0076357A" w:rsidP="0076357A">
            <w:pPr>
              <w:jc w:val="right"/>
              <w:rPr>
                <w:b/>
                <w:bCs/>
                <w:iCs/>
              </w:rPr>
            </w:pPr>
          </w:p>
        </w:tc>
        <w:tc>
          <w:tcPr>
            <w:tcW w:w="1227" w:type="dxa"/>
            <w:noWrap/>
            <w:vAlign w:val="center"/>
          </w:tcPr>
          <w:p w14:paraId="35DC6F12" w14:textId="77777777" w:rsidR="0076357A" w:rsidRPr="00AA4C18" w:rsidRDefault="0076357A" w:rsidP="0076357A">
            <w:pPr>
              <w:jc w:val="right"/>
              <w:rPr>
                <w:b/>
                <w:bCs/>
                <w:iCs/>
              </w:rPr>
            </w:pPr>
          </w:p>
        </w:tc>
      </w:tr>
      <w:tr w:rsidR="0076357A" w:rsidRPr="00AA4C18" w14:paraId="3EC5A02D" w14:textId="77777777" w:rsidTr="0076357A">
        <w:trPr>
          <w:trHeight w:val="125"/>
          <w:jc w:val="center"/>
        </w:trPr>
        <w:tc>
          <w:tcPr>
            <w:tcW w:w="4661" w:type="dxa"/>
            <w:noWrap/>
            <w:vAlign w:val="center"/>
          </w:tcPr>
          <w:p w14:paraId="183EC469" w14:textId="77777777" w:rsidR="0076357A" w:rsidRPr="00AA4C18" w:rsidRDefault="0076357A" w:rsidP="0076357A">
            <w:pPr>
              <w:rPr>
                <w:b/>
                <w:bCs/>
                <w:i/>
                <w:iCs/>
              </w:rPr>
            </w:pPr>
            <w:r w:rsidRPr="00AA4C18">
              <w:rPr>
                <w:b/>
                <w:bCs/>
                <w:i/>
                <w:iCs/>
              </w:rPr>
              <w:t>- vplyv na ostatné subjekty verejnej správy</w:t>
            </w:r>
          </w:p>
        </w:tc>
        <w:tc>
          <w:tcPr>
            <w:tcW w:w="1267" w:type="dxa"/>
            <w:noWrap/>
            <w:vAlign w:val="center"/>
          </w:tcPr>
          <w:p w14:paraId="3B01AF89" w14:textId="77777777" w:rsidR="0076357A" w:rsidRPr="00AA4C18" w:rsidRDefault="0076357A" w:rsidP="0076357A">
            <w:pPr>
              <w:jc w:val="right"/>
              <w:rPr>
                <w:b/>
                <w:bCs/>
                <w:iCs/>
              </w:rPr>
            </w:pPr>
            <w:r w:rsidRPr="00AA4C18">
              <w:rPr>
                <w:b/>
                <w:bCs/>
                <w:iCs/>
              </w:rPr>
              <w:t>0</w:t>
            </w:r>
          </w:p>
        </w:tc>
        <w:tc>
          <w:tcPr>
            <w:tcW w:w="1347" w:type="dxa"/>
            <w:noWrap/>
            <w:vAlign w:val="center"/>
          </w:tcPr>
          <w:p w14:paraId="4AB7E7DF" w14:textId="77777777" w:rsidR="0076357A" w:rsidRPr="00AA4C18" w:rsidRDefault="0076357A" w:rsidP="0076357A">
            <w:pPr>
              <w:jc w:val="right"/>
              <w:rPr>
                <w:b/>
                <w:bCs/>
                <w:iCs/>
              </w:rPr>
            </w:pPr>
            <w:r w:rsidRPr="00AA4C18">
              <w:rPr>
                <w:b/>
                <w:bCs/>
                <w:iCs/>
              </w:rPr>
              <w:t>0</w:t>
            </w:r>
          </w:p>
        </w:tc>
        <w:tc>
          <w:tcPr>
            <w:tcW w:w="1325" w:type="dxa"/>
            <w:noWrap/>
            <w:vAlign w:val="center"/>
          </w:tcPr>
          <w:p w14:paraId="0C472C55" w14:textId="77777777" w:rsidR="0076357A" w:rsidRPr="00AA4C18" w:rsidRDefault="0076357A" w:rsidP="0076357A">
            <w:pPr>
              <w:jc w:val="right"/>
              <w:rPr>
                <w:b/>
                <w:bCs/>
                <w:iCs/>
              </w:rPr>
            </w:pPr>
          </w:p>
        </w:tc>
        <w:tc>
          <w:tcPr>
            <w:tcW w:w="1227" w:type="dxa"/>
            <w:noWrap/>
            <w:vAlign w:val="center"/>
          </w:tcPr>
          <w:p w14:paraId="217C75F3" w14:textId="77777777" w:rsidR="0076357A" w:rsidRPr="00AA4C18" w:rsidRDefault="0076357A" w:rsidP="0076357A">
            <w:pPr>
              <w:jc w:val="right"/>
              <w:rPr>
                <w:b/>
                <w:bCs/>
                <w:iCs/>
              </w:rPr>
            </w:pPr>
          </w:p>
        </w:tc>
      </w:tr>
      <w:tr w:rsidR="0076357A" w:rsidRPr="00AA4C18" w14:paraId="353205EB" w14:textId="77777777" w:rsidTr="0076357A">
        <w:trPr>
          <w:trHeight w:val="125"/>
          <w:jc w:val="center"/>
        </w:trPr>
        <w:tc>
          <w:tcPr>
            <w:tcW w:w="4661" w:type="dxa"/>
            <w:shd w:val="clear" w:color="auto" w:fill="C0C0C0"/>
            <w:noWrap/>
            <w:vAlign w:val="center"/>
          </w:tcPr>
          <w:p w14:paraId="3E9EC154" w14:textId="77777777" w:rsidR="0076357A" w:rsidRPr="00AA4C18" w:rsidRDefault="0076357A" w:rsidP="0076357A">
            <w:pPr>
              <w:rPr>
                <w:b/>
                <w:bCs/>
              </w:rPr>
            </w:pPr>
            <w:r w:rsidRPr="00AA4C18">
              <w:rPr>
                <w:b/>
                <w:bCs/>
              </w:rPr>
              <w:t>Výdavky verejnej správy celkom</w:t>
            </w:r>
          </w:p>
        </w:tc>
        <w:tc>
          <w:tcPr>
            <w:tcW w:w="1267" w:type="dxa"/>
            <w:shd w:val="clear" w:color="auto" w:fill="C0C0C0"/>
            <w:noWrap/>
            <w:vAlign w:val="center"/>
          </w:tcPr>
          <w:p w14:paraId="6B6B8B54" w14:textId="77777777" w:rsidR="0076357A" w:rsidRPr="00AA4C18" w:rsidRDefault="0076357A" w:rsidP="0076357A">
            <w:pPr>
              <w:jc w:val="right"/>
              <w:rPr>
                <w:b/>
                <w:bCs/>
              </w:rPr>
            </w:pPr>
            <w:r w:rsidRPr="00AA4C18">
              <w:rPr>
                <w:b/>
                <w:bCs/>
              </w:rPr>
              <w:t>2 382 578</w:t>
            </w:r>
          </w:p>
        </w:tc>
        <w:tc>
          <w:tcPr>
            <w:tcW w:w="1347" w:type="dxa"/>
            <w:shd w:val="clear" w:color="auto" w:fill="C0C0C0"/>
            <w:noWrap/>
            <w:vAlign w:val="center"/>
          </w:tcPr>
          <w:p w14:paraId="17CD113A" w14:textId="77777777" w:rsidR="0076357A" w:rsidRPr="00AA4C18" w:rsidRDefault="0076357A" w:rsidP="0076357A">
            <w:pPr>
              <w:jc w:val="right"/>
              <w:rPr>
                <w:b/>
                <w:bCs/>
              </w:rPr>
            </w:pPr>
            <w:r w:rsidRPr="00AA4C18">
              <w:rPr>
                <w:b/>
                <w:bCs/>
              </w:rPr>
              <w:t xml:space="preserve">2 280 558 </w:t>
            </w:r>
          </w:p>
        </w:tc>
        <w:tc>
          <w:tcPr>
            <w:tcW w:w="1325" w:type="dxa"/>
            <w:shd w:val="clear" w:color="auto" w:fill="C0C0C0"/>
            <w:noWrap/>
            <w:vAlign w:val="center"/>
          </w:tcPr>
          <w:p w14:paraId="311A8D5A" w14:textId="77777777" w:rsidR="0076357A" w:rsidRPr="00AA4C18" w:rsidRDefault="0076357A" w:rsidP="0076357A">
            <w:pPr>
              <w:jc w:val="right"/>
              <w:rPr>
                <w:b/>
                <w:bCs/>
              </w:rPr>
            </w:pPr>
          </w:p>
        </w:tc>
        <w:tc>
          <w:tcPr>
            <w:tcW w:w="1227" w:type="dxa"/>
            <w:shd w:val="clear" w:color="auto" w:fill="C0C0C0"/>
            <w:noWrap/>
            <w:vAlign w:val="center"/>
          </w:tcPr>
          <w:p w14:paraId="62AD80C6" w14:textId="77777777" w:rsidR="0076357A" w:rsidRPr="00AA4C18" w:rsidRDefault="0076357A" w:rsidP="0076357A">
            <w:pPr>
              <w:jc w:val="right"/>
              <w:rPr>
                <w:b/>
                <w:bCs/>
              </w:rPr>
            </w:pPr>
          </w:p>
        </w:tc>
      </w:tr>
      <w:tr w:rsidR="0076357A" w:rsidRPr="00AA4C18" w14:paraId="73EB08A9" w14:textId="77777777" w:rsidTr="0076357A">
        <w:trPr>
          <w:trHeight w:val="70"/>
          <w:jc w:val="center"/>
        </w:trPr>
        <w:tc>
          <w:tcPr>
            <w:tcW w:w="4661" w:type="dxa"/>
            <w:noWrap/>
            <w:vAlign w:val="center"/>
          </w:tcPr>
          <w:p w14:paraId="5B19E7FA" w14:textId="77777777" w:rsidR="0076357A" w:rsidRPr="00AA4C18" w:rsidRDefault="0076357A" w:rsidP="0076357A">
            <w:r w:rsidRPr="00AA4C18">
              <w:t>v tom: za každý subjekt verejnej správy / program zvlášť</w:t>
            </w:r>
          </w:p>
        </w:tc>
        <w:tc>
          <w:tcPr>
            <w:tcW w:w="1267" w:type="dxa"/>
            <w:noWrap/>
            <w:vAlign w:val="center"/>
          </w:tcPr>
          <w:p w14:paraId="0BE55956" w14:textId="77777777" w:rsidR="0076357A" w:rsidRPr="00AA4C18" w:rsidRDefault="0076357A" w:rsidP="0076357A">
            <w:pPr>
              <w:jc w:val="right"/>
            </w:pPr>
            <w:r w:rsidRPr="00AA4C18">
              <w:t>0</w:t>
            </w:r>
          </w:p>
        </w:tc>
        <w:tc>
          <w:tcPr>
            <w:tcW w:w="1347" w:type="dxa"/>
            <w:noWrap/>
            <w:vAlign w:val="center"/>
          </w:tcPr>
          <w:p w14:paraId="78A0E0DA" w14:textId="77777777" w:rsidR="0076357A" w:rsidRPr="00AA4C18" w:rsidRDefault="0076357A" w:rsidP="0076357A">
            <w:pPr>
              <w:jc w:val="right"/>
            </w:pPr>
            <w:r w:rsidRPr="00AA4C18">
              <w:t>0</w:t>
            </w:r>
          </w:p>
        </w:tc>
        <w:tc>
          <w:tcPr>
            <w:tcW w:w="1325" w:type="dxa"/>
            <w:noWrap/>
            <w:vAlign w:val="center"/>
          </w:tcPr>
          <w:p w14:paraId="4EDEF644" w14:textId="77777777" w:rsidR="0076357A" w:rsidRPr="00AA4C18" w:rsidRDefault="0076357A" w:rsidP="0076357A">
            <w:pPr>
              <w:jc w:val="right"/>
            </w:pPr>
          </w:p>
        </w:tc>
        <w:tc>
          <w:tcPr>
            <w:tcW w:w="1227" w:type="dxa"/>
            <w:noWrap/>
            <w:vAlign w:val="center"/>
          </w:tcPr>
          <w:p w14:paraId="5A9A7E45" w14:textId="77777777" w:rsidR="0076357A" w:rsidRPr="00AA4C18" w:rsidRDefault="0076357A" w:rsidP="0076357A">
            <w:pPr>
              <w:jc w:val="right"/>
            </w:pPr>
          </w:p>
        </w:tc>
      </w:tr>
      <w:tr w:rsidR="0076357A" w:rsidRPr="00AA4C18" w14:paraId="05C060E2" w14:textId="77777777" w:rsidTr="0076357A">
        <w:trPr>
          <w:trHeight w:val="70"/>
          <w:jc w:val="center"/>
        </w:trPr>
        <w:tc>
          <w:tcPr>
            <w:tcW w:w="4661" w:type="dxa"/>
            <w:noWrap/>
            <w:vAlign w:val="center"/>
          </w:tcPr>
          <w:p w14:paraId="1AB8354E" w14:textId="77777777" w:rsidR="0076357A" w:rsidRPr="00AA4C18" w:rsidRDefault="0076357A" w:rsidP="0076357A">
            <w:r w:rsidRPr="00AA4C18">
              <w:rPr>
                <w:i/>
              </w:rPr>
              <w:t>Rozpočtové prostriedky</w:t>
            </w:r>
            <w:r w:rsidRPr="00AA4C18">
              <w:t xml:space="preserve"> – kapitola Štatistického úradu SR – z toho:</w:t>
            </w:r>
          </w:p>
        </w:tc>
        <w:tc>
          <w:tcPr>
            <w:tcW w:w="1267" w:type="dxa"/>
            <w:noWrap/>
            <w:vAlign w:val="center"/>
          </w:tcPr>
          <w:p w14:paraId="27E1B932" w14:textId="77777777" w:rsidR="0076357A" w:rsidRPr="00AA4C18" w:rsidRDefault="0076357A" w:rsidP="0076357A">
            <w:pPr>
              <w:jc w:val="right"/>
              <w:rPr>
                <w:b/>
                <w:bCs/>
              </w:rPr>
            </w:pPr>
            <w:r w:rsidRPr="00AA4C18">
              <w:rPr>
                <w:b/>
                <w:bCs/>
              </w:rPr>
              <w:t>2 382 578</w:t>
            </w:r>
          </w:p>
        </w:tc>
        <w:tc>
          <w:tcPr>
            <w:tcW w:w="1347" w:type="dxa"/>
            <w:noWrap/>
            <w:vAlign w:val="center"/>
          </w:tcPr>
          <w:p w14:paraId="198A6E0F" w14:textId="77777777" w:rsidR="0076357A" w:rsidRPr="00AA4C18" w:rsidRDefault="0076357A" w:rsidP="0076357A">
            <w:pPr>
              <w:jc w:val="right"/>
              <w:rPr>
                <w:b/>
                <w:bCs/>
              </w:rPr>
            </w:pPr>
            <w:r w:rsidRPr="00AA4C18">
              <w:rPr>
                <w:b/>
                <w:bCs/>
              </w:rPr>
              <w:t>2 280 558</w:t>
            </w:r>
          </w:p>
        </w:tc>
        <w:tc>
          <w:tcPr>
            <w:tcW w:w="1325" w:type="dxa"/>
            <w:noWrap/>
            <w:vAlign w:val="center"/>
          </w:tcPr>
          <w:p w14:paraId="6EAD0672" w14:textId="77777777" w:rsidR="0076357A" w:rsidRPr="00AA4C18" w:rsidRDefault="0076357A" w:rsidP="0076357A">
            <w:pPr>
              <w:jc w:val="right"/>
              <w:rPr>
                <w:b/>
                <w:bCs/>
              </w:rPr>
            </w:pPr>
          </w:p>
        </w:tc>
        <w:tc>
          <w:tcPr>
            <w:tcW w:w="1227" w:type="dxa"/>
            <w:noWrap/>
            <w:vAlign w:val="center"/>
          </w:tcPr>
          <w:p w14:paraId="7EDD2AD0" w14:textId="77777777" w:rsidR="0076357A" w:rsidRPr="00AA4C18" w:rsidRDefault="0076357A" w:rsidP="0076357A">
            <w:pPr>
              <w:jc w:val="right"/>
              <w:rPr>
                <w:b/>
                <w:bCs/>
              </w:rPr>
            </w:pPr>
          </w:p>
        </w:tc>
      </w:tr>
      <w:tr w:rsidR="0076357A" w:rsidRPr="00AA4C18" w14:paraId="621628B9" w14:textId="77777777" w:rsidTr="0076357A">
        <w:trPr>
          <w:trHeight w:val="70"/>
          <w:jc w:val="center"/>
        </w:trPr>
        <w:tc>
          <w:tcPr>
            <w:tcW w:w="4661" w:type="dxa"/>
            <w:noWrap/>
            <w:vAlign w:val="center"/>
          </w:tcPr>
          <w:p w14:paraId="40516032" w14:textId="77777777" w:rsidR="0076357A" w:rsidRPr="00AA4C18" w:rsidRDefault="0076357A" w:rsidP="0076357A">
            <w:r w:rsidRPr="00AA4C18">
              <w:t xml:space="preserve">- program 07V – Štatistické zisťovania </w:t>
            </w:r>
          </w:p>
        </w:tc>
        <w:tc>
          <w:tcPr>
            <w:tcW w:w="1267" w:type="dxa"/>
            <w:noWrap/>
            <w:vAlign w:val="center"/>
          </w:tcPr>
          <w:p w14:paraId="0CE42A72" w14:textId="77777777" w:rsidR="0076357A" w:rsidRPr="00AA4C18" w:rsidRDefault="0076357A" w:rsidP="0076357A">
            <w:pPr>
              <w:jc w:val="right"/>
              <w:rPr>
                <w:b/>
                <w:bCs/>
              </w:rPr>
            </w:pPr>
            <w:r w:rsidRPr="00AA4C18">
              <w:rPr>
                <w:b/>
                <w:bCs/>
              </w:rPr>
              <w:t>972 578</w:t>
            </w:r>
          </w:p>
        </w:tc>
        <w:tc>
          <w:tcPr>
            <w:tcW w:w="1347" w:type="dxa"/>
            <w:noWrap/>
            <w:vAlign w:val="center"/>
          </w:tcPr>
          <w:p w14:paraId="283D0772" w14:textId="77777777" w:rsidR="0076357A" w:rsidRPr="00AA4C18" w:rsidRDefault="0076357A" w:rsidP="0076357A">
            <w:pPr>
              <w:jc w:val="right"/>
              <w:rPr>
                <w:b/>
                <w:bCs/>
              </w:rPr>
            </w:pPr>
            <w:r w:rsidRPr="00AA4C18">
              <w:rPr>
                <w:b/>
                <w:bCs/>
              </w:rPr>
              <w:t>870 558</w:t>
            </w:r>
          </w:p>
        </w:tc>
        <w:tc>
          <w:tcPr>
            <w:tcW w:w="1325" w:type="dxa"/>
            <w:noWrap/>
            <w:vAlign w:val="center"/>
          </w:tcPr>
          <w:p w14:paraId="48536473" w14:textId="77777777" w:rsidR="0076357A" w:rsidRPr="00AA4C18" w:rsidRDefault="0076357A" w:rsidP="0076357A">
            <w:pPr>
              <w:jc w:val="right"/>
              <w:rPr>
                <w:b/>
                <w:bCs/>
              </w:rPr>
            </w:pPr>
          </w:p>
        </w:tc>
        <w:tc>
          <w:tcPr>
            <w:tcW w:w="1227" w:type="dxa"/>
            <w:noWrap/>
            <w:vAlign w:val="center"/>
          </w:tcPr>
          <w:p w14:paraId="424166EB" w14:textId="77777777" w:rsidR="0076357A" w:rsidRPr="00AA4C18" w:rsidRDefault="0076357A" w:rsidP="0076357A">
            <w:pPr>
              <w:jc w:val="right"/>
              <w:rPr>
                <w:b/>
                <w:bCs/>
              </w:rPr>
            </w:pPr>
          </w:p>
        </w:tc>
      </w:tr>
      <w:tr w:rsidR="0076357A" w:rsidRPr="00AA4C18" w14:paraId="07B707F5" w14:textId="77777777" w:rsidTr="0076357A">
        <w:trPr>
          <w:trHeight w:val="70"/>
          <w:jc w:val="center"/>
        </w:trPr>
        <w:tc>
          <w:tcPr>
            <w:tcW w:w="4661" w:type="dxa"/>
            <w:noWrap/>
            <w:vAlign w:val="center"/>
          </w:tcPr>
          <w:p w14:paraId="07253BDE" w14:textId="77777777" w:rsidR="0076357A" w:rsidRPr="00AA4C18" w:rsidRDefault="0076357A" w:rsidP="0076357A">
            <w:r w:rsidRPr="00AA4C18">
              <w:t>- program 0EK0N - Informačné technológie financované zo štátneho rozpočtu – Štatistický úrad SR</w:t>
            </w:r>
          </w:p>
        </w:tc>
        <w:tc>
          <w:tcPr>
            <w:tcW w:w="1267" w:type="dxa"/>
            <w:noWrap/>
            <w:vAlign w:val="center"/>
          </w:tcPr>
          <w:p w14:paraId="3A767463" w14:textId="77777777" w:rsidR="0076357A" w:rsidRPr="00AA4C18" w:rsidRDefault="0076357A" w:rsidP="0076357A">
            <w:pPr>
              <w:jc w:val="right"/>
              <w:rPr>
                <w:b/>
                <w:bCs/>
              </w:rPr>
            </w:pPr>
            <w:r w:rsidRPr="00AA4C18">
              <w:rPr>
                <w:b/>
                <w:bCs/>
              </w:rPr>
              <w:t>1 410 000</w:t>
            </w:r>
          </w:p>
        </w:tc>
        <w:tc>
          <w:tcPr>
            <w:tcW w:w="1347" w:type="dxa"/>
            <w:noWrap/>
            <w:vAlign w:val="center"/>
          </w:tcPr>
          <w:p w14:paraId="6D5BD167" w14:textId="77777777" w:rsidR="0076357A" w:rsidRPr="00AA4C18" w:rsidRDefault="0076357A" w:rsidP="0076357A">
            <w:pPr>
              <w:jc w:val="right"/>
              <w:rPr>
                <w:b/>
                <w:bCs/>
              </w:rPr>
            </w:pPr>
            <w:r w:rsidRPr="00AA4C18">
              <w:rPr>
                <w:b/>
                <w:bCs/>
              </w:rPr>
              <w:t>1 410 000</w:t>
            </w:r>
          </w:p>
        </w:tc>
        <w:tc>
          <w:tcPr>
            <w:tcW w:w="1325" w:type="dxa"/>
            <w:noWrap/>
            <w:vAlign w:val="center"/>
          </w:tcPr>
          <w:p w14:paraId="767D5BA5" w14:textId="77777777" w:rsidR="0076357A" w:rsidRPr="00AA4C18" w:rsidRDefault="0076357A" w:rsidP="0076357A">
            <w:pPr>
              <w:jc w:val="right"/>
              <w:rPr>
                <w:b/>
                <w:bCs/>
              </w:rPr>
            </w:pPr>
          </w:p>
        </w:tc>
        <w:tc>
          <w:tcPr>
            <w:tcW w:w="1227" w:type="dxa"/>
            <w:noWrap/>
            <w:vAlign w:val="center"/>
          </w:tcPr>
          <w:p w14:paraId="4231B344" w14:textId="77777777" w:rsidR="0076357A" w:rsidRPr="00AA4C18" w:rsidRDefault="0076357A" w:rsidP="0076357A">
            <w:pPr>
              <w:jc w:val="right"/>
              <w:rPr>
                <w:b/>
                <w:bCs/>
              </w:rPr>
            </w:pPr>
          </w:p>
        </w:tc>
      </w:tr>
      <w:tr w:rsidR="0076357A" w:rsidRPr="00AA4C18" w14:paraId="01CB9B0E" w14:textId="77777777" w:rsidTr="0076357A">
        <w:trPr>
          <w:trHeight w:val="70"/>
          <w:jc w:val="center"/>
        </w:trPr>
        <w:tc>
          <w:tcPr>
            <w:tcW w:w="4661" w:type="dxa"/>
            <w:noWrap/>
            <w:vAlign w:val="center"/>
          </w:tcPr>
          <w:p w14:paraId="13B8E3BA" w14:textId="77777777" w:rsidR="0076357A" w:rsidRPr="00AA4C18" w:rsidRDefault="0076357A" w:rsidP="0076357A">
            <w:r w:rsidRPr="00AA4C18">
              <w:rPr>
                <w:i/>
              </w:rPr>
              <w:t>Rozpočtové prostriedky</w:t>
            </w:r>
            <w:r w:rsidRPr="00AA4C18">
              <w:t xml:space="preserve"> – kapitola Ministerstva vnútra SR – z toho  </w:t>
            </w:r>
          </w:p>
        </w:tc>
        <w:tc>
          <w:tcPr>
            <w:tcW w:w="1267" w:type="dxa"/>
            <w:noWrap/>
            <w:vAlign w:val="center"/>
          </w:tcPr>
          <w:p w14:paraId="37050002" w14:textId="77777777" w:rsidR="0076357A" w:rsidRPr="00AA4C18" w:rsidRDefault="0076357A" w:rsidP="0076357A">
            <w:pPr>
              <w:jc w:val="right"/>
              <w:rPr>
                <w:b/>
                <w:bCs/>
              </w:rPr>
            </w:pPr>
            <w:r w:rsidRPr="00AA4C18">
              <w:rPr>
                <w:b/>
                <w:bCs/>
              </w:rPr>
              <w:t>0</w:t>
            </w:r>
          </w:p>
        </w:tc>
        <w:tc>
          <w:tcPr>
            <w:tcW w:w="1347" w:type="dxa"/>
            <w:noWrap/>
            <w:vAlign w:val="center"/>
          </w:tcPr>
          <w:p w14:paraId="55DE115C" w14:textId="77777777" w:rsidR="0076357A" w:rsidRPr="00AA4C18" w:rsidRDefault="0076357A" w:rsidP="0076357A">
            <w:pPr>
              <w:jc w:val="right"/>
              <w:rPr>
                <w:b/>
                <w:bCs/>
              </w:rPr>
            </w:pPr>
            <w:r w:rsidRPr="00AA4C18">
              <w:rPr>
                <w:b/>
                <w:bCs/>
              </w:rPr>
              <w:t>0</w:t>
            </w:r>
          </w:p>
        </w:tc>
        <w:tc>
          <w:tcPr>
            <w:tcW w:w="1325" w:type="dxa"/>
            <w:noWrap/>
            <w:vAlign w:val="center"/>
          </w:tcPr>
          <w:p w14:paraId="434CDEF2" w14:textId="77777777" w:rsidR="0076357A" w:rsidRPr="00AA4C18" w:rsidRDefault="0076357A" w:rsidP="0076357A">
            <w:pPr>
              <w:jc w:val="right"/>
              <w:rPr>
                <w:b/>
                <w:bCs/>
              </w:rPr>
            </w:pPr>
          </w:p>
        </w:tc>
        <w:tc>
          <w:tcPr>
            <w:tcW w:w="1227" w:type="dxa"/>
            <w:noWrap/>
            <w:vAlign w:val="center"/>
          </w:tcPr>
          <w:p w14:paraId="7711D2A9" w14:textId="77777777" w:rsidR="0076357A" w:rsidRPr="00AA4C18" w:rsidRDefault="0076357A" w:rsidP="0076357A">
            <w:pPr>
              <w:jc w:val="right"/>
              <w:rPr>
                <w:b/>
                <w:bCs/>
              </w:rPr>
            </w:pPr>
          </w:p>
        </w:tc>
      </w:tr>
      <w:tr w:rsidR="0076357A" w:rsidRPr="00AA4C18" w14:paraId="6AFA6DAE" w14:textId="77777777" w:rsidTr="0076357A">
        <w:trPr>
          <w:trHeight w:val="70"/>
          <w:jc w:val="center"/>
        </w:trPr>
        <w:tc>
          <w:tcPr>
            <w:tcW w:w="4661" w:type="dxa"/>
            <w:noWrap/>
            <w:vAlign w:val="center"/>
          </w:tcPr>
          <w:p w14:paraId="7B080CB9" w14:textId="77777777" w:rsidR="0076357A" w:rsidRPr="00AA4C18" w:rsidRDefault="0076357A" w:rsidP="0076357A"/>
        </w:tc>
        <w:tc>
          <w:tcPr>
            <w:tcW w:w="1267" w:type="dxa"/>
            <w:noWrap/>
            <w:vAlign w:val="center"/>
          </w:tcPr>
          <w:p w14:paraId="7EDD0E97" w14:textId="77777777" w:rsidR="0076357A" w:rsidRPr="00AA4C18" w:rsidRDefault="0076357A" w:rsidP="0076357A">
            <w:pPr>
              <w:jc w:val="right"/>
              <w:rPr>
                <w:b/>
                <w:bCs/>
              </w:rPr>
            </w:pPr>
          </w:p>
        </w:tc>
        <w:tc>
          <w:tcPr>
            <w:tcW w:w="1347" w:type="dxa"/>
            <w:noWrap/>
            <w:vAlign w:val="center"/>
          </w:tcPr>
          <w:p w14:paraId="0185B1AB" w14:textId="77777777" w:rsidR="0076357A" w:rsidRPr="00AA4C18" w:rsidRDefault="0076357A" w:rsidP="0076357A">
            <w:pPr>
              <w:jc w:val="right"/>
              <w:rPr>
                <w:b/>
                <w:bCs/>
              </w:rPr>
            </w:pPr>
          </w:p>
        </w:tc>
        <w:tc>
          <w:tcPr>
            <w:tcW w:w="1325" w:type="dxa"/>
            <w:noWrap/>
            <w:vAlign w:val="center"/>
          </w:tcPr>
          <w:p w14:paraId="00FD9583" w14:textId="77777777" w:rsidR="0076357A" w:rsidRPr="00AA4C18" w:rsidRDefault="0076357A" w:rsidP="0076357A">
            <w:pPr>
              <w:jc w:val="right"/>
              <w:rPr>
                <w:b/>
                <w:bCs/>
              </w:rPr>
            </w:pPr>
          </w:p>
        </w:tc>
        <w:tc>
          <w:tcPr>
            <w:tcW w:w="1227" w:type="dxa"/>
            <w:noWrap/>
            <w:vAlign w:val="center"/>
          </w:tcPr>
          <w:p w14:paraId="1B5D7266" w14:textId="77777777" w:rsidR="0076357A" w:rsidRPr="00AA4C18" w:rsidRDefault="0076357A" w:rsidP="0076357A">
            <w:pPr>
              <w:jc w:val="right"/>
              <w:rPr>
                <w:b/>
                <w:bCs/>
              </w:rPr>
            </w:pPr>
          </w:p>
        </w:tc>
      </w:tr>
      <w:tr w:rsidR="0076357A" w:rsidRPr="00AA4C18" w14:paraId="345714D6" w14:textId="77777777" w:rsidTr="0076357A">
        <w:trPr>
          <w:trHeight w:val="70"/>
          <w:jc w:val="center"/>
        </w:trPr>
        <w:tc>
          <w:tcPr>
            <w:tcW w:w="4661" w:type="dxa"/>
            <w:noWrap/>
            <w:vAlign w:val="center"/>
          </w:tcPr>
          <w:p w14:paraId="244EADBA" w14:textId="77777777" w:rsidR="0076357A" w:rsidRPr="00AA4C18" w:rsidRDefault="0076357A" w:rsidP="0076357A">
            <w:pPr>
              <w:rPr>
                <w:b/>
                <w:bCs/>
                <w:i/>
                <w:iCs/>
              </w:rPr>
            </w:pPr>
            <w:r w:rsidRPr="00AA4C18">
              <w:rPr>
                <w:b/>
                <w:bCs/>
                <w:i/>
                <w:iCs/>
              </w:rPr>
              <w:t xml:space="preserve">z toho: </w:t>
            </w:r>
          </w:p>
        </w:tc>
        <w:tc>
          <w:tcPr>
            <w:tcW w:w="1267" w:type="dxa"/>
            <w:noWrap/>
            <w:vAlign w:val="center"/>
          </w:tcPr>
          <w:p w14:paraId="796B7E07" w14:textId="77777777" w:rsidR="0076357A" w:rsidRPr="00AA4C18" w:rsidRDefault="0076357A" w:rsidP="0076357A">
            <w:pPr>
              <w:jc w:val="right"/>
              <w:rPr>
                <w:b/>
                <w:bCs/>
                <w:iCs/>
              </w:rPr>
            </w:pPr>
          </w:p>
        </w:tc>
        <w:tc>
          <w:tcPr>
            <w:tcW w:w="1347" w:type="dxa"/>
            <w:noWrap/>
            <w:vAlign w:val="center"/>
          </w:tcPr>
          <w:p w14:paraId="2BCEBAFF" w14:textId="77777777" w:rsidR="0076357A" w:rsidRPr="00AA4C18" w:rsidRDefault="0076357A" w:rsidP="0076357A">
            <w:pPr>
              <w:jc w:val="right"/>
              <w:rPr>
                <w:b/>
                <w:bCs/>
                <w:iCs/>
              </w:rPr>
            </w:pPr>
          </w:p>
        </w:tc>
        <w:tc>
          <w:tcPr>
            <w:tcW w:w="1325" w:type="dxa"/>
            <w:noWrap/>
            <w:vAlign w:val="center"/>
          </w:tcPr>
          <w:p w14:paraId="34E88435" w14:textId="77777777" w:rsidR="0076357A" w:rsidRPr="00AA4C18" w:rsidRDefault="0076357A" w:rsidP="0076357A">
            <w:pPr>
              <w:jc w:val="right"/>
              <w:rPr>
                <w:b/>
                <w:bCs/>
                <w:iCs/>
              </w:rPr>
            </w:pPr>
          </w:p>
        </w:tc>
        <w:tc>
          <w:tcPr>
            <w:tcW w:w="1227" w:type="dxa"/>
            <w:noWrap/>
            <w:vAlign w:val="center"/>
          </w:tcPr>
          <w:p w14:paraId="5724A83D" w14:textId="77777777" w:rsidR="0076357A" w:rsidRPr="00AA4C18" w:rsidRDefault="0076357A" w:rsidP="0076357A">
            <w:pPr>
              <w:jc w:val="right"/>
              <w:rPr>
                <w:b/>
                <w:bCs/>
                <w:iCs/>
              </w:rPr>
            </w:pPr>
          </w:p>
        </w:tc>
      </w:tr>
      <w:tr w:rsidR="0076357A" w:rsidRPr="00AA4C18" w14:paraId="29CC109C" w14:textId="77777777" w:rsidTr="0076357A">
        <w:trPr>
          <w:trHeight w:val="70"/>
          <w:jc w:val="center"/>
        </w:trPr>
        <w:tc>
          <w:tcPr>
            <w:tcW w:w="4661" w:type="dxa"/>
            <w:noWrap/>
            <w:vAlign w:val="center"/>
          </w:tcPr>
          <w:p w14:paraId="0BC72612" w14:textId="77777777" w:rsidR="0076357A" w:rsidRPr="00AA4C18" w:rsidRDefault="0076357A" w:rsidP="0076357A">
            <w:pPr>
              <w:rPr>
                <w:b/>
                <w:bCs/>
                <w:i/>
                <w:iCs/>
              </w:rPr>
            </w:pPr>
            <w:r w:rsidRPr="00AA4C18">
              <w:rPr>
                <w:b/>
                <w:bCs/>
                <w:i/>
                <w:iCs/>
              </w:rPr>
              <w:t>- vplyv na ŠR</w:t>
            </w:r>
          </w:p>
        </w:tc>
        <w:tc>
          <w:tcPr>
            <w:tcW w:w="1267" w:type="dxa"/>
            <w:noWrap/>
            <w:vAlign w:val="center"/>
          </w:tcPr>
          <w:p w14:paraId="720C2939" w14:textId="77777777" w:rsidR="0076357A" w:rsidRPr="00AA4C18" w:rsidRDefault="0076357A" w:rsidP="0076357A">
            <w:pPr>
              <w:jc w:val="right"/>
              <w:rPr>
                <w:b/>
                <w:bCs/>
                <w:iCs/>
              </w:rPr>
            </w:pPr>
            <w:r w:rsidRPr="00AA4C18">
              <w:rPr>
                <w:b/>
                <w:bCs/>
                <w:iCs/>
              </w:rPr>
              <w:t>2 382 578</w:t>
            </w:r>
          </w:p>
        </w:tc>
        <w:tc>
          <w:tcPr>
            <w:tcW w:w="1347" w:type="dxa"/>
            <w:noWrap/>
            <w:vAlign w:val="center"/>
          </w:tcPr>
          <w:p w14:paraId="579661BF" w14:textId="77777777" w:rsidR="0076357A" w:rsidRPr="00AA4C18" w:rsidRDefault="0076357A" w:rsidP="0076357A">
            <w:pPr>
              <w:jc w:val="right"/>
              <w:rPr>
                <w:b/>
                <w:bCs/>
                <w:iCs/>
              </w:rPr>
            </w:pPr>
            <w:r w:rsidRPr="00AA4C18">
              <w:rPr>
                <w:b/>
                <w:bCs/>
                <w:iCs/>
              </w:rPr>
              <w:t>2 280 558</w:t>
            </w:r>
          </w:p>
        </w:tc>
        <w:tc>
          <w:tcPr>
            <w:tcW w:w="1325" w:type="dxa"/>
            <w:noWrap/>
            <w:vAlign w:val="center"/>
          </w:tcPr>
          <w:p w14:paraId="3F30C7E9" w14:textId="77777777" w:rsidR="0076357A" w:rsidRPr="00AA4C18" w:rsidRDefault="0076357A" w:rsidP="0076357A">
            <w:pPr>
              <w:jc w:val="right"/>
              <w:rPr>
                <w:b/>
                <w:bCs/>
                <w:iCs/>
              </w:rPr>
            </w:pPr>
          </w:p>
        </w:tc>
        <w:tc>
          <w:tcPr>
            <w:tcW w:w="1227" w:type="dxa"/>
            <w:noWrap/>
            <w:vAlign w:val="center"/>
          </w:tcPr>
          <w:p w14:paraId="4D720239" w14:textId="77777777" w:rsidR="0076357A" w:rsidRPr="00AA4C18" w:rsidRDefault="0076357A" w:rsidP="0076357A">
            <w:pPr>
              <w:jc w:val="right"/>
              <w:rPr>
                <w:b/>
                <w:bCs/>
                <w:iCs/>
              </w:rPr>
            </w:pPr>
          </w:p>
        </w:tc>
      </w:tr>
      <w:tr w:rsidR="0076357A" w:rsidRPr="00AA4C18" w14:paraId="1B3F0710" w14:textId="77777777" w:rsidTr="0076357A">
        <w:trPr>
          <w:trHeight w:val="70"/>
          <w:jc w:val="center"/>
        </w:trPr>
        <w:tc>
          <w:tcPr>
            <w:tcW w:w="4661" w:type="dxa"/>
            <w:noWrap/>
            <w:vAlign w:val="center"/>
          </w:tcPr>
          <w:p w14:paraId="14A60A97" w14:textId="77777777" w:rsidR="0076357A" w:rsidRPr="00AA4C18" w:rsidRDefault="0076357A" w:rsidP="0076357A">
            <w:pPr>
              <w:rPr>
                <w:b/>
                <w:bCs/>
                <w:i/>
                <w:iCs/>
              </w:rPr>
            </w:pPr>
            <w:r w:rsidRPr="00AA4C18">
              <w:rPr>
                <w:i/>
              </w:rPr>
              <w:t>Rozpočtové prostriedky</w:t>
            </w:r>
            <w:r w:rsidRPr="00AA4C18">
              <w:t xml:space="preserve"> – kapitola Štatistického úradu SR – z toho:</w:t>
            </w:r>
          </w:p>
        </w:tc>
        <w:tc>
          <w:tcPr>
            <w:tcW w:w="1267" w:type="dxa"/>
            <w:noWrap/>
            <w:vAlign w:val="center"/>
          </w:tcPr>
          <w:p w14:paraId="40F0F522" w14:textId="77777777" w:rsidR="0076357A" w:rsidRPr="00AA4C18" w:rsidRDefault="0076357A" w:rsidP="0076357A">
            <w:pPr>
              <w:jc w:val="right"/>
              <w:rPr>
                <w:b/>
                <w:bCs/>
                <w:iCs/>
              </w:rPr>
            </w:pPr>
            <w:r w:rsidRPr="00AA4C18">
              <w:rPr>
                <w:b/>
                <w:bCs/>
              </w:rPr>
              <w:t>2 382 578</w:t>
            </w:r>
          </w:p>
        </w:tc>
        <w:tc>
          <w:tcPr>
            <w:tcW w:w="1347" w:type="dxa"/>
            <w:noWrap/>
            <w:vAlign w:val="center"/>
          </w:tcPr>
          <w:p w14:paraId="76F8EE9E" w14:textId="77777777" w:rsidR="0076357A" w:rsidRPr="00AA4C18" w:rsidRDefault="0076357A" w:rsidP="0076357A">
            <w:pPr>
              <w:jc w:val="right"/>
              <w:rPr>
                <w:b/>
                <w:bCs/>
                <w:iCs/>
              </w:rPr>
            </w:pPr>
            <w:r w:rsidRPr="00AA4C18">
              <w:rPr>
                <w:b/>
                <w:bCs/>
              </w:rPr>
              <w:t>2 280 558</w:t>
            </w:r>
          </w:p>
        </w:tc>
        <w:tc>
          <w:tcPr>
            <w:tcW w:w="1325" w:type="dxa"/>
            <w:noWrap/>
            <w:vAlign w:val="center"/>
          </w:tcPr>
          <w:p w14:paraId="46E7185D" w14:textId="77777777" w:rsidR="0076357A" w:rsidRPr="00AA4C18" w:rsidRDefault="0076357A" w:rsidP="0076357A">
            <w:pPr>
              <w:jc w:val="right"/>
              <w:rPr>
                <w:b/>
                <w:bCs/>
                <w:iCs/>
              </w:rPr>
            </w:pPr>
          </w:p>
        </w:tc>
        <w:tc>
          <w:tcPr>
            <w:tcW w:w="1227" w:type="dxa"/>
            <w:noWrap/>
            <w:vAlign w:val="center"/>
          </w:tcPr>
          <w:p w14:paraId="2A9E7018" w14:textId="77777777" w:rsidR="0076357A" w:rsidRPr="00AA4C18" w:rsidRDefault="0076357A" w:rsidP="0076357A">
            <w:pPr>
              <w:jc w:val="right"/>
              <w:rPr>
                <w:b/>
                <w:bCs/>
                <w:iCs/>
              </w:rPr>
            </w:pPr>
          </w:p>
        </w:tc>
      </w:tr>
      <w:tr w:rsidR="0076357A" w:rsidRPr="00AA4C18" w14:paraId="169D1F87" w14:textId="77777777" w:rsidTr="0076357A">
        <w:trPr>
          <w:trHeight w:val="70"/>
          <w:jc w:val="center"/>
        </w:trPr>
        <w:tc>
          <w:tcPr>
            <w:tcW w:w="4661" w:type="dxa"/>
            <w:noWrap/>
            <w:vAlign w:val="center"/>
          </w:tcPr>
          <w:p w14:paraId="5BFEA915" w14:textId="77777777" w:rsidR="0076357A" w:rsidRPr="00AA4C18" w:rsidRDefault="0076357A" w:rsidP="0076357A">
            <w:r w:rsidRPr="00AA4C18">
              <w:t>- program 07V – Štatistické zisťovania</w:t>
            </w:r>
          </w:p>
        </w:tc>
        <w:tc>
          <w:tcPr>
            <w:tcW w:w="1267" w:type="dxa"/>
            <w:noWrap/>
            <w:vAlign w:val="center"/>
          </w:tcPr>
          <w:p w14:paraId="53A97447" w14:textId="77777777" w:rsidR="0076357A" w:rsidRPr="00AA4C18" w:rsidRDefault="0076357A" w:rsidP="0076357A">
            <w:pPr>
              <w:jc w:val="right"/>
              <w:rPr>
                <w:b/>
                <w:bCs/>
                <w:iCs/>
              </w:rPr>
            </w:pPr>
            <w:r w:rsidRPr="00AA4C18">
              <w:rPr>
                <w:b/>
                <w:bCs/>
                <w:iCs/>
              </w:rPr>
              <w:t>972 578</w:t>
            </w:r>
          </w:p>
        </w:tc>
        <w:tc>
          <w:tcPr>
            <w:tcW w:w="1347" w:type="dxa"/>
            <w:noWrap/>
            <w:vAlign w:val="center"/>
          </w:tcPr>
          <w:p w14:paraId="26DEA5FB" w14:textId="77777777" w:rsidR="0076357A" w:rsidRPr="00AA4C18" w:rsidRDefault="0076357A" w:rsidP="0076357A">
            <w:pPr>
              <w:jc w:val="right"/>
              <w:rPr>
                <w:b/>
                <w:bCs/>
                <w:iCs/>
              </w:rPr>
            </w:pPr>
            <w:r w:rsidRPr="00AA4C18">
              <w:rPr>
                <w:b/>
                <w:bCs/>
              </w:rPr>
              <w:t>870 558</w:t>
            </w:r>
          </w:p>
        </w:tc>
        <w:tc>
          <w:tcPr>
            <w:tcW w:w="1325" w:type="dxa"/>
            <w:noWrap/>
            <w:vAlign w:val="center"/>
          </w:tcPr>
          <w:p w14:paraId="46924E06" w14:textId="77777777" w:rsidR="0076357A" w:rsidRPr="00AA4C18" w:rsidRDefault="0076357A" w:rsidP="0076357A">
            <w:pPr>
              <w:jc w:val="right"/>
              <w:rPr>
                <w:b/>
                <w:bCs/>
                <w:iCs/>
              </w:rPr>
            </w:pPr>
          </w:p>
        </w:tc>
        <w:tc>
          <w:tcPr>
            <w:tcW w:w="1227" w:type="dxa"/>
            <w:noWrap/>
            <w:vAlign w:val="center"/>
          </w:tcPr>
          <w:p w14:paraId="75C80CBA" w14:textId="77777777" w:rsidR="0076357A" w:rsidRPr="00AA4C18" w:rsidRDefault="0076357A" w:rsidP="0076357A">
            <w:pPr>
              <w:jc w:val="right"/>
              <w:rPr>
                <w:b/>
                <w:bCs/>
                <w:iCs/>
              </w:rPr>
            </w:pPr>
          </w:p>
        </w:tc>
      </w:tr>
      <w:tr w:rsidR="0076357A" w:rsidRPr="00AA4C18" w14:paraId="46DA4A2A" w14:textId="77777777" w:rsidTr="0076357A">
        <w:trPr>
          <w:trHeight w:val="70"/>
          <w:jc w:val="center"/>
        </w:trPr>
        <w:tc>
          <w:tcPr>
            <w:tcW w:w="4661" w:type="dxa"/>
            <w:noWrap/>
            <w:vAlign w:val="center"/>
          </w:tcPr>
          <w:p w14:paraId="24CF3D82" w14:textId="77777777" w:rsidR="0076357A" w:rsidRPr="00AA4C18" w:rsidRDefault="0076357A" w:rsidP="0076357A">
            <w:r w:rsidRPr="00AA4C18">
              <w:t>- program 0EK0N - Informačné technológie financované zo štátneho rozpočtu – Štatistický úrad SR</w:t>
            </w:r>
          </w:p>
        </w:tc>
        <w:tc>
          <w:tcPr>
            <w:tcW w:w="1267" w:type="dxa"/>
            <w:noWrap/>
            <w:vAlign w:val="center"/>
          </w:tcPr>
          <w:p w14:paraId="3D77784C" w14:textId="77777777" w:rsidR="0076357A" w:rsidRPr="00AA4C18" w:rsidRDefault="0076357A" w:rsidP="0076357A">
            <w:pPr>
              <w:jc w:val="right"/>
              <w:rPr>
                <w:b/>
                <w:bCs/>
                <w:iCs/>
              </w:rPr>
            </w:pPr>
            <w:r w:rsidRPr="00AA4C18">
              <w:rPr>
                <w:b/>
                <w:bCs/>
                <w:iCs/>
              </w:rPr>
              <w:t>1 410 000</w:t>
            </w:r>
          </w:p>
        </w:tc>
        <w:tc>
          <w:tcPr>
            <w:tcW w:w="1347" w:type="dxa"/>
            <w:noWrap/>
            <w:vAlign w:val="center"/>
          </w:tcPr>
          <w:p w14:paraId="2B4ECDCF" w14:textId="77777777" w:rsidR="0076357A" w:rsidRPr="00AA4C18" w:rsidRDefault="0076357A" w:rsidP="0076357A">
            <w:pPr>
              <w:jc w:val="right"/>
              <w:rPr>
                <w:b/>
                <w:bCs/>
                <w:iCs/>
              </w:rPr>
            </w:pPr>
            <w:r w:rsidRPr="00AA4C18">
              <w:rPr>
                <w:b/>
                <w:bCs/>
              </w:rPr>
              <w:t>1 410 000</w:t>
            </w:r>
          </w:p>
        </w:tc>
        <w:tc>
          <w:tcPr>
            <w:tcW w:w="1325" w:type="dxa"/>
            <w:noWrap/>
            <w:vAlign w:val="center"/>
          </w:tcPr>
          <w:p w14:paraId="093A3BA5" w14:textId="77777777" w:rsidR="0076357A" w:rsidRPr="00AA4C18" w:rsidRDefault="0076357A" w:rsidP="0076357A">
            <w:pPr>
              <w:jc w:val="right"/>
              <w:rPr>
                <w:b/>
                <w:bCs/>
                <w:iCs/>
              </w:rPr>
            </w:pPr>
          </w:p>
        </w:tc>
        <w:tc>
          <w:tcPr>
            <w:tcW w:w="1227" w:type="dxa"/>
            <w:noWrap/>
            <w:vAlign w:val="center"/>
          </w:tcPr>
          <w:p w14:paraId="1A0EDA52" w14:textId="77777777" w:rsidR="0076357A" w:rsidRPr="00AA4C18" w:rsidRDefault="0076357A" w:rsidP="0076357A">
            <w:pPr>
              <w:jc w:val="right"/>
              <w:rPr>
                <w:b/>
                <w:bCs/>
                <w:iCs/>
              </w:rPr>
            </w:pPr>
          </w:p>
        </w:tc>
      </w:tr>
      <w:tr w:rsidR="0076357A" w:rsidRPr="00AA4C18" w14:paraId="35FC1D27" w14:textId="77777777" w:rsidTr="0076357A">
        <w:trPr>
          <w:trHeight w:val="70"/>
          <w:jc w:val="center"/>
        </w:trPr>
        <w:tc>
          <w:tcPr>
            <w:tcW w:w="4661" w:type="dxa"/>
            <w:noWrap/>
            <w:vAlign w:val="center"/>
          </w:tcPr>
          <w:p w14:paraId="3F5C06F3" w14:textId="77777777" w:rsidR="0076357A" w:rsidRPr="00AA4C18" w:rsidRDefault="0076357A" w:rsidP="0076357A">
            <w:r w:rsidRPr="00AA4C18">
              <w:rPr>
                <w:i/>
              </w:rPr>
              <w:t>Rozpočtové prostriedky</w:t>
            </w:r>
            <w:r w:rsidRPr="00AA4C18">
              <w:t xml:space="preserve"> – kapitola Ministerstva vnútra SR – z toho  </w:t>
            </w:r>
          </w:p>
        </w:tc>
        <w:tc>
          <w:tcPr>
            <w:tcW w:w="1267" w:type="dxa"/>
            <w:noWrap/>
            <w:vAlign w:val="center"/>
          </w:tcPr>
          <w:p w14:paraId="48835C03" w14:textId="77777777" w:rsidR="0076357A" w:rsidRPr="00AA4C18" w:rsidRDefault="0076357A" w:rsidP="0076357A">
            <w:pPr>
              <w:jc w:val="right"/>
              <w:rPr>
                <w:b/>
                <w:bCs/>
              </w:rPr>
            </w:pPr>
            <w:r w:rsidRPr="00AA4C18">
              <w:rPr>
                <w:b/>
                <w:bCs/>
              </w:rPr>
              <w:t>0</w:t>
            </w:r>
          </w:p>
        </w:tc>
        <w:tc>
          <w:tcPr>
            <w:tcW w:w="1347" w:type="dxa"/>
            <w:noWrap/>
            <w:vAlign w:val="center"/>
          </w:tcPr>
          <w:p w14:paraId="726DC0B8" w14:textId="77777777" w:rsidR="0076357A" w:rsidRPr="00AA4C18" w:rsidRDefault="0076357A" w:rsidP="0076357A">
            <w:pPr>
              <w:jc w:val="right"/>
              <w:rPr>
                <w:b/>
                <w:bCs/>
              </w:rPr>
            </w:pPr>
            <w:r w:rsidRPr="00AA4C18">
              <w:rPr>
                <w:b/>
                <w:bCs/>
              </w:rPr>
              <w:t>0</w:t>
            </w:r>
          </w:p>
        </w:tc>
        <w:tc>
          <w:tcPr>
            <w:tcW w:w="1325" w:type="dxa"/>
            <w:noWrap/>
            <w:vAlign w:val="center"/>
          </w:tcPr>
          <w:p w14:paraId="778746AE" w14:textId="77777777" w:rsidR="0076357A" w:rsidRPr="00AA4C18" w:rsidRDefault="0076357A" w:rsidP="0076357A">
            <w:pPr>
              <w:jc w:val="right"/>
              <w:rPr>
                <w:b/>
                <w:bCs/>
              </w:rPr>
            </w:pPr>
          </w:p>
        </w:tc>
        <w:tc>
          <w:tcPr>
            <w:tcW w:w="1227" w:type="dxa"/>
            <w:noWrap/>
            <w:vAlign w:val="center"/>
          </w:tcPr>
          <w:p w14:paraId="1BAF7A86" w14:textId="77777777" w:rsidR="0076357A" w:rsidRPr="00AA4C18" w:rsidRDefault="0076357A" w:rsidP="0076357A">
            <w:pPr>
              <w:jc w:val="right"/>
              <w:rPr>
                <w:b/>
                <w:bCs/>
              </w:rPr>
            </w:pPr>
          </w:p>
        </w:tc>
      </w:tr>
      <w:tr w:rsidR="0076357A" w:rsidRPr="00AA4C18" w14:paraId="78B81C54" w14:textId="77777777" w:rsidTr="0076357A">
        <w:trPr>
          <w:trHeight w:val="70"/>
          <w:jc w:val="center"/>
        </w:trPr>
        <w:tc>
          <w:tcPr>
            <w:tcW w:w="4661" w:type="dxa"/>
            <w:noWrap/>
            <w:vAlign w:val="center"/>
          </w:tcPr>
          <w:p w14:paraId="23F73D08" w14:textId="77777777" w:rsidR="0076357A" w:rsidRPr="00AA4C18" w:rsidRDefault="0076357A" w:rsidP="0076357A">
            <w:pPr>
              <w:rPr>
                <w:bCs/>
                <w:i/>
                <w:iCs/>
              </w:rPr>
            </w:pPr>
            <w:r w:rsidRPr="00AA4C18">
              <w:rPr>
                <w:bCs/>
                <w:i/>
                <w:iCs/>
              </w:rPr>
              <w:t xml:space="preserve">    EÚ zdroje</w:t>
            </w:r>
          </w:p>
        </w:tc>
        <w:tc>
          <w:tcPr>
            <w:tcW w:w="1267" w:type="dxa"/>
            <w:noWrap/>
            <w:vAlign w:val="center"/>
          </w:tcPr>
          <w:p w14:paraId="5EED29E8" w14:textId="77777777" w:rsidR="0076357A" w:rsidRPr="00AA4C18" w:rsidRDefault="0076357A" w:rsidP="0076357A">
            <w:pPr>
              <w:jc w:val="right"/>
            </w:pPr>
            <w:r w:rsidRPr="00AA4C18">
              <w:t>0</w:t>
            </w:r>
          </w:p>
        </w:tc>
        <w:tc>
          <w:tcPr>
            <w:tcW w:w="1347" w:type="dxa"/>
            <w:noWrap/>
            <w:vAlign w:val="center"/>
          </w:tcPr>
          <w:p w14:paraId="4B6D867E" w14:textId="77777777" w:rsidR="0076357A" w:rsidRPr="00AA4C18" w:rsidRDefault="0076357A" w:rsidP="0076357A">
            <w:pPr>
              <w:jc w:val="right"/>
            </w:pPr>
            <w:r w:rsidRPr="00AA4C18">
              <w:t>0</w:t>
            </w:r>
          </w:p>
        </w:tc>
        <w:tc>
          <w:tcPr>
            <w:tcW w:w="1325" w:type="dxa"/>
            <w:noWrap/>
            <w:vAlign w:val="center"/>
          </w:tcPr>
          <w:p w14:paraId="43CD681D" w14:textId="77777777" w:rsidR="0076357A" w:rsidRPr="00AA4C18" w:rsidRDefault="0076357A" w:rsidP="0076357A">
            <w:pPr>
              <w:jc w:val="right"/>
            </w:pPr>
          </w:p>
        </w:tc>
        <w:tc>
          <w:tcPr>
            <w:tcW w:w="1227" w:type="dxa"/>
            <w:noWrap/>
            <w:vAlign w:val="center"/>
          </w:tcPr>
          <w:p w14:paraId="3A20004B" w14:textId="77777777" w:rsidR="0076357A" w:rsidRPr="00AA4C18" w:rsidRDefault="0076357A" w:rsidP="0076357A">
            <w:pPr>
              <w:jc w:val="right"/>
            </w:pPr>
          </w:p>
        </w:tc>
      </w:tr>
      <w:tr w:rsidR="0076357A" w:rsidRPr="00AA4C18" w14:paraId="36AC9414" w14:textId="77777777" w:rsidTr="0076357A">
        <w:trPr>
          <w:trHeight w:val="70"/>
          <w:jc w:val="center"/>
        </w:trPr>
        <w:tc>
          <w:tcPr>
            <w:tcW w:w="4661" w:type="dxa"/>
            <w:noWrap/>
            <w:vAlign w:val="center"/>
          </w:tcPr>
          <w:p w14:paraId="4A23AF9C" w14:textId="77777777" w:rsidR="0076357A" w:rsidRPr="00AA4C18" w:rsidRDefault="0076357A" w:rsidP="0076357A">
            <w:pPr>
              <w:rPr>
                <w:bCs/>
                <w:i/>
                <w:iCs/>
              </w:rPr>
            </w:pPr>
            <w:r w:rsidRPr="00AA4C18">
              <w:rPr>
                <w:bCs/>
                <w:i/>
                <w:iCs/>
              </w:rPr>
              <w:t xml:space="preserve">    spolufinancovanie</w:t>
            </w:r>
          </w:p>
        </w:tc>
        <w:tc>
          <w:tcPr>
            <w:tcW w:w="1267" w:type="dxa"/>
            <w:noWrap/>
            <w:vAlign w:val="center"/>
          </w:tcPr>
          <w:p w14:paraId="5614DF7E" w14:textId="77777777" w:rsidR="0076357A" w:rsidRPr="00AA4C18" w:rsidRDefault="0076357A" w:rsidP="0076357A">
            <w:pPr>
              <w:jc w:val="right"/>
            </w:pPr>
            <w:r w:rsidRPr="00AA4C18">
              <w:t>0</w:t>
            </w:r>
          </w:p>
        </w:tc>
        <w:tc>
          <w:tcPr>
            <w:tcW w:w="1347" w:type="dxa"/>
            <w:noWrap/>
            <w:vAlign w:val="center"/>
          </w:tcPr>
          <w:p w14:paraId="79CECD38" w14:textId="77777777" w:rsidR="0076357A" w:rsidRPr="00AA4C18" w:rsidRDefault="0076357A" w:rsidP="0076357A">
            <w:pPr>
              <w:jc w:val="right"/>
            </w:pPr>
            <w:r w:rsidRPr="00AA4C18">
              <w:t>0</w:t>
            </w:r>
          </w:p>
        </w:tc>
        <w:tc>
          <w:tcPr>
            <w:tcW w:w="1325" w:type="dxa"/>
            <w:noWrap/>
            <w:vAlign w:val="center"/>
          </w:tcPr>
          <w:p w14:paraId="0DA3E57E" w14:textId="77777777" w:rsidR="0076357A" w:rsidRPr="00AA4C18" w:rsidRDefault="0076357A" w:rsidP="0076357A">
            <w:pPr>
              <w:jc w:val="right"/>
            </w:pPr>
          </w:p>
        </w:tc>
        <w:tc>
          <w:tcPr>
            <w:tcW w:w="1227" w:type="dxa"/>
            <w:noWrap/>
            <w:vAlign w:val="center"/>
          </w:tcPr>
          <w:p w14:paraId="63A7C7E5" w14:textId="77777777" w:rsidR="0076357A" w:rsidRPr="00AA4C18" w:rsidRDefault="0076357A" w:rsidP="0076357A">
            <w:pPr>
              <w:jc w:val="right"/>
            </w:pPr>
          </w:p>
        </w:tc>
      </w:tr>
      <w:tr w:rsidR="0076357A" w:rsidRPr="00AA4C18" w14:paraId="203A0CF7" w14:textId="77777777" w:rsidTr="0076357A">
        <w:trPr>
          <w:trHeight w:val="125"/>
          <w:jc w:val="center"/>
        </w:trPr>
        <w:tc>
          <w:tcPr>
            <w:tcW w:w="4661" w:type="dxa"/>
            <w:noWrap/>
            <w:vAlign w:val="center"/>
          </w:tcPr>
          <w:p w14:paraId="15B98EB9" w14:textId="77777777" w:rsidR="0076357A" w:rsidRPr="00AA4C18" w:rsidRDefault="0076357A" w:rsidP="0076357A">
            <w:pPr>
              <w:rPr>
                <w:b/>
                <w:bCs/>
                <w:i/>
                <w:iCs/>
                <w:highlight w:val="cyan"/>
              </w:rPr>
            </w:pPr>
            <w:r w:rsidRPr="00AA4C18">
              <w:rPr>
                <w:b/>
                <w:bCs/>
                <w:i/>
                <w:iCs/>
              </w:rPr>
              <w:t>- vplyv na obce</w:t>
            </w:r>
          </w:p>
        </w:tc>
        <w:tc>
          <w:tcPr>
            <w:tcW w:w="1267" w:type="dxa"/>
            <w:noWrap/>
            <w:vAlign w:val="center"/>
          </w:tcPr>
          <w:p w14:paraId="0AA4FF51" w14:textId="77777777" w:rsidR="0076357A" w:rsidRPr="00AA4C18" w:rsidRDefault="0076357A" w:rsidP="0076357A">
            <w:pPr>
              <w:jc w:val="right"/>
              <w:rPr>
                <w:b/>
                <w:bCs/>
                <w:iCs/>
              </w:rPr>
            </w:pPr>
            <w:r w:rsidRPr="00AA4C18">
              <w:rPr>
                <w:b/>
                <w:bCs/>
                <w:iCs/>
              </w:rPr>
              <w:t>0</w:t>
            </w:r>
          </w:p>
        </w:tc>
        <w:tc>
          <w:tcPr>
            <w:tcW w:w="1347" w:type="dxa"/>
            <w:noWrap/>
            <w:vAlign w:val="center"/>
          </w:tcPr>
          <w:p w14:paraId="76E36B10" w14:textId="77777777" w:rsidR="0076357A" w:rsidRPr="00AA4C18" w:rsidRDefault="0076357A" w:rsidP="0076357A">
            <w:pPr>
              <w:jc w:val="right"/>
              <w:rPr>
                <w:b/>
                <w:bCs/>
                <w:iCs/>
              </w:rPr>
            </w:pPr>
            <w:r w:rsidRPr="00AA4C18">
              <w:rPr>
                <w:b/>
                <w:bCs/>
                <w:iCs/>
              </w:rPr>
              <w:t>0</w:t>
            </w:r>
          </w:p>
        </w:tc>
        <w:tc>
          <w:tcPr>
            <w:tcW w:w="1325" w:type="dxa"/>
            <w:noWrap/>
            <w:vAlign w:val="center"/>
          </w:tcPr>
          <w:p w14:paraId="0D8F3E33" w14:textId="77777777" w:rsidR="0076357A" w:rsidRPr="00AA4C18" w:rsidRDefault="0076357A" w:rsidP="0076357A">
            <w:pPr>
              <w:jc w:val="right"/>
              <w:rPr>
                <w:b/>
                <w:bCs/>
                <w:iCs/>
              </w:rPr>
            </w:pPr>
          </w:p>
        </w:tc>
        <w:tc>
          <w:tcPr>
            <w:tcW w:w="1227" w:type="dxa"/>
            <w:noWrap/>
            <w:vAlign w:val="center"/>
          </w:tcPr>
          <w:p w14:paraId="4B51E7E5" w14:textId="77777777" w:rsidR="0076357A" w:rsidRPr="00AA4C18" w:rsidRDefault="0076357A" w:rsidP="0076357A">
            <w:pPr>
              <w:jc w:val="right"/>
              <w:rPr>
                <w:b/>
                <w:bCs/>
                <w:iCs/>
              </w:rPr>
            </w:pPr>
          </w:p>
        </w:tc>
      </w:tr>
      <w:tr w:rsidR="0076357A" w:rsidRPr="00AA4C18" w14:paraId="1705463B" w14:textId="77777777" w:rsidTr="0076357A">
        <w:trPr>
          <w:trHeight w:val="125"/>
          <w:jc w:val="center"/>
        </w:trPr>
        <w:tc>
          <w:tcPr>
            <w:tcW w:w="4661" w:type="dxa"/>
            <w:noWrap/>
            <w:vAlign w:val="center"/>
          </w:tcPr>
          <w:p w14:paraId="6E103239"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7E63B462" w14:textId="77777777" w:rsidR="0076357A" w:rsidRPr="00AA4C18" w:rsidRDefault="0076357A" w:rsidP="0076357A">
            <w:pPr>
              <w:jc w:val="right"/>
              <w:rPr>
                <w:b/>
                <w:bCs/>
                <w:iCs/>
              </w:rPr>
            </w:pPr>
            <w:r w:rsidRPr="00AA4C18">
              <w:rPr>
                <w:b/>
                <w:bCs/>
                <w:iCs/>
              </w:rPr>
              <w:t>0</w:t>
            </w:r>
          </w:p>
        </w:tc>
        <w:tc>
          <w:tcPr>
            <w:tcW w:w="1347" w:type="dxa"/>
            <w:noWrap/>
            <w:vAlign w:val="center"/>
          </w:tcPr>
          <w:p w14:paraId="520C0139" w14:textId="77777777" w:rsidR="0076357A" w:rsidRPr="00AA4C18" w:rsidRDefault="0076357A" w:rsidP="0076357A">
            <w:pPr>
              <w:jc w:val="right"/>
              <w:rPr>
                <w:b/>
                <w:bCs/>
                <w:iCs/>
              </w:rPr>
            </w:pPr>
            <w:r w:rsidRPr="00AA4C18">
              <w:rPr>
                <w:b/>
                <w:bCs/>
                <w:iCs/>
              </w:rPr>
              <w:t>0</w:t>
            </w:r>
          </w:p>
        </w:tc>
        <w:tc>
          <w:tcPr>
            <w:tcW w:w="1325" w:type="dxa"/>
            <w:noWrap/>
            <w:vAlign w:val="center"/>
          </w:tcPr>
          <w:p w14:paraId="3197B7A8" w14:textId="77777777" w:rsidR="0076357A" w:rsidRPr="00AA4C18" w:rsidRDefault="0076357A" w:rsidP="0076357A">
            <w:pPr>
              <w:jc w:val="right"/>
              <w:rPr>
                <w:b/>
                <w:bCs/>
                <w:iCs/>
              </w:rPr>
            </w:pPr>
          </w:p>
        </w:tc>
        <w:tc>
          <w:tcPr>
            <w:tcW w:w="1227" w:type="dxa"/>
            <w:noWrap/>
            <w:vAlign w:val="center"/>
          </w:tcPr>
          <w:p w14:paraId="246D7A9B" w14:textId="77777777" w:rsidR="0076357A" w:rsidRPr="00AA4C18" w:rsidRDefault="0076357A" w:rsidP="0076357A">
            <w:pPr>
              <w:jc w:val="right"/>
              <w:rPr>
                <w:b/>
                <w:bCs/>
                <w:iCs/>
              </w:rPr>
            </w:pPr>
          </w:p>
        </w:tc>
      </w:tr>
      <w:tr w:rsidR="0076357A" w:rsidRPr="00AA4C18" w14:paraId="5792001A" w14:textId="77777777" w:rsidTr="0076357A">
        <w:trPr>
          <w:trHeight w:val="70"/>
          <w:jc w:val="center"/>
        </w:trPr>
        <w:tc>
          <w:tcPr>
            <w:tcW w:w="4661" w:type="dxa"/>
            <w:noWrap/>
            <w:vAlign w:val="center"/>
          </w:tcPr>
          <w:p w14:paraId="40640892" w14:textId="77777777" w:rsidR="0076357A" w:rsidRPr="00AA4C18" w:rsidRDefault="0076357A" w:rsidP="0076357A">
            <w:pPr>
              <w:rPr>
                <w:b/>
                <w:bCs/>
              </w:rPr>
            </w:pPr>
            <w:r w:rsidRPr="00AA4C18">
              <w:rPr>
                <w:b/>
                <w:bCs/>
                <w:i/>
                <w:iCs/>
              </w:rPr>
              <w:t>- vplyv na ostatné subjekty verejnej správy</w:t>
            </w:r>
          </w:p>
        </w:tc>
        <w:tc>
          <w:tcPr>
            <w:tcW w:w="1267" w:type="dxa"/>
            <w:noWrap/>
            <w:vAlign w:val="center"/>
          </w:tcPr>
          <w:p w14:paraId="58A99949" w14:textId="77777777" w:rsidR="0076357A" w:rsidRPr="00AA4C18" w:rsidRDefault="0076357A" w:rsidP="0076357A">
            <w:pPr>
              <w:jc w:val="right"/>
              <w:rPr>
                <w:b/>
                <w:bCs/>
                <w:iCs/>
              </w:rPr>
            </w:pPr>
            <w:r w:rsidRPr="00AA4C18">
              <w:rPr>
                <w:b/>
                <w:bCs/>
                <w:iCs/>
              </w:rPr>
              <w:t>0</w:t>
            </w:r>
          </w:p>
        </w:tc>
        <w:tc>
          <w:tcPr>
            <w:tcW w:w="1347" w:type="dxa"/>
            <w:noWrap/>
            <w:vAlign w:val="center"/>
          </w:tcPr>
          <w:p w14:paraId="7D6A73F6" w14:textId="77777777" w:rsidR="0076357A" w:rsidRPr="00AA4C18" w:rsidRDefault="0076357A" w:rsidP="0076357A">
            <w:pPr>
              <w:jc w:val="right"/>
              <w:rPr>
                <w:b/>
                <w:bCs/>
                <w:iCs/>
              </w:rPr>
            </w:pPr>
            <w:r w:rsidRPr="00AA4C18">
              <w:rPr>
                <w:b/>
                <w:bCs/>
                <w:iCs/>
              </w:rPr>
              <w:t>0</w:t>
            </w:r>
          </w:p>
        </w:tc>
        <w:tc>
          <w:tcPr>
            <w:tcW w:w="1325" w:type="dxa"/>
            <w:noWrap/>
            <w:vAlign w:val="center"/>
          </w:tcPr>
          <w:p w14:paraId="77EF9A87" w14:textId="77777777" w:rsidR="0076357A" w:rsidRPr="00AA4C18" w:rsidRDefault="0076357A" w:rsidP="0076357A">
            <w:pPr>
              <w:jc w:val="right"/>
              <w:rPr>
                <w:b/>
                <w:bCs/>
                <w:iCs/>
              </w:rPr>
            </w:pPr>
          </w:p>
        </w:tc>
        <w:tc>
          <w:tcPr>
            <w:tcW w:w="1227" w:type="dxa"/>
            <w:noWrap/>
            <w:vAlign w:val="center"/>
          </w:tcPr>
          <w:p w14:paraId="3E08181E" w14:textId="77777777" w:rsidR="0076357A" w:rsidRPr="00AA4C18" w:rsidRDefault="0076357A" w:rsidP="0076357A">
            <w:pPr>
              <w:jc w:val="right"/>
              <w:rPr>
                <w:b/>
                <w:bCs/>
                <w:iCs/>
              </w:rPr>
            </w:pPr>
          </w:p>
        </w:tc>
      </w:tr>
      <w:tr w:rsidR="0076357A" w:rsidRPr="00AA4C18" w14:paraId="55724C10" w14:textId="77777777" w:rsidTr="0076357A">
        <w:trPr>
          <w:trHeight w:val="70"/>
          <w:jc w:val="center"/>
        </w:trPr>
        <w:tc>
          <w:tcPr>
            <w:tcW w:w="4661" w:type="dxa"/>
            <w:shd w:val="clear" w:color="auto" w:fill="BFBFBF" w:themeFill="background1" w:themeFillShade="BF"/>
            <w:noWrap/>
            <w:vAlign w:val="center"/>
          </w:tcPr>
          <w:p w14:paraId="171AD10C" w14:textId="77777777" w:rsidR="0076357A" w:rsidRPr="00AA4C18" w:rsidRDefault="0076357A" w:rsidP="0076357A">
            <w:pPr>
              <w:rPr>
                <w:b/>
                <w:bCs/>
              </w:rPr>
            </w:pPr>
            <w:r w:rsidRPr="00AA4C18">
              <w:rPr>
                <w:b/>
                <w:bCs/>
              </w:rPr>
              <w:t xml:space="preserve">Vplyv na počet zamestnancov </w:t>
            </w:r>
          </w:p>
        </w:tc>
        <w:tc>
          <w:tcPr>
            <w:tcW w:w="1267" w:type="dxa"/>
            <w:shd w:val="clear" w:color="auto" w:fill="BFBFBF" w:themeFill="background1" w:themeFillShade="BF"/>
            <w:noWrap/>
            <w:vAlign w:val="center"/>
          </w:tcPr>
          <w:p w14:paraId="7AD2668A" w14:textId="77777777" w:rsidR="0076357A" w:rsidRPr="00AA4C18" w:rsidRDefault="0076357A" w:rsidP="0076357A">
            <w:pPr>
              <w:jc w:val="right"/>
              <w:rPr>
                <w:b/>
                <w:bCs/>
              </w:rPr>
            </w:pPr>
            <w:r w:rsidRPr="00AA4C18">
              <w:rPr>
                <w:b/>
                <w:bCs/>
              </w:rPr>
              <w:t>19</w:t>
            </w:r>
          </w:p>
        </w:tc>
        <w:tc>
          <w:tcPr>
            <w:tcW w:w="1347" w:type="dxa"/>
            <w:shd w:val="clear" w:color="auto" w:fill="BFBFBF" w:themeFill="background1" w:themeFillShade="BF"/>
            <w:noWrap/>
            <w:vAlign w:val="center"/>
          </w:tcPr>
          <w:p w14:paraId="74B4AA46" w14:textId="77777777" w:rsidR="0076357A" w:rsidRPr="00AA4C18" w:rsidRDefault="0076357A" w:rsidP="0076357A">
            <w:pPr>
              <w:jc w:val="right"/>
              <w:rPr>
                <w:b/>
                <w:bCs/>
              </w:rPr>
            </w:pPr>
            <w:r w:rsidRPr="00AA4C18">
              <w:rPr>
                <w:b/>
                <w:bCs/>
              </w:rPr>
              <w:t>17</w:t>
            </w:r>
          </w:p>
        </w:tc>
        <w:tc>
          <w:tcPr>
            <w:tcW w:w="1325" w:type="dxa"/>
            <w:shd w:val="clear" w:color="auto" w:fill="BFBFBF" w:themeFill="background1" w:themeFillShade="BF"/>
            <w:noWrap/>
            <w:vAlign w:val="center"/>
          </w:tcPr>
          <w:p w14:paraId="51F5403B" w14:textId="77777777" w:rsidR="0076357A" w:rsidRPr="00AA4C18" w:rsidRDefault="0076357A" w:rsidP="0076357A">
            <w:pPr>
              <w:jc w:val="right"/>
              <w:rPr>
                <w:b/>
                <w:bCs/>
              </w:rPr>
            </w:pPr>
          </w:p>
        </w:tc>
        <w:tc>
          <w:tcPr>
            <w:tcW w:w="1227" w:type="dxa"/>
            <w:shd w:val="clear" w:color="auto" w:fill="BFBFBF" w:themeFill="background1" w:themeFillShade="BF"/>
            <w:noWrap/>
            <w:vAlign w:val="center"/>
          </w:tcPr>
          <w:p w14:paraId="48ADFA90" w14:textId="77777777" w:rsidR="0076357A" w:rsidRPr="00AA4C18" w:rsidRDefault="0076357A" w:rsidP="0076357A">
            <w:pPr>
              <w:jc w:val="right"/>
              <w:rPr>
                <w:b/>
                <w:bCs/>
              </w:rPr>
            </w:pPr>
          </w:p>
        </w:tc>
      </w:tr>
      <w:tr w:rsidR="0076357A" w:rsidRPr="00AA4C18" w14:paraId="3241549D" w14:textId="77777777" w:rsidTr="0076357A">
        <w:trPr>
          <w:trHeight w:val="70"/>
          <w:jc w:val="center"/>
        </w:trPr>
        <w:tc>
          <w:tcPr>
            <w:tcW w:w="4661" w:type="dxa"/>
            <w:noWrap/>
            <w:vAlign w:val="center"/>
          </w:tcPr>
          <w:p w14:paraId="1CDCF548" w14:textId="77777777" w:rsidR="0076357A" w:rsidRPr="00AA4C18" w:rsidRDefault="0076357A" w:rsidP="0076357A">
            <w:pPr>
              <w:rPr>
                <w:b/>
                <w:bCs/>
                <w:i/>
                <w:iCs/>
              </w:rPr>
            </w:pPr>
            <w:r w:rsidRPr="00AA4C18">
              <w:rPr>
                <w:b/>
                <w:bCs/>
                <w:i/>
                <w:iCs/>
              </w:rPr>
              <w:t xml:space="preserve">- vplyv na ŠR – </w:t>
            </w:r>
            <w:r w:rsidRPr="00AA4C18">
              <w:rPr>
                <w:bCs/>
                <w:iCs/>
              </w:rPr>
              <w:t>Štatistický úrad SR</w:t>
            </w:r>
          </w:p>
        </w:tc>
        <w:tc>
          <w:tcPr>
            <w:tcW w:w="1267" w:type="dxa"/>
            <w:noWrap/>
            <w:vAlign w:val="center"/>
          </w:tcPr>
          <w:p w14:paraId="63BA7B1C" w14:textId="77777777" w:rsidR="0076357A" w:rsidRPr="00AA4C18" w:rsidRDefault="0076357A" w:rsidP="0076357A">
            <w:pPr>
              <w:jc w:val="right"/>
              <w:rPr>
                <w:b/>
                <w:bCs/>
                <w:iCs/>
              </w:rPr>
            </w:pPr>
            <w:r w:rsidRPr="00AA4C18">
              <w:rPr>
                <w:b/>
                <w:bCs/>
                <w:iCs/>
              </w:rPr>
              <w:t>19</w:t>
            </w:r>
          </w:p>
        </w:tc>
        <w:tc>
          <w:tcPr>
            <w:tcW w:w="1347" w:type="dxa"/>
            <w:noWrap/>
            <w:vAlign w:val="center"/>
          </w:tcPr>
          <w:p w14:paraId="0411C49B" w14:textId="77777777" w:rsidR="0076357A" w:rsidRPr="00AA4C18" w:rsidRDefault="0076357A" w:rsidP="0076357A">
            <w:pPr>
              <w:jc w:val="right"/>
              <w:rPr>
                <w:b/>
                <w:bCs/>
                <w:iCs/>
              </w:rPr>
            </w:pPr>
            <w:r w:rsidRPr="00AA4C18">
              <w:rPr>
                <w:b/>
                <w:bCs/>
                <w:iCs/>
              </w:rPr>
              <w:t>17</w:t>
            </w:r>
          </w:p>
        </w:tc>
        <w:tc>
          <w:tcPr>
            <w:tcW w:w="1325" w:type="dxa"/>
            <w:noWrap/>
            <w:vAlign w:val="center"/>
          </w:tcPr>
          <w:p w14:paraId="38B02335" w14:textId="77777777" w:rsidR="0076357A" w:rsidRPr="00AA4C18" w:rsidRDefault="0076357A" w:rsidP="0076357A">
            <w:pPr>
              <w:jc w:val="right"/>
              <w:rPr>
                <w:b/>
                <w:bCs/>
                <w:iCs/>
              </w:rPr>
            </w:pPr>
          </w:p>
        </w:tc>
        <w:tc>
          <w:tcPr>
            <w:tcW w:w="1227" w:type="dxa"/>
            <w:noWrap/>
            <w:vAlign w:val="center"/>
          </w:tcPr>
          <w:p w14:paraId="58438B3C" w14:textId="77777777" w:rsidR="0076357A" w:rsidRPr="00AA4C18" w:rsidRDefault="0076357A" w:rsidP="0076357A">
            <w:pPr>
              <w:jc w:val="right"/>
              <w:rPr>
                <w:b/>
                <w:bCs/>
                <w:iCs/>
              </w:rPr>
            </w:pPr>
          </w:p>
        </w:tc>
      </w:tr>
      <w:tr w:rsidR="0076357A" w:rsidRPr="00AA4C18" w14:paraId="1617A9FF" w14:textId="77777777" w:rsidTr="0076357A">
        <w:trPr>
          <w:trHeight w:val="70"/>
          <w:jc w:val="center"/>
        </w:trPr>
        <w:tc>
          <w:tcPr>
            <w:tcW w:w="4661" w:type="dxa"/>
            <w:noWrap/>
            <w:vAlign w:val="center"/>
          </w:tcPr>
          <w:p w14:paraId="0F57E062" w14:textId="77777777" w:rsidR="0076357A" w:rsidRPr="00AA4C18" w:rsidRDefault="0076357A" w:rsidP="0076357A">
            <w:pPr>
              <w:rPr>
                <w:b/>
                <w:bCs/>
                <w:i/>
                <w:iCs/>
              </w:rPr>
            </w:pPr>
            <w:r w:rsidRPr="00AA4C18">
              <w:rPr>
                <w:b/>
                <w:bCs/>
                <w:i/>
                <w:iCs/>
              </w:rPr>
              <w:t>- vplyv na obce</w:t>
            </w:r>
          </w:p>
        </w:tc>
        <w:tc>
          <w:tcPr>
            <w:tcW w:w="1267" w:type="dxa"/>
            <w:noWrap/>
            <w:vAlign w:val="center"/>
          </w:tcPr>
          <w:p w14:paraId="3947BECF" w14:textId="77777777" w:rsidR="0076357A" w:rsidRPr="00AA4C18" w:rsidRDefault="0076357A" w:rsidP="0076357A">
            <w:pPr>
              <w:jc w:val="right"/>
              <w:rPr>
                <w:b/>
                <w:bCs/>
                <w:iCs/>
              </w:rPr>
            </w:pPr>
            <w:r w:rsidRPr="00AA4C18">
              <w:rPr>
                <w:b/>
                <w:bCs/>
                <w:iCs/>
              </w:rPr>
              <w:t>0</w:t>
            </w:r>
          </w:p>
        </w:tc>
        <w:tc>
          <w:tcPr>
            <w:tcW w:w="1347" w:type="dxa"/>
            <w:noWrap/>
            <w:vAlign w:val="center"/>
          </w:tcPr>
          <w:p w14:paraId="106FCF50" w14:textId="77777777" w:rsidR="0076357A" w:rsidRPr="00AA4C18" w:rsidRDefault="0076357A" w:rsidP="0076357A">
            <w:pPr>
              <w:jc w:val="right"/>
              <w:rPr>
                <w:b/>
                <w:bCs/>
                <w:iCs/>
              </w:rPr>
            </w:pPr>
            <w:r w:rsidRPr="00AA4C18">
              <w:rPr>
                <w:b/>
                <w:bCs/>
                <w:iCs/>
              </w:rPr>
              <w:t>0</w:t>
            </w:r>
          </w:p>
        </w:tc>
        <w:tc>
          <w:tcPr>
            <w:tcW w:w="1325" w:type="dxa"/>
            <w:noWrap/>
            <w:vAlign w:val="center"/>
          </w:tcPr>
          <w:p w14:paraId="2C70E7D0" w14:textId="77777777" w:rsidR="0076357A" w:rsidRPr="00AA4C18" w:rsidRDefault="0076357A" w:rsidP="0076357A">
            <w:pPr>
              <w:jc w:val="right"/>
              <w:rPr>
                <w:b/>
                <w:bCs/>
                <w:iCs/>
              </w:rPr>
            </w:pPr>
          </w:p>
        </w:tc>
        <w:tc>
          <w:tcPr>
            <w:tcW w:w="1227" w:type="dxa"/>
            <w:noWrap/>
            <w:vAlign w:val="center"/>
          </w:tcPr>
          <w:p w14:paraId="0279CF70" w14:textId="77777777" w:rsidR="0076357A" w:rsidRPr="00AA4C18" w:rsidRDefault="0076357A" w:rsidP="0076357A">
            <w:pPr>
              <w:jc w:val="right"/>
              <w:rPr>
                <w:b/>
                <w:bCs/>
                <w:iCs/>
              </w:rPr>
            </w:pPr>
          </w:p>
        </w:tc>
      </w:tr>
      <w:tr w:rsidR="0076357A" w:rsidRPr="00AA4C18" w14:paraId="2E1E92C1" w14:textId="77777777" w:rsidTr="0076357A">
        <w:trPr>
          <w:trHeight w:val="70"/>
          <w:jc w:val="center"/>
        </w:trPr>
        <w:tc>
          <w:tcPr>
            <w:tcW w:w="4661" w:type="dxa"/>
            <w:noWrap/>
            <w:vAlign w:val="center"/>
          </w:tcPr>
          <w:p w14:paraId="24E158DC" w14:textId="77777777" w:rsidR="0076357A" w:rsidRPr="00AA4C18" w:rsidRDefault="0076357A" w:rsidP="0076357A">
            <w:pPr>
              <w:rPr>
                <w:b/>
                <w:bCs/>
                <w:i/>
                <w:iCs/>
              </w:rPr>
            </w:pPr>
            <w:r w:rsidRPr="00AA4C18">
              <w:rPr>
                <w:b/>
                <w:bCs/>
                <w:i/>
                <w:iCs/>
              </w:rPr>
              <w:lastRenderedPageBreak/>
              <w:t>- vplyv na vyššie územné celky</w:t>
            </w:r>
          </w:p>
        </w:tc>
        <w:tc>
          <w:tcPr>
            <w:tcW w:w="1267" w:type="dxa"/>
            <w:noWrap/>
            <w:vAlign w:val="center"/>
          </w:tcPr>
          <w:p w14:paraId="741AA365" w14:textId="77777777" w:rsidR="0076357A" w:rsidRPr="00AA4C18" w:rsidRDefault="0076357A" w:rsidP="0076357A">
            <w:pPr>
              <w:jc w:val="right"/>
              <w:rPr>
                <w:b/>
                <w:bCs/>
                <w:iCs/>
              </w:rPr>
            </w:pPr>
            <w:r w:rsidRPr="00AA4C18">
              <w:rPr>
                <w:b/>
                <w:bCs/>
                <w:iCs/>
              </w:rPr>
              <w:t>0</w:t>
            </w:r>
          </w:p>
        </w:tc>
        <w:tc>
          <w:tcPr>
            <w:tcW w:w="1347" w:type="dxa"/>
            <w:noWrap/>
            <w:vAlign w:val="center"/>
          </w:tcPr>
          <w:p w14:paraId="3CFB51BA" w14:textId="77777777" w:rsidR="0076357A" w:rsidRPr="00AA4C18" w:rsidRDefault="0076357A" w:rsidP="0076357A">
            <w:pPr>
              <w:jc w:val="right"/>
              <w:rPr>
                <w:b/>
                <w:bCs/>
                <w:iCs/>
              </w:rPr>
            </w:pPr>
            <w:r w:rsidRPr="00AA4C18">
              <w:rPr>
                <w:b/>
                <w:bCs/>
                <w:iCs/>
              </w:rPr>
              <w:t>0</w:t>
            </w:r>
          </w:p>
        </w:tc>
        <w:tc>
          <w:tcPr>
            <w:tcW w:w="1325" w:type="dxa"/>
            <w:noWrap/>
            <w:vAlign w:val="center"/>
          </w:tcPr>
          <w:p w14:paraId="107B261D" w14:textId="77777777" w:rsidR="0076357A" w:rsidRPr="00AA4C18" w:rsidRDefault="0076357A" w:rsidP="0076357A">
            <w:pPr>
              <w:jc w:val="right"/>
              <w:rPr>
                <w:b/>
                <w:bCs/>
                <w:iCs/>
              </w:rPr>
            </w:pPr>
          </w:p>
        </w:tc>
        <w:tc>
          <w:tcPr>
            <w:tcW w:w="1227" w:type="dxa"/>
            <w:noWrap/>
            <w:vAlign w:val="center"/>
          </w:tcPr>
          <w:p w14:paraId="5F71DC55" w14:textId="77777777" w:rsidR="0076357A" w:rsidRPr="00AA4C18" w:rsidRDefault="0076357A" w:rsidP="0076357A">
            <w:pPr>
              <w:jc w:val="right"/>
              <w:rPr>
                <w:b/>
                <w:bCs/>
                <w:iCs/>
              </w:rPr>
            </w:pPr>
          </w:p>
        </w:tc>
      </w:tr>
      <w:tr w:rsidR="0076357A" w:rsidRPr="00AA4C18" w14:paraId="63F3ED44" w14:textId="77777777" w:rsidTr="0076357A">
        <w:trPr>
          <w:trHeight w:val="70"/>
          <w:jc w:val="center"/>
        </w:trPr>
        <w:tc>
          <w:tcPr>
            <w:tcW w:w="4661" w:type="dxa"/>
            <w:noWrap/>
            <w:vAlign w:val="center"/>
          </w:tcPr>
          <w:p w14:paraId="65F0C2D6" w14:textId="77777777" w:rsidR="0076357A" w:rsidRPr="00AA4C18" w:rsidRDefault="0076357A" w:rsidP="0076357A">
            <w:pPr>
              <w:rPr>
                <w:b/>
                <w:bCs/>
                <w:i/>
                <w:iCs/>
              </w:rPr>
            </w:pPr>
            <w:r w:rsidRPr="00AA4C18">
              <w:rPr>
                <w:b/>
                <w:bCs/>
                <w:i/>
                <w:iCs/>
              </w:rPr>
              <w:t>- vplyv na ostatné subjekty verejnej správy</w:t>
            </w:r>
          </w:p>
        </w:tc>
        <w:tc>
          <w:tcPr>
            <w:tcW w:w="1267" w:type="dxa"/>
            <w:noWrap/>
            <w:vAlign w:val="center"/>
          </w:tcPr>
          <w:p w14:paraId="606F8BF1" w14:textId="77777777" w:rsidR="0076357A" w:rsidRPr="00AA4C18" w:rsidRDefault="0076357A" w:rsidP="0076357A">
            <w:pPr>
              <w:jc w:val="right"/>
              <w:rPr>
                <w:b/>
                <w:bCs/>
                <w:iCs/>
              </w:rPr>
            </w:pPr>
            <w:r w:rsidRPr="00AA4C18">
              <w:rPr>
                <w:b/>
                <w:bCs/>
                <w:iCs/>
              </w:rPr>
              <w:t>0</w:t>
            </w:r>
          </w:p>
        </w:tc>
        <w:tc>
          <w:tcPr>
            <w:tcW w:w="1347" w:type="dxa"/>
            <w:noWrap/>
            <w:vAlign w:val="center"/>
          </w:tcPr>
          <w:p w14:paraId="32589496" w14:textId="77777777" w:rsidR="0076357A" w:rsidRPr="00AA4C18" w:rsidRDefault="0076357A" w:rsidP="0076357A">
            <w:pPr>
              <w:jc w:val="right"/>
              <w:rPr>
                <w:b/>
                <w:bCs/>
                <w:iCs/>
              </w:rPr>
            </w:pPr>
            <w:r w:rsidRPr="00AA4C18">
              <w:rPr>
                <w:b/>
                <w:bCs/>
                <w:iCs/>
              </w:rPr>
              <w:t>0</w:t>
            </w:r>
          </w:p>
        </w:tc>
        <w:tc>
          <w:tcPr>
            <w:tcW w:w="1325" w:type="dxa"/>
            <w:noWrap/>
            <w:vAlign w:val="center"/>
          </w:tcPr>
          <w:p w14:paraId="0B4917E3" w14:textId="77777777" w:rsidR="0076357A" w:rsidRPr="00AA4C18" w:rsidRDefault="0076357A" w:rsidP="0076357A">
            <w:pPr>
              <w:jc w:val="right"/>
              <w:rPr>
                <w:b/>
                <w:bCs/>
                <w:iCs/>
              </w:rPr>
            </w:pPr>
          </w:p>
        </w:tc>
        <w:tc>
          <w:tcPr>
            <w:tcW w:w="1227" w:type="dxa"/>
            <w:noWrap/>
            <w:vAlign w:val="center"/>
          </w:tcPr>
          <w:p w14:paraId="0E260754" w14:textId="77777777" w:rsidR="0076357A" w:rsidRPr="00AA4C18" w:rsidRDefault="0076357A" w:rsidP="0076357A">
            <w:pPr>
              <w:jc w:val="right"/>
              <w:rPr>
                <w:b/>
                <w:bCs/>
                <w:iCs/>
              </w:rPr>
            </w:pPr>
          </w:p>
        </w:tc>
      </w:tr>
      <w:tr w:rsidR="0076357A" w:rsidRPr="00AA4C18" w14:paraId="61EA6718" w14:textId="77777777" w:rsidTr="0076357A">
        <w:trPr>
          <w:trHeight w:val="70"/>
          <w:jc w:val="center"/>
        </w:trPr>
        <w:tc>
          <w:tcPr>
            <w:tcW w:w="4661" w:type="dxa"/>
            <w:shd w:val="clear" w:color="auto" w:fill="BFBFBF" w:themeFill="background1" w:themeFillShade="BF"/>
            <w:noWrap/>
            <w:vAlign w:val="center"/>
          </w:tcPr>
          <w:p w14:paraId="1FE23C0C" w14:textId="77777777" w:rsidR="0076357A" w:rsidRPr="00AA4C18" w:rsidRDefault="0076357A" w:rsidP="0076357A">
            <w:pPr>
              <w:rPr>
                <w:b/>
              </w:rPr>
            </w:pPr>
            <w:r w:rsidRPr="00AA4C18">
              <w:rPr>
                <w:b/>
              </w:rPr>
              <w:t>Vplyv na mzdové výdavky</w:t>
            </w:r>
          </w:p>
        </w:tc>
        <w:tc>
          <w:tcPr>
            <w:tcW w:w="1267" w:type="dxa"/>
            <w:shd w:val="clear" w:color="auto" w:fill="BFBFBF" w:themeFill="background1" w:themeFillShade="BF"/>
            <w:noWrap/>
            <w:vAlign w:val="center"/>
          </w:tcPr>
          <w:p w14:paraId="452652E1" w14:textId="77777777" w:rsidR="0076357A" w:rsidRPr="00AA4C18" w:rsidRDefault="0076357A" w:rsidP="0076357A">
            <w:pPr>
              <w:jc w:val="right"/>
              <w:rPr>
                <w:b/>
              </w:rPr>
            </w:pPr>
            <w:r w:rsidRPr="00AA4C18">
              <w:rPr>
                <w:b/>
              </w:rPr>
              <w:t>456 541</w:t>
            </w:r>
          </w:p>
        </w:tc>
        <w:tc>
          <w:tcPr>
            <w:tcW w:w="1347" w:type="dxa"/>
            <w:shd w:val="clear" w:color="auto" w:fill="BFBFBF" w:themeFill="background1" w:themeFillShade="BF"/>
            <w:noWrap/>
            <w:vAlign w:val="center"/>
          </w:tcPr>
          <w:p w14:paraId="6A465641" w14:textId="77777777" w:rsidR="0076357A" w:rsidRPr="00AA4C18" w:rsidRDefault="0076357A" w:rsidP="0076357A">
            <w:pPr>
              <w:jc w:val="right"/>
              <w:rPr>
                <w:b/>
              </w:rPr>
            </w:pPr>
            <w:r w:rsidRPr="00AA4C18">
              <w:rPr>
                <w:b/>
              </w:rPr>
              <w:t>417 994</w:t>
            </w:r>
          </w:p>
        </w:tc>
        <w:tc>
          <w:tcPr>
            <w:tcW w:w="1325" w:type="dxa"/>
            <w:shd w:val="clear" w:color="auto" w:fill="BFBFBF" w:themeFill="background1" w:themeFillShade="BF"/>
            <w:noWrap/>
            <w:vAlign w:val="center"/>
          </w:tcPr>
          <w:p w14:paraId="2767F79F" w14:textId="77777777" w:rsidR="0076357A" w:rsidRPr="00AA4C18" w:rsidRDefault="0076357A" w:rsidP="0076357A">
            <w:pPr>
              <w:jc w:val="right"/>
              <w:rPr>
                <w:b/>
              </w:rPr>
            </w:pPr>
          </w:p>
        </w:tc>
        <w:tc>
          <w:tcPr>
            <w:tcW w:w="1227" w:type="dxa"/>
            <w:shd w:val="clear" w:color="auto" w:fill="BFBFBF" w:themeFill="background1" w:themeFillShade="BF"/>
            <w:noWrap/>
            <w:vAlign w:val="center"/>
          </w:tcPr>
          <w:p w14:paraId="5A9359D7" w14:textId="77777777" w:rsidR="0076357A" w:rsidRPr="00AA4C18" w:rsidRDefault="0076357A" w:rsidP="0076357A">
            <w:pPr>
              <w:jc w:val="right"/>
              <w:rPr>
                <w:b/>
              </w:rPr>
            </w:pPr>
          </w:p>
        </w:tc>
      </w:tr>
      <w:tr w:rsidR="0076357A" w:rsidRPr="00AA4C18" w14:paraId="7C8B8676" w14:textId="77777777" w:rsidTr="0076357A">
        <w:trPr>
          <w:trHeight w:val="70"/>
          <w:jc w:val="center"/>
        </w:trPr>
        <w:tc>
          <w:tcPr>
            <w:tcW w:w="4661" w:type="dxa"/>
            <w:noWrap/>
            <w:vAlign w:val="center"/>
          </w:tcPr>
          <w:p w14:paraId="7881E353" w14:textId="77777777" w:rsidR="0076357A" w:rsidRPr="00AA4C18" w:rsidRDefault="0076357A" w:rsidP="0076357A">
            <w:pPr>
              <w:rPr>
                <w:b/>
                <w:bCs/>
                <w:i/>
                <w:iCs/>
              </w:rPr>
            </w:pPr>
            <w:r w:rsidRPr="00AA4C18">
              <w:rPr>
                <w:b/>
                <w:bCs/>
                <w:i/>
                <w:iCs/>
              </w:rPr>
              <w:t xml:space="preserve">- vplyv na ŠR – </w:t>
            </w:r>
            <w:r w:rsidRPr="00AA4C18">
              <w:rPr>
                <w:bCs/>
                <w:iCs/>
              </w:rPr>
              <w:t>Štatistický úrad SR</w:t>
            </w:r>
          </w:p>
        </w:tc>
        <w:tc>
          <w:tcPr>
            <w:tcW w:w="1267" w:type="dxa"/>
            <w:noWrap/>
            <w:vAlign w:val="center"/>
          </w:tcPr>
          <w:p w14:paraId="29FADEAA" w14:textId="77777777" w:rsidR="0076357A" w:rsidRPr="00AA4C18" w:rsidRDefault="0076357A" w:rsidP="0076357A">
            <w:pPr>
              <w:jc w:val="right"/>
              <w:rPr>
                <w:b/>
                <w:bCs/>
                <w:iCs/>
              </w:rPr>
            </w:pPr>
            <w:r w:rsidRPr="00AA4C18">
              <w:rPr>
                <w:b/>
                <w:bCs/>
                <w:iCs/>
              </w:rPr>
              <w:t>456 541</w:t>
            </w:r>
          </w:p>
        </w:tc>
        <w:tc>
          <w:tcPr>
            <w:tcW w:w="1347" w:type="dxa"/>
            <w:noWrap/>
            <w:vAlign w:val="center"/>
          </w:tcPr>
          <w:p w14:paraId="183CEECF" w14:textId="77777777" w:rsidR="0076357A" w:rsidRPr="00AA4C18" w:rsidRDefault="0076357A" w:rsidP="0076357A">
            <w:pPr>
              <w:jc w:val="right"/>
              <w:rPr>
                <w:b/>
                <w:bCs/>
                <w:iCs/>
              </w:rPr>
            </w:pPr>
            <w:r w:rsidRPr="00AA4C18">
              <w:rPr>
                <w:b/>
                <w:bCs/>
                <w:iCs/>
              </w:rPr>
              <w:t>417 994</w:t>
            </w:r>
          </w:p>
        </w:tc>
        <w:tc>
          <w:tcPr>
            <w:tcW w:w="1325" w:type="dxa"/>
            <w:noWrap/>
            <w:vAlign w:val="center"/>
          </w:tcPr>
          <w:p w14:paraId="74A246E0" w14:textId="77777777" w:rsidR="0076357A" w:rsidRPr="00AA4C18" w:rsidRDefault="0076357A" w:rsidP="0076357A">
            <w:pPr>
              <w:jc w:val="right"/>
              <w:rPr>
                <w:b/>
                <w:bCs/>
                <w:iCs/>
              </w:rPr>
            </w:pPr>
          </w:p>
        </w:tc>
        <w:tc>
          <w:tcPr>
            <w:tcW w:w="1227" w:type="dxa"/>
            <w:noWrap/>
            <w:vAlign w:val="center"/>
          </w:tcPr>
          <w:p w14:paraId="1085EAC0" w14:textId="77777777" w:rsidR="0076357A" w:rsidRPr="00AA4C18" w:rsidRDefault="0076357A" w:rsidP="0076357A">
            <w:pPr>
              <w:jc w:val="right"/>
              <w:rPr>
                <w:b/>
                <w:bCs/>
                <w:iCs/>
              </w:rPr>
            </w:pPr>
          </w:p>
        </w:tc>
      </w:tr>
      <w:tr w:rsidR="0076357A" w:rsidRPr="00AA4C18" w14:paraId="04DEA7F4" w14:textId="77777777" w:rsidTr="0076357A">
        <w:trPr>
          <w:trHeight w:val="70"/>
          <w:jc w:val="center"/>
        </w:trPr>
        <w:tc>
          <w:tcPr>
            <w:tcW w:w="4661" w:type="dxa"/>
            <w:noWrap/>
            <w:vAlign w:val="center"/>
          </w:tcPr>
          <w:p w14:paraId="0FB25E59" w14:textId="77777777" w:rsidR="0076357A" w:rsidRPr="00AA4C18" w:rsidRDefault="0076357A" w:rsidP="0076357A">
            <w:pPr>
              <w:rPr>
                <w:b/>
                <w:bCs/>
                <w:i/>
                <w:iCs/>
              </w:rPr>
            </w:pPr>
            <w:r w:rsidRPr="00AA4C18">
              <w:rPr>
                <w:b/>
                <w:bCs/>
                <w:i/>
                <w:iCs/>
              </w:rPr>
              <w:t>- vplyv na obce</w:t>
            </w:r>
          </w:p>
        </w:tc>
        <w:tc>
          <w:tcPr>
            <w:tcW w:w="1267" w:type="dxa"/>
            <w:noWrap/>
            <w:vAlign w:val="center"/>
          </w:tcPr>
          <w:p w14:paraId="48DA2B03" w14:textId="77777777" w:rsidR="0076357A" w:rsidRPr="00AA4C18" w:rsidRDefault="0076357A" w:rsidP="0076357A">
            <w:pPr>
              <w:jc w:val="right"/>
              <w:rPr>
                <w:b/>
                <w:bCs/>
                <w:iCs/>
              </w:rPr>
            </w:pPr>
            <w:r w:rsidRPr="00AA4C18">
              <w:rPr>
                <w:b/>
                <w:bCs/>
                <w:iCs/>
              </w:rPr>
              <w:t>0</w:t>
            </w:r>
          </w:p>
        </w:tc>
        <w:tc>
          <w:tcPr>
            <w:tcW w:w="1347" w:type="dxa"/>
            <w:noWrap/>
            <w:vAlign w:val="center"/>
          </w:tcPr>
          <w:p w14:paraId="74B0F225" w14:textId="77777777" w:rsidR="0076357A" w:rsidRPr="00AA4C18" w:rsidRDefault="0076357A" w:rsidP="0076357A">
            <w:pPr>
              <w:jc w:val="right"/>
              <w:rPr>
                <w:b/>
                <w:bCs/>
                <w:iCs/>
              </w:rPr>
            </w:pPr>
            <w:r w:rsidRPr="00AA4C18">
              <w:rPr>
                <w:b/>
                <w:bCs/>
                <w:iCs/>
              </w:rPr>
              <w:t>0</w:t>
            </w:r>
          </w:p>
        </w:tc>
        <w:tc>
          <w:tcPr>
            <w:tcW w:w="1325" w:type="dxa"/>
            <w:noWrap/>
            <w:vAlign w:val="center"/>
          </w:tcPr>
          <w:p w14:paraId="43467066" w14:textId="77777777" w:rsidR="0076357A" w:rsidRPr="00AA4C18" w:rsidRDefault="0076357A" w:rsidP="0076357A">
            <w:pPr>
              <w:jc w:val="right"/>
              <w:rPr>
                <w:b/>
                <w:bCs/>
                <w:iCs/>
              </w:rPr>
            </w:pPr>
          </w:p>
        </w:tc>
        <w:tc>
          <w:tcPr>
            <w:tcW w:w="1227" w:type="dxa"/>
            <w:noWrap/>
            <w:vAlign w:val="center"/>
          </w:tcPr>
          <w:p w14:paraId="0052D5BF" w14:textId="77777777" w:rsidR="0076357A" w:rsidRPr="00AA4C18" w:rsidRDefault="0076357A" w:rsidP="0076357A">
            <w:pPr>
              <w:jc w:val="right"/>
              <w:rPr>
                <w:b/>
                <w:bCs/>
                <w:iCs/>
              </w:rPr>
            </w:pPr>
          </w:p>
        </w:tc>
      </w:tr>
      <w:tr w:rsidR="0076357A" w:rsidRPr="00AA4C18" w14:paraId="77C4E206" w14:textId="77777777" w:rsidTr="0076357A">
        <w:trPr>
          <w:trHeight w:val="70"/>
          <w:jc w:val="center"/>
        </w:trPr>
        <w:tc>
          <w:tcPr>
            <w:tcW w:w="4661" w:type="dxa"/>
            <w:noWrap/>
            <w:vAlign w:val="center"/>
          </w:tcPr>
          <w:p w14:paraId="6CDDEB85" w14:textId="77777777" w:rsidR="0076357A" w:rsidRPr="00AA4C18" w:rsidRDefault="0076357A" w:rsidP="0076357A">
            <w:pPr>
              <w:rPr>
                <w:b/>
                <w:bCs/>
                <w:i/>
                <w:iCs/>
              </w:rPr>
            </w:pPr>
            <w:r w:rsidRPr="00AA4C18">
              <w:rPr>
                <w:b/>
                <w:bCs/>
                <w:i/>
                <w:iCs/>
              </w:rPr>
              <w:t>- vplyv na vyššie územné celky</w:t>
            </w:r>
          </w:p>
        </w:tc>
        <w:tc>
          <w:tcPr>
            <w:tcW w:w="1267" w:type="dxa"/>
            <w:noWrap/>
            <w:vAlign w:val="center"/>
          </w:tcPr>
          <w:p w14:paraId="18A13827" w14:textId="77777777" w:rsidR="0076357A" w:rsidRPr="00AA4C18" w:rsidRDefault="0076357A" w:rsidP="0076357A">
            <w:pPr>
              <w:jc w:val="right"/>
              <w:rPr>
                <w:b/>
                <w:bCs/>
                <w:iCs/>
              </w:rPr>
            </w:pPr>
            <w:r w:rsidRPr="00AA4C18">
              <w:rPr>
                <w:b/>
                <w:bCs/>
                <w:iCs/>
              </w:rPr>
              <w:t>0</w:t>
            </w:r>
          </w:p>
        </w:tc>
        <w:tc>
          <w:tcPr>
            <w:tcW w:w="1347" w:type="dxa"/>
            <w:noWrap/>
            <w:vAlign w:val="center"/>
          </w:tcPr>
          <w:p w14:paraId="7BF3F3FA" w14:textId="77777777" w:rsidR="0076357A" w:rsidRPr="00AA4C18" w:rsidRDefault="0076357A" w:rsidP="0076357A">
            <w:pPr>
              <w:jc w:val="right"/>
              <w:rPr>
                <w:b/>
                <w:bCs/>
                <w:iCs/>
              </w:rPr>
            </w:pPr>
            <w:r w:rsidRPr="00AA4C18">
              <w:rPr>
                <w:b/>
                <w:bCs/>
                <w:iCs/>
              </w:rPr>
              <w:t>0</w:t>
            </w:r>
          </w:p>
        </w:tc>
        <w:tc>
          <w:tcPr>
            <w:tcW w:w="1325" w:type="dxa"/>
            <w:noWrap/>
            <w:vAlign w:val="center"/>
          </w:tcPr>
          <w:p w14:paraId="58E3A66B" w14:textId="77777777" w:rsidR="0076357A" w:rsidRPr="00AA4C18" w:rsidRDefault="0076357A" w:rsidP="0076357A">
            <w:pPr>
              <w:jc w:val="right"/>
              <w:rPr>
                <w:b/>
                <w:bCs/>
                <w:iCs/>
              </w:rPr>
            </w:pPr>
          </w:p>
        </w:tc>
        <w:tc>
          <w:tcPr>
            <w:tcW w:w="1227" w:type="dxa"/>
            <w:noWrap/>
            <w:vAlign w:val="center"/>
          </w:tcPr>
          <w:p w14:paraId="30744697" w14:textId="77777777" w:rsidR="0076357A" w:rsidRPr="00AA4C18" w:rsidRDefault="0076357A" w:rsidP="0076357A">
            <w:pPr>
              <w:jc w:val="right"/>
              <w:rPr>
                <w:b/>
                <w:bCs/>
                <w:iCs/>
              </w:rPr>
            </w:pPr>
          </w:p>
        </w:tc>
      </w:tr>
      <w:tr w:rsidR="0076357A" w:rsidRPr="00AA4C18" w14:paraId="5402791D" w14:textId="77777777" w:rsidTr="0076357A">
        <w:trPr>
          <w:trHeight w:val="70"/>
          <w:jc w:val="center"/>
        </w:trPr>
        <w:tc>
          <w:tcPr>
            <w:tcW w:w="4661" w:type="dxa"/>
            <w:noWrap/>
            <w:vAlign w:val="center"/>
          </w:tcPr>
          <w:p w14:paraId="571FF1D8" w14:textId="77777777" w:rsidR="0076357A" w:rsidRPr="00AA4C18" w:rsidRDefault="0076357A" w:rsidP="0076357A">
            <w:pPr>
              <w:rPr>
                <w:b/>
                <w:bCs/>
              </w:rPr>
            </w:pPr>
            <w:r w:rsidRPr="00AA4C18">
              <w:rPr>
                <w:b/>
                <w:bCs/>
                <w:i/>
                <w:iCs/>
              </w:rPr>
              <w:t>- vplyv na ostatné subjekty verejnej správy</w:t>
            </w:r>
          </w:p>
        </w:tc>
        <w:tc>
          <w:tcPr>
            <w:tcW w:w="1267" w:type="dxa"/>
            <w:noWrap/>
            <w:vAlign w:val="center"/>
          </w:tcPr>
          <w:p w14:paraId="7F8DDA6F" w14:textId="77777777" w:rsidR="0076357A" w:rsidRPr="00AA4C18" w:rsidRDefault="0076357A" w:rsidP="0076357A">
            <w:pPr>
              <w:jc w:val="right"/>
              <w:rPr>
                <w:b/>
                <w:bCs/>
                <w:iCs/>
              </w:rPr>
            </w:pPr>
            <w:r w:rsidRPr="00AA4C18">
              <w:rPr>
                <w:b/>
                <w:bCs/>
                <w:iCs/>
              </w:rPr>
              <w:t>0</w:t>
            </w:r>
          </w:p>
        </w:tc>
        <w:tc>
          <w:tcPr>
            <w:tcW w:w="1347" w:type="dxa"/>
            <w:noWrap/>
            <w:vAlign w:val="center"/>
          </w:tcPr>
          <w:p w14:paraId="0001D4E8" w14:textId="77777777" w:rsidR="0076357A" w:rsidRPr="00AA4C18" w:rsidRDefault="0076357A" w:rsidP="0076357A">
            <w:pPr>
              <w:jc w:val="right"/>
              <w:rPr>
                <w:b/>
                <w:bCs/>
                <w:iCs/>
              </w:rPr>
            </w:pPr>
            <w:r w:rsidRPr="00AA4C18">
              <w:rPr>
                <w:b/>
                <w:bCs/>
                <w:iCs/>
              </w:rPr>
              <w:t>0</w:t>
            </w:r>
          </w:p>
        </w:tc>
        <w:tc>
          <w:tcPr>
            <w:tcW w:w="1325" w:type="dxa"/>
            <w:noWrap/>
            <w:vAlign w:val="center"/>
          </w:tcPr>
          <w:p w14:paraId="61517011" w14:textId="77777777" w:rsidR="0076357A" w:rsidRPr="00AA4C18" w:rsidRDefault="0076357A" w:rsidP="0076357A">
            <w:pPr>
              <w:jc w:val="right"/>
              <w:rPr>
                <w:b/>
                <w:bCs/>
                <w:iCs/>
              </w:rPr>
            </w:pPr>
          </w:p>
        </w:tc>
        <w:tc>
          <w:tcPr>
            <w:tcW w:w="1227" w:type="dxa"/>
            <w:noWrap/>
            <w:vAlign w:val="center"/>
          </w:tcPr>
          <w:p w14:paraId="0C452754" w14:textId="77777777" w:rsidR="0076357A" w:rsidRPr="00AA4C18" w:rsidRDefault="0076357A" w:rsidP="0076357A">
            <w:pPr>
              <w:jc w:val="right"/>
              <w:rPr>
                <w:b/>
                <w:bCs/>
                <w:iCs/>
              </w:rPr>
            </w:pPr>
          </w:p>
        </w:tc>
      </w:tr>
      <w:tr w:rsidR="0076357A" w:rsidRPr="00AA4C18" w14:paraId="008FDD4A" w14:textId="77777777" w:rsidTr="0076357A">
        <w:trPr>
          <w:trHeight w:val="70"/>
          <w:jc w:val="center"/>
        </w:trPr>
        <w:tc>
          <w:tcPr>
            <w:tcW w:w="4661" w:type="dxa"/>
            <w:shd w:val="clear" w:color="auto" w:fill="C0C0C0"/>
            <w:noWrap/>
            <w:vAlign w:val="center"/>
          </w:tcPr>
          <w:p w14:paraId="7DED1ED4" w14:textId="77777777" w:rsidR="0076357A" w:rsidRPr="00AA4C18" w:rsidRDefault="0076357A" w:rsidP="0076357A">
            <w:pPr>
              <w:rPr>
                <w:b/>
                <w:bCs/>
              </w:rPr>
            </w:pPr>
            <w:r w:rsidRPr="00AA4C18">
              <w:rPr>
                <w:b/>
                <w:bCs/>
              </w:rPr>
              <w:t>Financovanie zabezpečené v rozpočte</w:t>
            </w:r>
          </w:p>
        </w:tc>
        <w:tc>
          <w:tcPr>
            <w:tcW w:w="1267" w:type="dxa"/>
            <w:shd w:val="clear" w:color="auto" w:fill="C0C0C0"/>
            <w:noWrap/>
            <w:vAlign w:val="center"/>
          </w:tcPr>
          <w:p w14:paraId="0CC4AE4B" w14:textId="77777777" w:rsidR="0076357A" w:rsidRPr="00AA4C18" w:rsidRDefault="0076357A" w:rsidP="0076357A">
            <w:pPr>
              <w:jc w:val="right"/>
              <w:rPr>
                <w:b/>
                <w:bCs/>
              </w:rPr>
            </w:pPr>
            <w:r w:rsidRPr="00AA4C18">
              <w:rPr>
                <w:b/>
                <w:bCs/>
              </w:rPr>
              <w:t>2 382 578</w:t>
            </w:r>
          </w:p>
        </w:tc>
        <w:tc>
          <w:tcPr>
            <w:tcW w:w="1347" w:type="dxa"/>
            <w:shd w:val="clear" w:color="auto" w:fill="C0C0C0"/>
            <w:noWrap/>
            <w:vAlign w:val="center"/>
          </w:tcPr>
          <w:p w14:paraId="705F2FB6" w14:textId="77777777" w:rsidR="0076357A" w:rsidRPr="00AA4C18" w:rsidRDefault="0076357A" w:rsidP="0076357A">
            <w:pPr>
              <w:jc w:val="right"/>
              <w:rPr>
                <w:b/>
                <w:bCs/>
              </w:rPr>
            </w:pPr>
            <w:r w:rsidRPr="00AA4C18">
              <w:rPr>
                <w:b/>
                <w:bCs/>
              </w:rPr>
              <w:t>2 280 558</w:t>
            </w:r>
          </w:p>
        </w:tc>
        <w:tc>
          <w:tcPr>
            <w:tcW w:w="1325" w:type="dxa"/>
            <w:shd w:val="clear" w:color="auto" w:fill="C0C0C0"/>
            <w:noWrap/>
            <w:vAlign w:val="center"/>
          </w:tcPr>
          <w:p w14:paraId="0EB6495D" w14:textId="77777777" w:rsidR="0076357A" w:rsidRPr="00AA4C18" w:rsidRDefault="0076357A" w:rsidP="0076357A">
            <w:pPr>
              <w:jc w:val="right"/>
              <w:rPr>
                <w:b/>
                <w:bCs/>
              </w:rPr>
            </w:pPr>
          </w:p>
        </w:tc>
        <w:tc>
          <w:tcPr>
            <w:tcW w:w="1227" w:type="dxa"/>
            <w:shd w:val="clear" w:color="auto" w:fill="C0C0C0"/>
            <w:noWrap/>
            <w:vAlign w:val="center"/>
          </w:tcPr>
          <w:p w14:paraId="02292C29" w14:textId="77777777" w:rsidR="0076357A" w:rsidRPr="00AA4C18" w:rsidRDefault="0076357A" w:rsidP="0076357A">
            <w:pPr>
              <w:jc w:val="right"/>
              <w:rPr>
                <w:b/>
                <w:bCs/>
              </w:rPr>
            </w:pPr>
          </w:p>
        </w:tc>
      </w:tr>
      <w:tr w:rsidR="0076357A" w:rsidRPr="00AA4C18" w14:paraId="2602AAA1" w14:textId="77777777" w:rsidTr="0076357A">
        <w:trPr>
          <w:trHeight w:val="70"/>
          <w:jc w:val="center"/>
        </w:trPr>
        <w:tc>
          <w:tcPr>
            <w:tcW w:w="4661" w:type="dxa"/>
            <w:noWrap/>
            <w:vAlign w:val="center"/>
          </w:tcPr>
          <w:p w14:paraId="2A2922CC" w14:textId="77777777" w:rsidR="0076357A" w:rsidRPr="00AA4C18" w:rsidRDefault="0076357A" w:rsidP="0076357A">
            <w:r w:rsidRPr="00AA4C18">
              <w:t xml:space="preserve">v tom: za každý subjekt verejnej správy / program zvlášť </w:t>
            </w:r>
          </w:p>
        </w:tc>
        <w:tc>
          <w:tcPr>
            <w:tcW w:w="1267" w:type="dxa"/>
            <w:noWrap/>
            <w:vAlign w:val="center"/>
          </w:tcPr>
          <w:p w14:paraId="0728BE74" w14:textId="77777777" w:rsidR="0076357A" w:rsidRPr="00AA4C18" w:rsidRDefault="0076357A" w:rsidP="0076357A">
            <w:pPr>
              <w:jc w:val="right"/>
            </w:pPr>
          </w:p>
        </w:tc>
        <w:tc>
          <w:tcPr>
            <w:tcW w:w="1347" w:type="dxa"/>
            <w:noWrap/>
            <w:vAlign w:val="center"/>
          </w:tcPr>
          <w:p w14:paraId="411F2060" w14:textId="77777777" w:rsidR="0076357A" w:rsidRPr="00AA4C18" w:rsidRDefault="0076357A" w:rsidP="0076357A">
            <w:pPr>
              <w:jc w:val="center"/>
              <w:rPr>
                <w:b/>
                <w:bCs/>
              </w:rPr>
            </w:pPr>
          </w:p>
        </w:tc>
        <w:tc>
          <w:tcPr>
            <w:tcW w:w="1325" w:type="dxa"/>
            <w:noWrap/>
            <w:vAlign w:val="center"/>
          </w:tcPr>
          <w:p w14:paraId="6229D5DB" w14:textId="77777777" w:rsidR="0076357A" w:rsidRPr="00AA4C18" w:rsidRDefault="0076357A" w:rsidP="0076357A">
            <w:pPr>
              <w:jc w:val="right"/>
              <w:rPr>
                <w:b/>
                <w:bCs/>
              </w:rPr>
            </w:pPr>
          </w:p>
        </w:tc>
        <w:tc>
          <w:tcPr>
            <w:tcW w:w="1227" w:type="dxa"/>
            <w:noWrap/>
            <w:vAlign w:val="center"/>
          </w:tcPr>
          <w:p w14:paraId="79FE25F2" w14:textId="77777777" w:rsidR="0076357A" w:rsidRPr="00AA4C18" w:rsidRDefault="0076357A" w:rsidP="0076357A">
            <w:pPr>
              <w:jc w:val="right"/>
              <w:rPr>
                <w:b/>
                <w:bCs/>
              </w:rPr>
            </w:pPr>
          </w:p>
        </w:tc>
      </w:tr>
      <w:tr w:rsidR="0076357A" w:rsidRPr="00AA4C18" w14:paraId="0EE25C77" w14:textId="77777777" w:rsidTr="0076357A">
        <w:trPr>
          <w:trHeight w:val="70"/>
          <w:jc w:val="center"/>
        </w:trPr>
        <w:tc>
          <w:tcPr>
            <w:tcW w:w="4661" w:type="dxa"/>
            <w:noWrap/>
            <w:vAlign w:val="center"/>
          </w:tcPr>
          <w:p w14:paraId="4F58A3C0" w14:textId="77777777" w:rsidR="0076357A" w:rsidRPr="00AA4C18" w:rsidRDefault="0076357A" w:rsidP="0076357A">
            <w:r w:rsidRPr="00AA4C18">
              <w:t>Štatistický úrad SR</w:t>
            </w:r>
          </w:p>
        </w:tc>
        <w:tc>
          <w:tcPr>
            <w:tcW w:w="1267" w:type="dxa"/>
            <w:noWrap/>
            <w:vAlign w:val="center"/>
          </w:tcPr>
          <w:p w14:paraId="168EDE9C" w14:textId="77777777" w:rsidR="0076357A" w:rsidRPr="00AA4C18" w:rsidRDefault="0076357A" w:rsidP="0076357A">
            <w:pPr>
              <w:jc w:val="right"/>
              <w:rPr>
                <w:b/>
                <w:bCs/>
              </w:rPr>
            </w:pPr>
            <w:r w:rsidRPr="00AA4C18">
              <w:rPr>
                <w:b/>
                <w:bCs/>
              </w:rPr>
              <w:t>2 382 578</w:t>
            </w:r>
          </w:p>
        </w:tc>
        <w:tc>
          <w:tcPr>
            <w:tcW w:w="1347" w:type="dxa"/>
            <w:noWrap/>
            <w:vAlign w:val="center"/>
          </w:tcPr>
          <w:p w14:paraId="01FEC2B2" w14:textId="77777777" w:rsidR="0076357A" w:rsidRPr="00AA4C18" w:rsidRDefault="0076357A" w:rsidP="0076357A">
            <w:pPr>
              <w:jc w:val="right"/>
              <w:rPr>
                <w:b/>
                <w:bCs/>
              </w:rPr>
            </w:pPr>
            <w:r w:rsidRPr="00AA4C18">
              <w:rPr>
                <w:b/>
                <w:bCs/>
              </w:rPr>
              <w:t>2 280 558</w:t>
            </w:r>
          </w:p>
        </w:tc>
        <w:tc>
          <w:tcPr>
            <w:tcW w:w="1325" w:type="dxa"/>
            <w:noWrap/>
            <w:vAlign w:val="center"/>
          </w:tcPr>
          <w:p w14:paraId="257FC6BC" w14:textId="77777777" w:rsidR="0076357A" w:rsidRPr="00AA4C18" w:rsidRDefault="0076357A" w:rsidP="0076357A">
            <w:pPr>
              <w:jc w:val="right"/>
              <w:rPr>
                <w:b/>
                <w:bCs/>
              </w:rPr>
            </w:pPr>
          </w:p>
        </w:tc>
        <w:tc>
          <w:tcPr>
            <w:tcW w:w="1227" w:type="dxa"/>
            <w:noWrap/>
            <w:vAlign w:val="center"/>
          </w:tcPr>
          <w:p w14:paraId="31F7EA40" w14:textId="77777777" w:rsidR="0076357A" w:rsidRPr="00AA4C18" w:rsidRDefault="0076357A" w:rsidP="0076357A">
            <w:pPr>
              <w:jc w:val="right"/>
              <w:rPr>
                <w:b/>
                <w:bCs/>
              </w:rPr>
            </w:pPr>
          </w:p>
        </w:tc>
      </w:tr>
      <w:tr w:rsidR="0076357A" w:rsidRPr="00AA4C18" w14:paraId="66781AA0" w14:textId="77777777" w:rsidTr="0076357A">
        <w:trPr>
          <w:trHeight w:val="70"/>
          <w:jc w:val="center"/>
        </w:trPr>
        <w:tc>
          <w:tcPr>
            <w:tcW w:w="4661" w:type="dxa"/>
            <w:noWrap/>
            <w:vAlign w:val="center"/>
          </w:tcPr>
          <w:p w14:paraId="1D01F216" w14:textId="77777777" w:rsidR="0076357A" w:rsidRPr="00AA4C18" w:rsidRDefault="0076357A" w:rsidP="0076357A">
            <w:r w:rsidRPr="00AA4C18">
              <w:t>Ministerstvo vnútra SR</w:t>
            </w:r>
          </w:p>
        </w:tc>
        <w:tc>
          <w:tcPr>
            <w:tcW w:w="1267" w:type="dxa"/>
            <w:noWrap/>
            <w:vAlign w:val="center"/>
          </w:tcPr>
          <w:p w14:paraId="6EB0F9F3" w14:textId="77777777" w:rsidR="0076357A" w:rsidRPr="00AA4C18" w:rsidRDefault="0076357A" w:rsidP="0076357A">
            <w:pPr>
              <w:jc w:val="right"/>
              <w:rPr>
                <w:b/>
                <w:bCs/>
              </w:rPr>
            </w:pPr>
            <w:r w:rsidRPr="00AA4C18">
              <w:rPr>
                <w:b/>
                <w:bCs/>
              </w:rPr>
              <w:t>0</w:t>
            </w:r>
          </w:p>
        </w:tc>
        <w:tc>
          <w:tcPr>
            <w:tcW w:w="1347" w:type="dxa"/>
            <w:noWrap/>
            <w:vAlign w:val="center"/>
          </w:tcPr>
          <w:p w14:paraId="1671D5D1" w14:textId="77777777" w:rsidR="0076357A" w:rsidRPr="00AA4C18" w:rsidRDefault="0076357A" w:rsidP="0076357A">
            <w:pPr>
              <w:jc w:val="right"/>
              <w:rPr>
                <w:b/>
                <w:bCs/>
              </w:rPr>
            </w:pPr>
            <w:r w:rsidRPr="00AA4C18">
              <w:rPr>
                <w:b/>
                <w:bCs/>
              </w:rPr>
              <w:t>0</w:t>
            </w:r>
          </w:p>
        </w:tc>
        <w:tc>
          <w:tcPr>
            <w:tcW w:w="1325" w:type="dxa"/>
            <w:noWrap/>
            <w:vAlign w:val="center"/>
          </w:tcPr>
          <w:p w14:paraId="28247431" w14:textId="77777777" w:rsidR="0076357A" w:rsidRPr="00AA4C18" w:rsidRDefault="0076357A" w:rsidP="0076357A">
            <w:pPr>
              <w:jc w:val="right"/>
              <w:rPr>
                <w:b/>
                <w:bCs/>
              </w:rPr>
            </w:pPr>
          </w:p>
        </w:tc>
        <w:tc>
          <w:tcPr>
            <w:tcW w:w="1227" w:type="dxa"/>
            <w:noWrap/>
            <w:vAlign w:val="center"/>
          </w:tcPr>
          <w:p w14:paraId="198A374C" w14:textId="77777777" w:rsidR="0076357A" w:rsidRPr="00AA4C18" w:rsidRDefault="0076357A" w:rsidP="0076357A">
            <w:pPr>
              <w:jc w:val="right"/>
              <w:rPr>
                <w:b/>
                <w:bCs/>
              </w:rPr>
            </w:pPr>
          </w:p>
        </w:tc>
      </w:tr>
      <w:tr w:rsidR="0076357A" w:rsidRPr="00AA4C18" w14:paraId="557711C8" w14:textId="77777777" w:rsidTr="0076357A">
        <w:trPr>
          <w:trHeight w:val="70"/>
          <w:jc w:val="center"/>
        </w:trPr>
        <w:tc>
          <w:tcPr>
            <w:tcW w:w="4661" w:type="dxa"/>
            <w:shd w:val="clear" w:color="auto" w:fill="BFBFBF" w:themeFill="background1" w:themeFillShade="BF"/>
            <w:noWrap/>
            <w:vAlign w:val="center"/>
          </w:tcPr>
          <w:p w14:paraId="28A258EC" w14:textId="77777777" w:rsidR="0076357A" w:rsidRPr="00AA4C18" w:rsidRDefault="0076357A" w:rsidP="0076357A">
            <w:pPr>
              <w:rPr>
                <w:b/>
              </w:rPr>
            </w:pPr>
            <w:r w:rsidRPr="00AA4C18">
              <w:rPr>
                <w:b/>
              </w:rPr>
              <w:t>Iné ako rozpočtové zdroje</w:t>
            </w:r>
          </w:p>
        </w:tc>
        <w:tc>
          <w:tcPr>
            <w:tcW w:w="1267" w:type="dxa"/>
            <w:shd w:val="clear" w:color="auto" w:fill="BFBFBF" w:themeFill="background1" w:themeFillShade="BF"/>
            <w:noWrap/>
            <w:vAlign w:val="center"/>
          </w:tcPr>
          <w:p w14:paraId="773A25AE" w14:textId="77777777" w:rsidR="0076357A" w:rsidRPr="00AA4C18" w:rsidRDefault="0076357A" w:rsidP="0076357A">
            <w:pPr>
              <w:jc w:val="right"/>
              <w:rPr>
                <w:b/>
                <w:bCs/>
              </w:rPr>
            </w:pPr>
            <w:r w:rsidRPr="00AA4C18">
              <w:rPr>
                <w:b/>
                <w:bCs/>
              </w:rPr>
              <w:t>0</w:t>
            </w:r>
          </w:p>
        </w:tc>
        <w:tc>
          <w:tcPr>
            <w:tcW w:w="1347" w:type="dxa"/>
            <w:shd w:val="clear" w:color="auto" w:fill="BFBFBF" w:themeFill="background1" w:themeFillShade="BF"/>
            <w:noWrap/>
            <w:vAlign w:val="center"/>
          </w:tcPr>
          <w:p w14:paraId="0CC47D26" w14:textId="77777777" w:rsidR="0076357A" w:rsidRPr="00AA4C18" w:rsidRDefault="0076357A" w:rsidP="0076357A">
            <w:pPr>
              <w:jc w:val="right"/>
              <w:rPr>
                <w:b/>
                <w:bCs/>
              </w:rPr>
            </w:pPr>
            <w:r w:rsidRPr="00AA4C18">
              <w:rPr>
                <w:b/>
                <w:bCs/>
              </w:rPr>
              <w:t>0</w:t>
            </w:r>
          </w:p>
        </w:tc>
        <w:tc>
          <w:tcPr>
            <w:tcW w:w="1325" w:type="dxa"/>
            <w:shd w:val="clear" w:color="auto" w:fill="BFBFBF" w:themeFill="background1" w:themeFillShade="BF"/>
            <w:noWrap/>
            <w:vAlign w:val="center"/>
          </w:tcPr>
          <w:p w14:paraId="6901D4DF" w14:textId="77777777" w:rsidR="0076357A" w:rsidRPr="00AA4C18" w:rsidRDefault="0076357A" w:rsidP="0076357A">
            <w:pPr>
              <w:jc w:val="right"/>
              <w:rPr>
                <w:b/>
                <w:bCs/>
              </w:rPr>
            </w:pPr>
          </w:p>
        </w:tc>
        <w:tc>
          <w:tcPr>
            <w:tcW w:w="1227" w:type="dxa"/>
            <w:shd w:val="clear" w:color="auto" w:fill="BFBFBF" w:themeFill="background1" w:themeFillShade="BF"/>
            <w:noWrap/>
            <w:vAlign w:val="center"/>
          </w:tcPr>
          <w:p w14:paraId="06506674" w14:textId="77777777" w:rsidR="0076357A" w:rsidRPr="00AA4C18" w:rsidRDefault="0076357A" w:rsidP="0076357A">
            <w:pPr>
              <w:jc w:val="right"/>
              <w:rPr>
                <w:b/>
                <w:bCs/>
              </w:rPr>
            </w:pPr>
          </w:p>
        </w:tc>
      </w:tr>
      <w:tr w:rsidR="0076357A" w:rsidRPr="00AA4C18" w14:paraId="4D313DEA" w14:textId="77777777" w:rsidTr="0076357A">
        <w:trPr>
          <w:trHeight w:val="70"/>
          <w:jc w:val="center"/>
        </w:trPr>
        <w:tc>
          <w:tcPr>
            <w:tcW w:w="4661" w:type="dxa"/>
            <w:shd w:val="clear" w:color="auto" w:fill="A6A6A6" w:themeFill="background1" w:themeFillShade="A6"/>
            <w:noWrap/>
            <w:vAlign w:val="center"/>
          </w:tcPr>
          <w:p w14:paraId="53F214D9" w14:textId="77777777" w:rsidR="0076357A" w:rsidRPr="00AA4C18" w:rsidRDefault="0076357A" w:rsidP="0076357A">
            <w:pPr>
              <w:rPr>
                <w:b/>
                <w:bCs/>
              </w:rPr>
            </w:pPr>
            <w:r w:rsidRPr="00AA4C18">
              <w:rPr>
                <w:b/>
                <w:bCs/>
              </w:rPr>
              <w:t>Rozpočtovo nekrytý vplyv / úspora</w:t>
            </w:r>
          </w:p>
        </w:tc>
        <w:tc>
          <w:tcPr>
            <w:tcW w:w="1267" w:type="dxa"/>
            <w:shd w:val="clear" w:color="auto" w:fill="A6A6A6" w:themeFill="background1" w:themeFillShade="A6"/>
            <w:noWrap/>
            <w:vAlign w:val="center"/>
          </w:tcPr>
          <w:p w14:paraId="0916B7F4" w14:textId="77777777" w:rsidR="0076357A" w:rsidRPr="00AA4C18" w:rsidRDefault="0076357A" w:rsidP="0076357A">
            <w:pPr>
              <w:jc w:val="right"/>
              <w:rPr>
                <w:b/>
                <w:bCs/>
              </w:rPr>
            </w:pPr>
            <w:r w:rsidRPr="00AA4C18">
              <w:rPr>
                <w:b/>
                <w:bCs/>
              </w:rPr>
              <w:t>0</w:t>
            </w:r>
          </w:p>
        </w:tc>
        <w:tc>
          <w:tcPr>
            <w:tcW w:w="1347" w:type="dxa"/>
            <w:shd w:val="clear" w:color="auto" w:fill="A6A6A6" w:themeFill="background1" w:themeFillShade="A6"/>
            <w:noWrap/>
            <w:vAlign w:val="center"/>
          </w:tcPr>
          <w:p w14:paraId="479BCD6D" w14:textId="77777777" w:rsidR="0076357A" w:rsidRPr="00AA4C18" w:rsidRDefault="0076357A" w:rsidP="0076357A">
            <w:pPr>
              <w:jc w:val="right"/>
              <w:rPr>
                <w:b/>
                <w:bCs/>
              </w:rPr>
            </w:pPr>
            <w:r w:rsidRPr="00AA4C18">
              <w:rPr>
                <w:b/>
                <w:bCs/>
              </w:rPr>
              <w:t>0</w:t>
            </w:r>
          </w:p>
        </w:tc>
        <w:tc>
          <w:tcPr>
            <w:tcW w:w="1325" w:type="dxa"/>
            <w:shd w:val="clear" w:color="auto" w:fill="A6A6A6" w:themeFill="background1" w:themeFillShade="A6"/>
            <w:noWrap/>
            <w:vAlign w:val="center"/>
          </w:tcPr>
          <w:p w14:paraId="3F24BADF" w14:textId="77777777" w:rsidR="0076357A" w:rsidRPr="00AA4C18" w:rsidRDefault="0076357A" w:rsidP="0076357A">
            <w:pPr>
              <w:jc w:val="right"/>
              <w:rPr>
                <w:b/>
                <w:bCs/>
              </w:rPr>
            </w:pPr>
          </w:p>
        </w:tc>
        <w:tc>
          <w:tcPr>
            <w:tcW w:w="1227" w:type="dxa"/>
            <w:shd w:val="clear" w:color="auto" w:fill="A6A6A6" w:themeFill="background1" w:themeFillShade="A6"/>
            <w:noWrap/>
            <w:vAlign w:val="center"/>
          </w:tcPr>
          <w:p w14:paraId="7F21C28B" w14:textId="77777777" w:rsidR="0076357A" w:rsidRPr="00AA4C18" w:rsidRDefault="0076357A" w:rsidP="0076357A">
            <w:pPr>
              <w:jc w:val="right"/>
              <w:rPr>
                <w:b/>
                <w:bCs/>
              </w:rPr>
            </w:pPr>
          </w:p>
        </w:tc>
      </w:tr>
    </w:tbl>
    <w:p w14:paraId="752117BD" w14:textId="77777777" w:rsidR="0076357A" w:rsidRPr="00AA4C18" w:rsidRDefault="0076357A" w:rsidP="0076357A">
      <w:pPr>
        <w:rPr>
          <w:b/>
          <w:bCs/>
        </w:rPr>
      </w:pPr>
    </w:p>
    <w:p w14:paraId="1198B6C8" w14:textId="77777777" w:rsidR="0076357A" w:rsidRPr="00AA4C18" w:rsidRDefault="0076357A" w:rsidP="0076357A">
      <w:pPr>
        <w:rPr>
          <w:b/>
          <w:bCs/>
        </w:rPr>
      </w:pPr>
      <w:r w:rsidRPr="00AA4C18">
        <w:rPr>
          <w:b/>
          <w:bCs/>
        </w:rPr>
        <w:t xml:space="preserve">Poznámky : * </w:t>
      </w:r>
      <w:r w:rsidRPr="00AA4C18">
        <w:rPr>
          <w:b/>
          <w:bCs/>
          <w:u w:val="single"/>
        </w:rPr>
        <w:t xml:space="preserve">Súčasťou rozpočtovaných zdrojov kapitoly ŠÚ SR na rok 2020 </w:t>
      </w:r>
      <w:r w:rsidRPr="00AA4C18">
        <w:rPr>
          <w:b/>
          <w:bCs/>
        </w:rPr>
        <w:t>sú rozpočtované zdroje pre obce v rámci preneseného výkonu štátnej správy vo výške 12 342 000 eur.</w:t>
      </w:r>
    </w:p>
    <w:p w14:paraId="2AA8D9B8" w14:textId="4CFD33F1" w:rsidR="00AA4C18" w:rsidRPr="00AA4C18" w:rsidRDefault="0076357A" w:rsidP="0076357A">
      <w:pPr>
        <w:rPr>
          <w:b/>
          <w:bCs/>
        </w:rPr>
      </w:pPr>
      <w:r w:rsidRPr="00AA4C18">
        <w:rPr>
          <w:b/>
          <w:bCs/>
        </w:rPr>
        <w:t xml:space="preserve">** </w:t>
      </w:r>
      <w:r w:rsidRPr="00AA4C18">
        <w:rPr>
          <w:b/>
          <w:bCs/>
          <w:u w:val="single"/>
        </w:rPr>
        <w:t>Súčasťou rozpočtovaných zdrojov kapitoly ŠÚ SR na rok 2021</w:t>
      </w:r>
      <w:r w:rsidRPr="00AA4C18">
        <w:rPr>
          <w:b/>
          <w:bCs/>
        </w:rPr>
        <w:t xml:space="preserve"> sú rozpočtované zdroje pre obce v rámci preneseného výkonu štátnej správy vo výške 13 914 000 eur,  pre MV SR vo výške 269 000 eur / program 0EKON / pre úpravu  rozhraní pre využívanie administratívnych zdrojov a 10 962,50 eur  pre ÚGKK na pokrytie nevyhnutných nákladov.</w:t>
      </w:r>
    </w:p>
    <w:p w14:paraId="28BE867C" w14:textId="77777777" w:rsidR="00AA4C18" w:rsidRPr="00AA4C18" w:rsidRDefault="00AA4C18">
      <w:pPr>
        <w:widowControl/>
        <w:adjustRightInd/>
        <w:spacing w:after="200" w:line="276" w:lineRule="auto"/>
        <w:rPr>
          <w:b/>
          <w:bCs/>
        </w:rPr>
      </w:pPr>
      <w:r w:rsidRPr="00AA4C18">
        <w:rPr>
          <w:b/>
          <w:bCs/>
        </w:rPr>
        <w:br w:type="page"/>
      </w:r>
    </w:p>
    <w:p w14:paraId="20A26BD0" w14:textId="77777777" w:rsidR="0076357A" w:rsidRPr="00AA4C18" w:rsidRDefault="0076357A" w:rsidP="0076357A">
      <w:pPr>
        <w:jc w:val="both"/>
        <w:rPr>
          <w:b/>
          <w:bCs/>
        </w:rPr>
      </w:pPr>
      <w:r w:rsidRPr="00AA4C18">
        <w:rPr>
          <w:b/>
          <w:bCs/>
        </w:rPr>
        <w:lastRenderedPageBreak/>
        <w:t>2.1.1. Financovanie návrhu - Návrh na riešenie úbytku príjmov alebo zvýšených výdavkov podľa § 33 ods. 1 zákona č. 523/2004 Z. z. o rozpočtových pravidlách verejnej správy:</w:t>
      </w:r>
    </w:p>
    <w:p w14:paraId="120EC682" w14:textId="77777777" w:rsidR="0076357A" w:rsidRPr="00AA4C18" w:rsidRDefault="0076357A" w:rsidP="0076357A">
      <w:pPr>
        <w:jc w:val="both"/>
        <w:rPr>
          <w:b/>
          <w:bCs/>
          <w:sz w:val="12"/>
        </w:rPr>
      </w:pPr>
    </w:p>
    <w:p w14:paraId="5BE228B0" w14:textId="77777777" w:rsidR="0076357A" w:rsidRPr="00AA4C18" w:rsidRDefault="0076357A" w:rsidP="0076357A">
      <w:pPr>
        <w:pBdr>
          <w:top w:val="single" w:sz="4" w:space="1" w:color="auto"/>
          <w:left w:val="single" w:sz="4" w:space="4" w:color="auto"/>
          <w:bottom w:val="single" w:sz="4" w:space="0" w:color="auto"/>
          <w:right w:val="single" w:sz="4" w:space="4" w:color="auto"/>
        </w:pBdr>
        <w:rPr>
          <w:b/>
          <w:bCs/>
        </w:rPr>
      </w:pPr>
    </w:p>
    <w:p w14:paraId="0E3FE260" w14:textId="77777777" w:rsidR="0076357A" w:rsidRPr="00AA4C18" w:rsidRDefault="0076357A" w:rsidP="0076357A">
      <w:pPr>
        <w:pBdr>
          <w:top w:val="single" w:sz="4" w:space="1" w:color="auto"/>
          <w:left w:val="single" w:sz="4" w:space="4" w:color="auto"/>
          <w:bottom w:val="single" w:sz="4" w:space="0" w:color="auto"/>
          <w:right w:val="single" w:sz="4" w:space="4" w:color="auto"/>
        </w:pBdr>
        <w:jc w:val="both"/>
        <w:rPr>
          <w:bCs/>
          <w:i/>
        </w:rPr>
      </w:pPr>
      <w:r w:rsidRPr="00AA4C18">
        <w:rPr>
          <w:bCs/>
          <w:i/>
        </w:rPr>
        <w:t>Vplyv na rozpočet verejnej správy na zabezpečenie sčítania obyvateľov, domov a bytov (ďalej len „sčítanie“) 2021 – náklady Štatistického úradu SR  v rokoch 2019 až 2024 budú kryté v rámci rozpočtovej kapitoly Štatistického úradu SR, náklady Ministerstva vnútra SR( 269 000 eur )  na „sčítanie“ v roku 2020  budú kryté z rozpočtovej Štatistického úradu SR, náklady ÚGKK ( 10 962,50 eur   ) budú kryté z rozpočtovej kapitoly Štatistického úradu SR a náklady obcí v rokoch 2020 a 2021 v celkovej výške 26 256 000 eur budú kryté zo štátneho rozpočtu v rámci preneseného výkonu štátnej správy z rozpočtovej kapitoly Štatistického úradu SR.</w:t>
      </w:r>
    </w:p>
    <w:p w14:paraId="43DC28B5" w14:textId="77777777" w:rsidR="0076357A" w:rsidRPr="00AA4C18" w:rsidRDefault="0076357A" w:rsidP="0076357A">
      <w:pPr>
        <w:pBdr>
          <w:top w:val="single" w:sz="4" w:space="1" w:color="auto"/>
          <w:left w:val="single" w:sz="4" w:space="4" w:color="auto"/>
          <w:bottom w:val="single" w:sz="4" w:space="0" w:color="auto"/>
          <w:right w:val="single" w:sz="4" w:space="4" w:color="auto"/>
        </w:pBdr>
        <w:rPr>
          <w:b/>
          <w:bCs/>
        </w:rPr>
      </w:pPr>
    </w:p>
    <w:p w14:paraId="70128B8E" w14:textId="77777777" w:rsidR="0076357A" w:rsidRPr="00AA4C18" w:rsidRDefault="0076357A" w:rsidP="0076357A">
      <w:pPr>
        <w:rPr>
          <w:b/>
          <w:bCs/>
        </w:rPr>
      </w:pPr>
      <w:r w:rsidRPr="00AA4C18">
        <w:rPr>
          <w:b/>
          <w:bCs/>
        </w:rPr>
        <w:t>2.2. Popis a charakteristika návrhu</w:t>
      </w:r>
    </w:p>
    <w:p w14:paraId="1280C4B1" w14:textId="77777777" w:rsidR="0076357A" w:rsidRPr="00AA4C18" w:rsidRDefault="0076357A" w:rsidP="0076357A"/>
    <w:p w14:paraId="710688BF" w14:textId="77777777" w:rsidR="0076357A" w:rsidRPr="00AA4C18" w:rsidRDefault="0076357A" w:rsidP="0076357A">
      <w:pPr>
        <w:jc w:val="both"/>
        <w:rPr>
          <w:b/>
          <w:bCs/>
        </w:rPr>
      </w:pPr>
      <w:r w:rsidRPr="00AA4C18">
        <w:rPr>
          <w:b/>
          <w:bCs/>
        </w:rPr>
        <w:t>2.2.1. Popis návrhu:</w:t>
      </w:r>
    </w:p>
    <w:p w14:paraId="22B90E69" w14:textId="77777777" w:rsidR="0076357A" w:rsidRPr="00AA4C18" w:rsidRDefault="0076357A" w:rsidP="0076357A">
      <w:pPr>
        <w:jc w:val="both"/>
        <w:rPr>
          <w:b/>
          <w:bCs/>
        </w:rPr>
      </w:pPr>
    </w:p>
    <w:p w14:paraId="306A91E9" w14:textId="77777777" w:rsidR="0076357A" w:rsidRPr="00AA4C18" w:rsidRDefault="0076357A" w:rsidP="0076357A">
      <w:pPr>
        <w:ind w:firstLine="708"/>
        <w:jc w:val="both"/>
      </w:pPr>
      <w:r w:rsidRPr="00AA4C18">
        <w:t>Akú problematiku návrh rieši? Kto bude návrh implementovať? Kde sa budú služby poskytovať?</w:t>
      </w:r>
    </w:p>
    <w:p w14:paraId="036C613A" w14:textId="77777777" w:rsidR="0076357A" w:rsidRPr="00AA4C18" w:rsidRDefault="0076357A" w:rsidP="0076357A">
      <w:pPr>
        <w:rPr>
          <w:i/>
        </w:rPr>
      </w:pPr>
    </w:p>
    <w:p w14:paraId="6FDAAFC8" w14:textId="77777777" w:rsidR="0076357A" w:rsidRPr="00AA4C18" w:rsidRDefault="0076357A" w:rsidP="0076357A">
      <w:pPr>
        <w:pStyle w:val="EYNormal"/>
        <w:tabs>
          <w:tab w:val="left" w:pos="1134"/>
        </w:tabs>
        <w:spacing w:after="120"/>
        <w:jc w:val="both"/>
        <w:rPr>
          <w:rFonts w:ascii="Times New Roman" w:hAnsi="Times New Roman"/>
          <w:i/>
          <w:sz w:val="24"/>
          <w:lang w:val="sk-SK"/>
        </w:rPr>
      </w:pPr>
      <w:proofErr w:type="spellStart"/>
      <w:r w:rsidRPr="00AA4C18">
        <w:rPr>
          <w:rFonts w:ascii="Times New Roman" w:hAnsi="Times New Roman"/>
          <w:i/>
          <w:sz w:val="24"/>
          <w:lang w:eastAsia="sk-SK"/>
        </w:rPr>
        <w:t>Návrh</w:t>
      </w:r>
      <w:proofErr w:type="spellEnd"/>
      <w:r w:rsidRPr="00AA4C18">
        <w:rPr>
          <w:rFonts w:ascii="Times New Roman" w:hAnsi="Times New Roman"/>
          <w:i/>
          <w:sz w:val="24"/>
          <w:lang w:eastAsia="sk-SK"/>
        </w:rPr>
        <w:t xml:space="preserve"> </w:t>
      </w:r>
      <w:proofErr w:type="spellStart"/>
      <w:r w:rsidRPr="00AA4C18">
        <w:rPr>
          <w:rFonts w:ascii="Times New Roman" w:hAnsi="Times New Roman"/>
          <w:i/>
          <w:sz w:val="24"/>
          <w:lang w:eastAsia="sk-SK"/>
        </w:rPr>
        <w:t>zákona</w:t>
      </w:r>
      <w:proofErr w:type="spellEnd"/>
      <w:r w:rsidRPr="00AA4C18">
        <w:rPr>
          <w:rFonts w:ascii="Times New Roman" w:hAnsi="Times New Roman"/>
          <w:i/>
          <w:sz w:val="24"/>
          <w:lang w:eastAsia="sk-SK"/>
        </w:rPr>
        <w:t xml:space="preserve"> </w:t>
      </w:r>
      <w:proofErr w:type="spellStart"/>
      <w:r w:rsidRPr="00AA4C18">
        <w:rPr>
          <w:rFonts w:ascii="Times New Roman" w:hAnsi="Times New Roman"/>
          <w:i/>
          <w:sz w:val="24"/>
          <w:lang w:eastAsia="sk-SK"/>
        </w:rPr>
        <w:t>upravuje</w:t>
      </w:r>
      <w:proofErr w:type="spellEnd"/>
      <w:r w:rsidRPr="00AA4C18">
        <w:rPr>
          <w:rFonts w:ascii="Times New Roman" w:hAnsi="Times New Roman"/>
          <w:i/>
          <w:sz w:val="24"/>
          <w:lang w:eastAsia="sk-SK"/>
        </w:rPr>
        <w:t xml:space="preserve"> </w:t>
      </w:r>
      <w:proofErr w:type="spellStart"/>
      <w:r w:rsidRPr="00AA4C18">
        <w:rPr>
          <w:rFonts w:ascii="Times New Roman" w:hAnsi="Times New Roman"/>
          <w:i/>
          <w:sz w:val="24"/>
          <w:lang w:eastAsia="sk-SK"/>
        </w:rPr>
        <w:t>problematiku</w:t>
      </w:r>
      <w:proofErr w:type="spellEnd"/>
      <w:r w:rsidRPr="00AA4C18">
        <w:rPr>
          <w:rFonts w:ascii="Times New Roman" w:hAnsi="Times New Roman"/>
          <w:i/>
          <w:sz w:val="24"/>
          <w:lang w:eastAsia="sk-SK"/>
        </w:rPr>
        <w:t xml:space="preserve"> </w:t>
      </w:r>
      <w:proofErr w:type="spellStart"/>
      <w:r w:rsidRPr="00AA4C18">
        <w:rPr>
          <w:rFonts w:ascii="Times New Roman" w:hAnsi="Times New Roman"/>
          <w:i/>
          <w:sz w:val="24"/>
          <w:lang w:eastAsia="sk-SK"/>
        </w:rPr>
        <w:t>sčítania</w:t>
      </w:r>
      <w:proofErr w:type="spellEnd"/>
      <w:r w:rsidRPr="00AA4C18">
        <w:rPr>
          <w:rFonts w:ascii="Times New Roman" w:hAnsi="Times New Roman"/>
          <w:i/>
          <w:sz w:val="24"/>
          <w:lang w:eastAsia="sk-SK"/>
        </w:rPr>
        <w:t xml:space="preserve"> v </w:t>
      </w:r>
      <w:proofErr w:type="spellStart"/>
      <w:r w:rsidRPr="00AA4C18">
        <w:rPr>
          <w:rFonts w:ascii="Times New Roman" w:hAnsi="Times New Roman"/>
          <w:i/>
          <w:sz w:val="24"/>
          <w:lang w:eastAsia="sk-SK"/>
        </w:rPr>
        <w:t>roku</w:t>
      </w:r>
      <w:proofErr w:type="spellEnd"/>
      <w:r w:rsidRPr="00AA4C18">
        <w:rPr>
          <w:rFonts w:ascii="Times New Roman" w:hAnsi="Times New Roman"/>
          <w:i/>
          <w:sz w:val="24"/>
          <w:lang w:eastAsia="sk-SK"/>
        </w:rPr>
        <w:t xml:space="preserve"> 2021. Toto </w:t>
      </w:r>
      <w:r w:rsidRPr="00AA4C18">
        <w:rPr>
          <w:rFonts w:ascii="Times New Roman" w:hAnsi="Times New Roman"/>
          <w:i/>
          <w:sz w:val="24"/>
          <w:lang w:val="sk-SK"/>
        </w:rPr>
        <w:t>sčítanie bude súčasťou celosvetového programu populačných, domových a bytových cenzov, ktorý sa uskutočňuje pod záštitou EÚ a OSN. Členské štáty EÚ majú povinnosť uskutočniť sčítanie v tom istom roku (2021) a zisťovať údaje podľa rovnakých, resp. porovnateľných definícií.</w:t>
      </w:r>
    </w:p>
    <w:p w14:paraId="339670F6" w14:textId="77777777" w:rsidR="0076357A" w:rsidRPr="00AA4C18" w:rsidRDefault="0076357A" w:rsidP="0076357A">
      <w:pPr>
        <w:pStyle w:val="EYNormal"/>
        <w:tabs>
          <w:tab w:val="left" w:pos="1134"/>
        </w:tabs>
        <w:spacing w:after="120"/>
        <w:jc w:val="both"/>
        <w:rPr>
          <w:rFonts w:ascii="Times New Roman" w:hAnsi="Times New Roman"/>
          <w:i/>
          <w:sz w:val="24"/>
          <w:lang w:val="sk-SK"/>
        </w:rPr>
      </w:pPr>
      <w:r w:rsidRPr="00AA4C18">
        <w:rPr>
          <w:rFonts w:ascii="Times New Roman" w:hAnsi="Times New Roman"/>
          <w:i/>
          <w:sz w:val="24"/>
          <w:lang w:val="sk-SK"/>
        </w:rPr>
        <w:t>V roku 2021 sa na Slovensku prvýkrát v histórii uskutoční sčítanie, ktoré bude integrovať údaje získané od obyvateľov, z vybraných administratívnych zdrojov a registrov. Očakáva sa, že integrované sčítanie okrem zníženia administratívnej záťaže respondentov zvýši kvalitu údajov a informácií (vo vyčerpávajúcich sčítaniach sa v súčasnosti zvyšuje miera neodpovedania na niektoré otázky), ich efektívnosť (využitie už existujúcich zdrojov údajov) a prispeje k harmonizácii údajov o počte obyvateľov (osobitne v demografickej štatistike a evidencii obcí).</w:t>
      </w:r>
    </w:p>
    <w:p w14:paraId="2D785706" w14:textId="77777777" w:rsidR="0076357A" w:rsidRPr="00AA4C18" w:rsidRDefault="0076357A" w:rsidP="0076357A">
      <w:pPr>
        <w:pStyle w:val="EYNormal"/>
        <w:tabs>
          <w:tab w:val="left" w:pos="1134"/>
        </w:tabs>
        <w:spacing w:after="120"/>
        <w:jc w:val="both"/>
        <w:rPr>
          <w:rFonts w:ascii="Times New Roman" w:hAnsi="Times New Roman"/>
          <w:i/>
          <w:sz w:val="24"/>
          <w:lang w:val="sk-SK"/>
        </w:rPr>
      </w:pPr>
      <w:r w:rsidRPr="00AA4C18">
        <w:rPr>
          <w:rFonts w:ascii="Times New Roman" w:hAnsi="Times New Roman"/>
          <w:i/>
          <w:sz w:val="24"/>
          <w:lang w:val="sk-SK"/>
        </w:rPr>
        <w:t xml:space="preserve">Spoľahlivá a dôveryhodná štátna štatistika má nezastupiteľné miesto pri tvorbe, realizácii a aktualizácii programov zabezpečujúcich rozvoj štátneho i súkromného sektora. Je kľúčovým zdrojom informácií na národnej i medzinárodnej úrovni. </w:t>
      </w:r>
    </w:p>
    <w:p w14:paraId="7CAF49DB" w14:textId="77777777" w:rsidR="0076357A" w:rsidRPr="00AA4C18" w:rsidRDefault="0076357A" w:rsidP="0076357A">
      <w:pPr>
        <w:jc w:val="both"/>
        <w:rPr>
          <w:i/>
        </w:rPr>
      </w:pPr>
      <w:r w:rsidRPr="00AA4C18">
        <w:rPr>
          <w:i/>
        </w:rPr>
        <w:t>Cieľom sčítania v roku 2021 je získať vzájomne prepojené, spoľahlivé, porovnateľné, unikátne údaje a informácie o stave spoločnosti, o jej demografických, sociálno-ekonomických a kultúrnych štruktúrach, o životných podmienkach obyvateľov a bývaní.</w:t>
      </w:r>
    </w:p>
    <w:p w14:paraId="6BB15E1A" w14:textId="77777777" w:rsidR="0076357A" w:rsidRPr="00AA4C18" w:rsidRDefault="0076357A" w:rsidP="0076357A">
      <w:pPr>
        <w:rPr>
          <w:i/>
        </w:rPr>
      </w:pPr>
    </w:p>
    <w:p w14:paraId="0E73FBEB" w14:textId="77777777" w:rsidR="0076357A" w:rsidRPr="00AA4C18" w:rsidRDefault="0076357A" w:rsidP="0076357A">
      <w:pPr>
        <w:rPr>
          <w:i/>
        </w:rPr>
      </w:pPr>
      <w:r w:rsidRPr="00AA4C18">
        <w:rPr>
          <w:i/>
        </w:rPr>
        <w:t>Návrh bude implementovať predovšetkým Štatistickú úrad SR, obce a okresné úrady.</w:t>
      </w:r>
    </w:p>
    <w:p w14:paraId="12940C37" w14:textId="77777777" w:rsidR="0076357A" w:rsidRPr="00AA4C18" w:rsidRDefault="0076357A" w:rsidP="0076357A"/>
    <w:p w14:paraId="54A5430A" w14:textId="77777777" w:rsidR="0076357A" w:rsidRPr="00AA4C18" w:rsidRDefault="0076357A" w:rsidP="0076357A">
      <w:pPr>
        <w:rPr>
          <w:b/>
          <w:bCs/>
        </w:rPr>
      </w:pPr>
      <w:r w:rsidRPr="00AA4C18">
        <w:rPr>
          <w:b/>
          <w:bCs/>
        </w:rPr>
        <w:t>2.2.2. Charakteristika návrhu:</w:t>
      </w:r>
    </w:p>
    <w:p w14:paraId="6309C526" w14:textId="77777777" w:rsidR="0076357A" w:rsidRPr="00AA4C18" w:rsidRDefault="0076357A" w:rsidP="0076357A"/>
    <w:p w14:paraId="08DD3FF0" w14:textId="77777777" w:rsidR="0076357A" w:rsidRPr="00AA4C18" w:rsidRDefault="0076357A" w:rsidP="0076357A">
      <w:r w:rsidRPr="00AA4C18">
        <w:rPr>
          <w:b/>
          <w:bdr w:val="single" w:sz="4" w:space="0" w:color="auto"/>
        </w:rPr>
        <w:t xml:space="preserve">     </w:t>
      </w:r>
      <w:r w:rsidRPr="00AA4C18">
        <w:rPr>
          <w:b/>
        </w:rPr>
        <w:t xml:space="preserve">  </w:t>
      </w:r>
      <w:r w:rsidRPr="00AA4C18">
        <w:t>zmena sadzby</w:t>
      </w:r>
    </w:p>
    <w:p w14:paraId="2AEA9AB4" w14:textId="77777777" w:rsidR="0076357A" w:rsidRPr="00AA4C18" w:rsidRDefault="0076357A" w:rsidP="0076357A">
      <w:r w:rsidRPr="00AA4C18">
        <w:rPr>
          <w:bdr w:val="single" w:sz="4" w:space="0" w:color="auto"/>
        </w:rPr>
        <w:t xml:space="preserve">     </w:t>
      </w:r>
      <w:r w:rsidRPr="00AA4C18">
        <w:t xml:space="preserve">  zmena v nároku</w:t>
      </w:r>
    </w:p>
    <w:p w14:paraId="053DADEE" w14:textId="77777777" w:rsidR="0076357A" w:rsidRPr="00AA4C18" w:rsidRDefault="0076357A" w:rsidP="0076357A">
      <w:r w:rsidRPr="00AA4C18">
        <w:rPr>
          <w:bdr w:val="single" w:sz="4" w:space="0" w:color="auto"/>
        </w:rPr>
        <w:t xml:space="preserve">     </w:t>
      </w:r>
      <w:r w:rsidRPr="00AA4C18">
        <w:t xml:space="preserve">  nová služba alebo nariadenie (alebo ich zrušenie)</w:t>
      </w:r>
    </w:p>
    <w:p w14:paraId="2A464254" w14:textId="77777777" w:rsidR="0076357A" w:rsidRPr="00AA4C18" w:rsidRDefault="0076357A" w:rsidP="0076357A">
      <w:r w:rsidRPr="00AA4C18">
        <w:rPr>
          <w:bdr w:val="single" w:sz="4" w:space="0" w:color="auto"/>
        </w:rPr>
        <w:t xml:space="preserve">     </w:t>
      </w:r>
      <w:r w:rsidRPr="00AA4C18">
        <w:t xml:space="preserve">  kombinovaný návrh</w:t>
      </w:r>
    </w:p>
    <w:p w14:paraId="646B5333" w14:textId="77777777" w:rsidR="0076357A" w:rsidRPr="00AA4C18" w:rsidRDefault="0076357A" w:rsidP="0076357A">
      <w:r w:rsidRPr="00AA4C18">
        <w:rPr>
          <w:bdr w:val="single" w:sz="4" w:space="0" w:color="auto"/>
        </w:rPr>
        <w:t xml:space="preserve"> x  </w:t>
      </w:r>
      <w:r w:rsidRPr="00AA4C18">
        <w:t xml:space="preserve">  iné </w:t>
      </w:r>
    </w:p>
    <w:p w14:paraId="0463BEB2" w14:textId="77777777" w:rsidR="0076357A" w:rsidRPr="00AA4C18" w:rsidRDefault="0076357A" w:rsidP="0076357A"/>
    <w:p w14:paraId="01976D1D" w14:textId="77777777" w:rsidR="0076357A" w:rsidRPr="00AA4C18" w:rsidRDefault="0076357A" w:rsidP="0076357A"/>
    <w:p w14:paraId="1C71937C" w14:textId="77777777" w:rsidR="00AA4C18" w:rsidRPr="00AA4C18" w:rsidRDefault="00AA4C18">
      <w:pPr>
        <w:widowControl/>
        <w:adjustRightInd/>
        <w:spacing w:after="200" w:line="276" w:lineRule="auto"/>
        <w:rPr>
          <w:b/>
          <w:bCs/>
        </w:rPr>
      </w:pPr>
      <w:r w:rsidRPr="00AA4C18">
        <w:rPr>
          <w:b/>
          <w:bCs/>
        </w:rPr>
        <w:br w:type="page"/>
      </w:r>
    </w:p>
    <w:p w14:paraId="294198B9" w14:textId="5B2E5B4E" w:rsidR="0076357A" w:rsidRPr="00AA4C18" w:rsidRDefault="0076357A" w:rsidP="0076357A">
      <w:r w:rsidRPr="00AA4C18">
        <w:rPr>
          <w:b/>
          <w:bCs/>
        </w:rPr>
        <w:lastRenderedPageBreak/>
        <w:t>2.2.3. Predpoklady vývoja objemu aktivít:</w:t>
      </w:r>
    </w:p>
    <w:p w14:paraId="548CCAF9" w14:textId="77777777" w:rsidR="0076357A" w:rsidRPr="00AA4C18" w:rsidRDefault="0076357A" w:rsidP="0076357A"/>
    <w:p w14:paraId="385388AA" w14:textId="77777777" w:rsidR="0076357A" w:rsidRPr="00AA4C18" w:rsidRDefault="0076357A" w:rsidP="0076357A">
      <w:pPr>
        <w:ind w:firstLine="708"/>
        <w:jc w:val="both"/>
      </w:pPr>
      <w:r w:rsidRPr="00AA4C18">
        <w:t>Jasne popíšte, v prípade potreby použite nižšie uvedenú tabuľku. Uveďte aj odhady základov daní a/alebo poplatkov, ak sa ich táto zmena týka.</w:t>
      </w:r>
    </w:p>
    <w:p w14:paraId="77AEA797" w14:textId="77777777" w:rsidR="0076357A" w:rsidRPr="00AA4C18" w:rsidRDefault="0076357A" w:rsidP="0076357A">
      <w:pPr>
        <w:jc w:val="right"/>
        <w:rPr>
          <w:sz w:val="20"/>
          <w:szCs w:val="20"/>
        </w:rPr>
      </w:pPr>
      <w:r w:rsidRPr="00AA4C1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6357A" w:rsidRPr="00AA4C18" w14:paraId="09ACA754" w14:textId="77777777" w:rsidTr="0076357A">
        <w:trPr>
          <w:cantSplit/>
          <w:trHeight w:val="70"/>
        </w:trPr>
        <w:tc>
          <w:tcPr>
            <w:tcW w:w="4530" w:type="dxa"/>
            <w:vMerge w:val="restart"/>
            <w:shd w:val="clear" w:color="auto" w:fill="BFBFBF" w:themeFill="background1" w:themeFillShade="BF"/>
            <w:vAlign w:val="center"/>
          </w:tcPr>
          <w:p w14:paraId="026030CA" w14:textId="77777777" w:rsidR="0076357A" w:rsidRPr="00AA4C18" w:rsidRDefault="0076357A" w:rsidP="0076357A">
            <w:pPr>
              <w:autoSpaceDE w:val="0"/>
              <w:autoSpaceDN w:val="0"/>
              <w:jc w:val="center"/>
              <w:rPr>
                <w:b/>
                <w:bCs/>
              </w:rPr>
            </w:pPr>
            <w:r w:rsidRPr="00AA4C18">
              <w:rPr>
                <w:b/>
                <w:bCs/>
              </w:rPr>
              <w:t>Objem aktivít</w:t>
            </w:r>
          </w:p>
        </w:tc>
        <w:tc>
          <w:tcPr>
            <w:tcW w:w="1134" w:type="dxa"/>
            <w:gridSpan w:val="4"/>
            <w:shd w:val="clear" w:color="auto" w:fill="BFBFBF" w:themeFill="background1" w:themeFillShade="BF"/>
            <w:vAlign w:val="center"/>
          </w:tcPr>
          <w:p w14:paraId="3F3C5C45" w14:textId="77777777" w:rsidR="0076357A" w:rsidRPr="00AA4C18" w:rsidRDefault="0076357A" w:rsidP="0076357A">
            <w:pPr>
              <w:autoSpaceDE w:val="0"/>
              <w:autoSpaceDN w:val="0"/>
              <w:jc w:val="center"/>
              <w:rPr>
                <w:b/>
                <w:bCs/>
              </w:rPr>
            </w:pPr>
            <w:r w:rsidRPr="00AA4C18">
              <w:rPr>
                <w:b/>
                <w:bCs/>
              </w:rPr>
              <w:t>Odhadované objemy</w:t>
            </w:r>
          </w:p>
        </w:tc>
      </w:tr>
      <w:tr w:rsidR="0076357A" w:rsidRPr="00AA4C18" w14:paraId="68996CA6" w14:textId="77777777" w:rsidTr="0076357A">
        <w:trPr>
          <w:cantSplit/>
          <w:trHeight w:val="70"/>
        </w:trPr>
        <w:tc>
          <w:tcPr>
            <w:tcW w:w="4530" w:type="dxa"/>
            <w:vMerge/>
            <w:shd w:val="clear" w:color="auto" w:fill="BFBFBF" w:themeFill="background1" w:themeFillShade="BF"/>
          </w:tcPr>
          <w:p w14:paraId="3F9BE6FB" w14:textId="77777777" w:rsidR="0076357A" w:rsidRPr="00AA4C18" w:rsidRDefault="0076357A" w:rsidP="0076357A">
            <w:pPr>
              <w:autoSpaceDE w:val="0"/>
              <w:autoSpaceDN w:val="0"/>
              <w:jc w:val="center"/>
              <w:rPr>
                <w:b/>
                <w:bCs/>
              </w:rPr>
            </w:pPr>
          </w:p>
        </w:tc>
        <w:tc>
          <w:tcPr>
            <w:tcW w:w="1134" w:type="dxa"/>
            <w:shd w:val="clear" w:color="auto" w:fill="BFBFBF" w:themeFill="background1" w:themeFillShade="BF"/>
            <w:vAlign w:val="center"/>
          </w:tcPr>
          <w:p w14:paraId="5AF8FE21" w14:textId="77777777" w:rsidR="0076357A" w:rsidRPr="00AA4C18" w:rsidRDefault="0076357A" w:rsidP="0076357A">
            <w:pPr>
              <w:autoSpaceDE w:val="0"/>
              <w:autoSpaceDN w:val="0"/>
              <w:jc w:val="center"/>
              <w:rPr>
                <w:b/>
                <w:bCs/>
              </w:rPr>
            </w:pPr>
            <w:r w:rsidRPr="00AA4C18">
              <w:rPr>
                <w:b/>
                <w:bCs/>
              </w:rPr>
              <w:t>r</w:t>
            </w:r>
          </w:p>
        </w:tc>
        <w:tc>
          <w:tcPr>
            <w:tcW w:w="1134" w:type="dxa"/>
            <w:shd w:val="clear" w:color="auto" w:fill="BFBFBF" w:themeFill="background1" w:themeFillShade="BF"/>
            <w:vAlign w:val="center"/>
          </w:tcPr>
          <w:p w14:paraId="1D3A14C1" w14:textId="77777777" w:rsidR="0076357A" w:rsidRPr="00AA4C18" w:rsidRDefault="0076357A" w:rsidP="0076357A">
            <w:pPr>
              <w:autoSpaceDE w:val="0"/>
              <w:autoSpaceDN w:val="0"/>
              <w:jc w:val="center"/>
              <w:rPr>
                <w:b/>
                <w:bCs/>
              </w:rPr>
            </w:pPr>
            <w:r w:rsidRPr="00AA4C18">
              <w:rPr>
                <w:b/>
                <w:bCs/>
              </w:rPr>
              <w:t>r + 1</w:t>
            </w:r>
          </w:p>
        </w:tc>
        <w:tc>
          <w:tcPr>
            <w:tcW w:w="1134" w:type="dxa"/>
            <w:shd w:val="clear" w:color="auto" w:fill="BFBFBF" w:themeFill="background1" w:themeFillShade="BF"/>
            <w:vAlign w:val="center"/>
          </w:tcPr>
          <w:p w14:paraId="583ADEA5" w14:textId="77777777" w:rsidR="0076357A" w:rsidRPr="00AA4C18" w:rsidRDefault="0076357A" w:rsidP="0076357A">
            <w:pPr>
              <w:autoSpaceDE w:val="0"/>
              <w:autoSpaceDN w:val="0"/>
              <w:jc w:val="center"/>
              <w:rPr>
                <w:b/>
                <w:bCs/>
              </w:rPr>
            </w:pPr>
            <w:r w:rsidRPr="00AA4C18">
              <w:rPr>
                <w:b/>
                <w:bCs/>
              </w:rPr>
              <w:t>r + 2</w:t>
            </w:r>
          </w:p>
        </w:tc>
        <w:tc>
          <w:tcPr>
            <w:tcW w:w="1134" w:type="dxa"/>
            <w:shd w:val="clear" w:color="auto" w:fill="BFBFBF" w:themeFill="background1" w:themeFillShade="BF"/>
            <w:vAlign w:val="center"/>
          </w:tcPr>
          <w:p w14:paraId="657C3210" w14:textId="77777777" w:rsidR="0076357A" w:rsidRPr="00AA4C18" w:rsidRDefault="0076357A" w:rsidP="0076357A">
            <w:pPr>
              <w:autoSpaceDE w:val="0"/>
              <w:autoSpaceDN w:val="0"/>
              <w:jc w:val="center"/>
              <w:rPr>
                <w:b/>
                <w:bCs/>
              </w:rPr>
            </w:pPr>
            <w:r w:rsidRPr="00AA4C18">
              <w:rPr>
                <w:b/>
                <w:bCs/>
              </w:rPr>
              <w:t>r + 3</w:t>
            </w:r>
          </w:p>
        </w:tc>
      </w:tr>
      <w:tr w:rsidR="0076357A" w:rsidRPr="00AA4C18" w14:paraId="3BA70FE2" w14:textId="77777777" w:rsidTr="0076357A">
        <w:trPr>
          <w:trHeight w:val="70"/>
        </w:trPr>
        <w:tc>
          <w:tcPr>
            <w:tcW w:w="4530" w:type="dxa"/>
          </w:tcPr>
          <w:p w14:paraId="60E9F82A" w14:textId="77777777" w:rsidR="0076357A" w:rsidRPr="00AA4C18" w:rsidRDefault="0076357A" w:rsidP="0076357A">
            <w:pPr>
              <w:autoSpaceDE w:val="0"/>
              <w:autoSpaceDN w:val="0"/>
            </w:pPr>
            <w:r w:rsidRPr="00AA4C18">
              <w:t>Indikátor ABC</w:t>
            </w:r>
          </w:p>
        </w:tc>
        <w:tc>
          <w:tcPr>
            <w:tcW w:w="1134" w:type="dxa"/>
          </w:tcPr>
          <w:p w14:paraId="0AE257A0" w14:textId="77777777" w:rsidR="0076357A" w:rsidRPr="00AA4C18" w:rsidRDefault="0076357A" w:rsidP="0076357A">
            <w:pPr>
              <w:autoSpaceDE w:val="0"/>
              <w:autoSpaceDN w:val="0"/>
              <w:jc w:val="right"/>
            </w:pPr>
          </w:p>
        </w:tc>
        <w:tc>
          <w:tcPr>
            <w:tcW w:w="1134" w:type="dxa"/>
          </w:tcPr>
          <w:p w14:paraId="28484BF9" w14:textId="77777777" w:rsidR="0076357A" w:rsidRPr="00AA4C18" w:rsidRDefault="0076357A" w:rsidP="0076357A">
            <w:pPr>
              <w:autoSpaceDE w:val="0"/>
              <w:autoSpaceDN w:val="0"/>
              <w:jc w:val="right"/>
            </w:pPr>
          </w:p>
        </w:tc>
        <w:tc>
          <w:tcPr>
            <w:tcW w:w="1134" w:type="dxa"/>
          </w:tcPr>
          <w:p w14:paraId="789767CB" w14:textId="77777777" w:rsidR="0076357A" w:rsidRPr="00AA4C18" w:rsidRDefault="0076357A" w:rsidP="0076357A">
            <w:pPr>
              <w:autoSpaceDE w:val="0"/>
              <w:autoSpaceDN w:val="0"/>
              <w:jc w:val="right"/>
            </w:pPr>
          </w:p>
        </w:tc>
        <w:tc>
          <w:tcPr>
            <w:tcW w:w="1134" w:type="dxa"/>
          </w:tcPr>
          <w:p w14:paraId="6375DCDE" w14:textId="77777777" w:rsidR="0076357A" w:rsidRPr="00AA4C18" w:rsidRDefault="0076357A" w:rsidP="0076357A">
            <w:pPr>
              <w:autoSpaceDE w:val="0"/>
              <w:autoSpaceDN w:val="0"/>
              <w:jc w:val="right"/>
            </w:pPr>
          </w:p>
        </w:tc>
      </w:tr>
      <w:tr w:rsidR="0076357A" w:rsidRPr="00AA4C18" w14:paraId="64728971" w14:textId="77777777" w:rsidTr="0076357A">
        <w:trPr>
          <w:trHeight w:val="70"/>
        </w:trPr>
        <w:tc>
          <w:tcPr>
            <w:tcW w:w="4530" w:type="dxa"/>
          </w:tcPr>
          <w:p w14:paraId="131925C6" w14:textId="77777777" w:rsidR="0076357A" w:rsidRPr="00AA4C18" w:rsidRDefault="0076357A" w:rsidP="0076357A">
            <w:pPr>
              <w:autoSpaceDE w:val="0"/>
              <w:autoSpaceDN w:val="0"/>
            </w:pPr>
            <w:r w:rsidRPr="00AA4C18">
              <w:t>Indikátor KLM</w:t>
            </w:r>
          </w:p>
        </w:tc>
        <w:tc>
          <w:tcPr>
            <w:tcW w:w="1134" w:type="dxa"/>
          </w:tcPr>
          <w:p w14:paraId="46CADA25" w14:textId="77777777" w:rsidR="0076357A" w:rsidRPr="00AA4C18" w:rsidRDefault="0076357A" w:rsidP="0076357A">
            <w:pPr>
              <w:autoSpaceDE w:val="0"/>
              <w:autoSpaceDN w:val="0"/>
              <w:jc w:val="right"/>
            </w:pPr>
          </w:p>
        </w:tc>
        <w:tc>
          <w:tcPr>
            <w:tcW w:w="1134" w:type="dxa"/>
          </w:tcPr>
          <w:p w14:paraId="6F1FA6A3" w14:textId="77777777" w:rsidR="0076357A" w:rsidRPr="00AA4C18" w:rsidRDefault="0076357A" w:rsidP="0076357A">
            <w:pPr>
              <w:autoSpaceDE w:val="0"/>
              <w:autoSpaceDN w:val="0"/>
              <w:jc w:val="right"/>
            </w:pPr>
          </w:p>
        </w:tc>
        <w:tc>
          <w:tcPr>
            <w:tcW w:w="1134" w:type="dxa"/>
          </w:tcPr>
          <w:p w14:paraId="2C48BC51" w14:textId="77777777" w:rsidR="0076357A" w:rsidRPr="00AA4C18" w:rsidRDefault="0076357A" w:rsidP="0076357A">
            <w:pPr>
              <w:autoSpaceDE w:val="0"/>
              <w:autoSpaceDN w:val="0"/>
              <w:jc w:val="right"/>
            </w:pPr>
          </w:p>
        </w:tc>
        <w:tc>
          <w:tcPr>
            <w:tcW w:w="1134" w:type="dxa"/>
          </w:tcPr>
          <w:p w14:paraId="7D6D4810" w14:textId="77777777" w:rsidR="0076357A" w:rsidRPr="00AA4C18" w:rsidRDefault="0076357A" w:rsidP="0076357A">
            <w:pPr>
              <w:autoSpaceDE w:val="0"/>
              <w:autoSpaceDN w:val="0"/>
              <w:jc w:val="right"/>
            </w:pPr>
          </w:p>
        </w:tc>
      </w:tr>
      <w:tr w:rsidR="0076357A" w:rsidRPr="00AA4C18" w14:paraId="4354E307" w14:textId="77777777" w:rsidTr="0076357A">
        <w:trPr>
          <w:trHeight w:val="70"/>
        </w:trPr>
        <w:tc>
          <w:tcPr>
            <w:tcW w:w="4530" w:type="dxa"/>
          </w:tcPr>
          <w:p w14:paraId="190FA92B" w14:textId="77777777" w:rsidR="0076357A" w:rsidRPr="00AA4C18" w:rsidRDefault="0076357A" w:rsidP="0076357A">
            <w:pPr>
              <w:autoSpaceDE w:val="0"/>
              <w:autoSpaceDN w:val="0"/>
            </w:pPr>
            <w:r w:rsidRPr="00AA4C18">
              <w:t>Indikátor XYZ</w:t>
            </w:r>
          </w:p>
        </w:tc>
        <w:tc>
          <w:tcPr>
            <w:tcW w:w="1134" w:type="dxa"/>
          </w:tcPr>
          <w:p w14:paraId="08D9866E" w14:textId="77777777" w:rsidR="0076357A" w:rsidRPr="00AA4C18" w:rsidRDefault="0076357A" w:rsidP="0076357A">
            <w:pPr>
              <w:autoSpaceDE w:val="0"/>
              <w:autoSpaceDN w:val="0"/>
              <w:jc w:val="right"/>
            </w:pPr>
          </w:p>
        </w:tc>
        <w:tc>
          <w:tcPr>
            <w:tcW w:w="1134" w:type="dxa"/>
          </w:tcPr>
          <w:p w14:paraId="1C06D918" w14:textId="77777777" w:rsidR="0076357A" w:rsidRPr="00AA4C18" w:rsidRDefault="0076357A" w:rsidP="0076357A">
            <w:pPr>
              <w:autoSpaceDE w:val="0"/>
              <w:autoSpaceDN w:val="0"/>
              <w:jc w:val="right"/>
            </w:pPr>
          </w:p>
        </w:tc>
        <w:tc>
          <w:tcPr>
            <w:tcW w:w="1134" w:type="dxa"/>
          </w:tcPr>
          <w:p w14:paraId="4DC32ADC" w14:textId="77777777" w:rsidR="0076357A" w:rsidRPr="00AA4C18" w:rsidRDefault="0076357A" w:rsidP="0076357A">
            <w:pPr>
              <w:autoSpaceDE w:val="0"/>
              <w:autoSpaceDN w:val="0"/>
              <w:jc w:val="right"/>
            </w:pPr>
          </w:p>
        </w:tc>
        <w:tc>
          <w:tcPr>
            <w:tcW w:w="1134" w:type="dxa"/>
          </w:tcPr>
          <w:p w14:paraId="53501C27" w14:textId="77777777" w:rsidR="0076357A" w:rsidRPr="00AA4C18" w:rsidRDefault="0076357A" w:rsidP="0076357A">
            <w:pPr>
              <w:autoSpaceDE w:val="0"/>
              <w:autoSpaceDN w:val="0"/>
              <w:jc w:val="right"/>
            </w:pPr>
          </w:p>
        </w:tc>
      </w:tr>
    </w:tbl>
    <w:p w14:paraId="2A965BBC" w14:textId="77777777" w:rsidR="0076357A" w:rsidRPr="00AA4C18" w:rsidRDefault="0076357A" w:rsidP="0076357A"/>
    <w:p w14:paraId="654A0D1E" w14:textId="77777777" w:rsidR="0076357A" w:rsidRPr="00AA4C18" w:rsidRDefault="0076357A" w:rsidP="0076357A"/>
    <w:p w14:paraId="64E61F39" w14:textId="77777777" w:rsidR="0076357A" w:rsidRPr="00AA4C18" w:rsidRDefault="0076357A" w:rsidP="0076357A">
      <w:pPr>
        <w:rPr>
          <w:b/>
          <w:bCs/>
        </w:rPr>
      </w:pPr>
      <w:r w:rsidRPr="00AA4C18">
        <w:rPr>
          <w:b/>
          <w:bCs/>
        </w:rPr>
        <w:t>2.2.4. Výpočty vplyvov na verejné financie</w:t>
      </w:r>
    </w:p>
    <w:p w14:paraId="6B48BA0D" w14:textId="77777777" w:rsidR="0076357A" w:rsidRPr="00AA4C18" w:rsidRDefault="0076357A" w:rsidP="0076357A"/>
    <w:p w14:paraId="60167796" w14:textId="77777777" w:rsidR="0076357A" w:rsidRPr="00AA4C18" w:rsidRDefault="0076357A" w:rsidP="0076357A">
      <w:pPr>
        <w:ind w:firstLine="708"/>
        <w:jc w:val="both"/>
      </w:pPr>
      <w:r w:rsidRPr="00AA4C18">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58F6A0DD" w14:textId="77777777" w:rsidR="0076357A" w:rsidRPr="00AA4C18" w:rsidRDefault="0076357A" w:rsidP="0076357A">
      <w:pPr>
        <w:jc w:val="both"/>
        <w:rPr>
          <w:i/>
        </w:rPr>
      </w:pPr>
    </w:p>
    <w:p w14:paraId="0886234B" w14:textId="77777777" w:rsidR="0076357A" w:rsidRPr="00AA4C18" w:rsidRDefault="0076357A" w:rsidP="0076357A">
      <w:pPr>
        <w:spacing w:after="120"/>
        <w:jc w:val="both"/>
        <w:rPr>
          <w:i/>
        </w:rPr>
      </w:pPr>
      <w:r w:rsidRPr="00AA4C18">
        <w:rPr>
          <w:i/>
        </w:rPr>
        <w:t xml:space="preserve">Rozpočet na sčítanie v roku 2021 sa nemohol vytvárať podľa rozpočtu sčítania v roku 2011, pretože kým sčítanie v roku 2011 malo podobu tradičného sčítania (údaje sa zisťovali priamo od obyvateľov, ktorí mali povinnosť spolu s cudzincami zdržiavajúcimi sa na území nášho štátu v rozhodujúcom okamihu sčítania vyplniť buď sami (metóda samosčítania), alebo prostredníctvom asistentov sčítacie formuláre) sčítanie v roku 2021 bude mať novú podobu a bude realizované ako integrované sčítanie (integrované sčítanie je z hľadiska metód kombinovaným sčítaním, založeným na integrácii údajov z administratívnych zdrojov údajov a registrov a údajov z terénu.). </w:t>
      </w:r>
    </w:p>
    <w:p w14:paraId="1D04A208" w14:textId="77777777" w:rsidR="0076357A" w:rsidRPr="00AA4C18" w:rsidRDefault="0076357A" w:rsidP="0076357A">
      <w:pPr>
        <w:spacing w:after="120"/>
        <w:jc w:val="both"/>
        <w:rPr>
          <w:i/>
        </w:rPr>
      </w:pPr>
      <w:r w:rsidRPr="00AA4C18">
        <w:rPr>
          <w:i/>
        </w:rPr>
        <w:t xml:space="preserve">Ak by sa vychádzalo z rozpočtu sčítania v roku 2011, po započítaní všetkých úspor ( tlač dotazníkov, skenovanie a pod. ) a zmien v cenách / nárast miezd a zmeny v odvodovej politike, nárast cien tovarov a predovšetkým služieb/  a po komplexnej analýze súčasných podmienok  by sčítanie realizované starým spôsobom stálo cca 48 mil. EUR. Rozpočet  SODB 2021 bude  o cca 11 mil. EUR vyšší, čo je spôsobené predovšetkým skutočnosťou, že sčítanie 2021 bude realizované novým spôsobom , prinesie menšiu záťaž obyvateľstva, podstatne vyššiu kvalitu získaných dát a vytvorí predpoklady a podmienky pre realizáciu tzv. </w:t>
      </w:r>
      <w:proofErr w:type="spellStart"/>
      <w:r w:rsidRPr="00AA4C18">
        <w:rPr>
          <w:i/>
        </w:rPr>
        <w:t>postcenzov</w:t>
      </w:r>
      <w:proofErr w:type="spellEnd"/>
      <w:r w:rsidRPr="00AA4C18">
        <w:rPr>
          <w:i/>
        </w:rPr>
        <w:t xml:space="preserve"> s minimálnymi nákladmi.</w:t>
      </w:r>
    </w:p>
    <w:p w14:paraId="55C8BFB5" w14:textId="77777777" w:rsidR="0076357A" w:rsidRPr="00AA4C18" w:rsidRDefault="0076357A" w:rsidP="0076357A">
      <w:pPr>
        <w:spacing w:after="120"/>
        <w:jc w:val="both"/>
        <w:rPr>
          <w:i/>
        </w:rPr>
      </w:pPr>
      <w:r w:rsidRPr="00AA4C18">
        <w:rPr>
          <w:i/>
        </w:rPr>
        <w:t>Rozpočet sčítania v roku 2021 tvoria nasledovné typy výdavkov:</w:t>
      </w:r>
    </w:p>
    <w:p w14:paraId="116F6271" w14:textId="77777777" w:rsidR="0076357A" w:rsidRPr="00AA4C18" w:rsidRDefault="0076357A" w:rsidP="0076357A">
      <w:pPr>
        <w:pStyle w:val="EYBulletedList1"/>
        <w:spacing w:after="120"/>
        <w:ind w:left="289" w:hanging="289"/>
        <w:jc w:val="both"/>
        <w:rPr>
          <w:rFonts w:ascii="Times New Roman" w:hAnsi="Times New Roman"/>
          <w:i/>
          <w:sz w:val="24"/>
          <w:lang w:val="sk-SK"/>
        </w:rPr>
      </w:pPr>
      <w:r w:rsidRPr="00AA4C18">
        <w:rPr>
          <w:rFonts w:ascii="Times New Roman" w:hAnsi="Times New Roman"/>
          <w:i/>
          <w:sz w:val="24"/>
          <w:lang w:val="sk-SK"/>
        </w:rPr>
        <w:t>Osobné výdavky – 5 250  tis. EUR</w:t>
      </w:r>
    </w:p>
    <w:p w14:paraId="79203ACD" w14:textId="77777777" w:rsidR="0076357A" w:rsidRPr="00AA4C18" w:rsidRDefault="0076357A" w:rsidP="0076357A">
      <w:pPr>
        <w:spacing w:after="120"/>
        <w:jc w:val="both"/>
        <w:rPr>
          <w:i/>
        </w:rPr>
      </w:pPr>
      <w:r w:rsidRPr="00AA4C18">
        <w:rPr>
          <w:i/>
        </w:rPr>
        <w:t>Ide o výdavky na zamestnancov Štatistického úradu SR, kde počet zamestnancov pracujúcich na sčítaní v jednotlivých rokoch je naplánovaný nasledovne:</w:t>
      </w:r>
    </w:p>
    <w:tbl>
      <w:tblPr>
        <w:tblStyle w:val="Mriekatabuky"/>
        <w:tblW w:w="0" w:type="auto"/>
        <w:tblLook w:val="04A0" w:firstRow="1" w:lastRow="0" w:firstColumn="1" w:lastColumn="0" w:noHBand="0" w:noVBand="1"/>
      </w:tblPr>
      <w:tblGrid>
        <w:gridCol w:w="1176"/>
        <w:gridCol w:w="1176"/>
        <w:gridCol w:w="1177"/>
        <w:gridCol w:w="1177"/>
        <w:gridCol w:w="1177"/>
        <w:gridCol w:w="1177"/>
      </w:tblGrid>
      <w:tr w:rsidR="0076357A" w:rsidRPr="00AA4C18" w14:paraId="28C08728" w14:textId="77777777" w:rsidTr="0076357A">
        <w:tc>
          <w:tcPr>
            <w:tcW w:w="1176" w:type="dxa"/>
          </w:tcPr>
          <w:p w14:paraId="647CBBB0" w14:textId="77777777" w:rsidR="0076357A" w:rsidRPr="00AA4C18" w:rsidRDefault="0076357A" w:rsidP="0076357A">
            <w:pPr>
              <w:jc w:val="both"/>
              <w:rPr>
                <w:i/>
              </w:rPr>
            </w:pPr>
            <w:r w:rsidRPr="00AA4C18">
              <w:rPr>
                <w:i/>
              </w:rPr>
              <w:t>2019</w:t>
            </w:r>
          </w:p>
        </w:tc>
        <w:tc>
          <w:tcPr>
            <w:tcW w:w="1176" w:type="dxa"/>
          </w:tcPr>
          <w:p w14:paraId="20393A76" w14:textId="77777777" w:rsidR="0076357A" w:rsidRPr="00AA4C18" w:rsidRDefault="0076357A" w:rsidP="0076357A">
            <w:pPr>
              <w:jc w:val="both"/>
              <w:rPr>
                <w:i/>
              </w:rPr>
            </w:pPr>
            <w:r w:rsidRPr="00AA4C18">
              <w:rPr>
                <w:i/>
              </w:rPr>
              <w:t>2020</w:t>
            </w:r>
          </w:p>
        </w:tc>
        <w:tc>
          <w:tcPr>
            <w:tcW w:w="1177" w:type="dxa"/>
          </w:tcPr>
          <w:p w14:paraId="4E848D71" w14:textId="77777777" w:rsidR="0076357A" w:rsidRPr="00AA4C18" w:rsidRDefault="0076357A" w:rsidP="0076357A">
            <w:pPr>
              <w:jc w:val="both"/>
              <w:rPr>
                <w:i/>
              </w:rPr>
            </w:pPr>
            <w:r w:rsidRPr="00AA4C18">
              <w:rPr>
                <w:i/>
              </w:rPr>
              <w:t>2021</w:t>
            </w:r>
          </w:p>
        </w:tc>
        <w:tc>
          <w:tcPr>
            <w:tcW w:w="1177" w:type="dxa"/>
          </w:tcPr>
          <w:p w14:paraId="4E331A51" w14:textId="77777777" w:rsidR="0076357A" w:rsidRPr="00AA4C18" w:rsidRDefault="0076357A" w:rsidP="0076357A">
            <w:pPr>
              <w:jc w:val="both"/>
              <w:rPr>
                <w:i/>
              </w:rPr>
            </w:pPr>
            <w:r w:rsidRPr="00AA4C18">
              <w:rPr>
                <w:i/>
              </w:rPr>
              <w:t>2022</w:t>
            </w:r>
          </w:p>
        </w:tc>
        <w:tc>
          <w:tcPr>
            <w:tcW w:w="1177" w:type="dxa"/>
          </w:tcPr>
          <w:p w14:paraId="19856F58" w14:textId="77777777" w:rsidR="0076357A" w:rsidRPr="00AA4C18" w:rsidRDefault="0076357A" w:rsidP="0076357A">
            <w:pPr>
              <w:jc w:val="both"/>
              <w:rPr>
                <w:i/>
              </w:rPr>
            </w:pPr>
            <w:r w:rsidRPr="00AA4C18">
              <w:rPr>
                <w:i/>
              </w:rPr>
              <w:t>2023</w:t>
            </w:r>
          </w:p>
        </w:tc>
        <w:tc>
          <w:tcPr>
            <w:tcW w:w="1177" w:type="dxa"/>
          </w:tcPr>
          <w:p w14:paraId="2F0D353F" w14:textId="77777777" w:rsidR="0076357A" w:rsidRPr="00AA4C18" w:rsidRDefault="0076357A" w:rsidP="0076357A">
            <w:pPr>
              <w:jc w:val="both"/>
              <w:rPr>
                <w:i/>
              </w:rPr>
            </w:pPr>
            <w:r w:rsidRPr="00AA4C18">
              <w:rPr>
                <w:i/>
              </w:rPr>
              <w:t>2024</w:t>
            </w:r>
          </w:p>
        </w:tc>
      </w:tr>
      <w:tr w:rsidR="0076357A" w:rsidRPr="00AA4C18" w14:paraId="611DD55A" w14:textId="77777777" w:rsidTr="0076357A">
        <w:tc>
          <w:tcPr>
            <w:tcW w:w="1176" w:type="dxa"/>
          </w:tcPr>
          <w:p w14:paraId="7D0DD821" w14:textId="77777777" w:rsidR="0076357A" w:rsidRPr="00AA4C18" w:rsidRDefault="0076357A" w:rsidP="0076357A">
            <w:pPr>
              <w:jc w:val="both"/>
              <w:rPr>
                <w:i/>
              </w:rPr>
            </w:pPr>
            <w:r w:rsidRPr="00AA4C18">
              <w:rPr>
                <w:i/>
              </w:rPr>
              <w:t>36</w:t>
            </w:r>
          </w:p>
        </w:tc>
        <w:tc>
          <w:tcPr>
            <w:tcW w:w="1176" w:type="dxa"/>
          </w:tcPr>
          <w:p w14:paraId="17295896" w14:textId="77777777" w:rsidR="0076357A" w:rsidRPr="00AA4C18" w:rsidRDefault="0076357A" w:rsidP="0076357A">
            <w:pPr>
              <w:jc w:val="both"/>
              <w:rPr>
                <w:i/>
              </w:rPr>
            </w:pPr>
            <w:r w:rsidRPr="00AA4C18">
              <w:rPr>
                <w:i/>
              </w:rPr>
              <w:t>37</w:t>
            </w:r>
          </w:p>
        </w:tc>
        <w:tc>
          <w:tcPr>
            <w:tcW w:w="1177" w:type="dxa"/>
          </w:tcPr>
          <w:p w14:paraId="283829DE" w14:textId="77777777" w:rsidR="0076357A" w:rsidRPr="00AA4C18" w:rsidRDefault="0076357A" w:rsidP="0076357A">
            <w:pPr>
              <w:jc w:val="both"/>
              <w:rPr>
                <w:i/>
              </w:rPr>
            </w:pPr>
            <w:r w:rsidRPr="00AA4C18">
              <w:rPr>
                <w:i/>
              </w:rPr>
              <w:t>49</w:t>
            </w:r>
          </w:p>
        </w:tc>
        <w:tc>
          <w:tcPr>
            <w:tcW w:w="1177" w:type="dxa"/>
          </w:tcPr>
          <w:p w14:paraId="0DAAE60B" w14:textId="77777777" w:rsidR="0076357A" w:rsidRPr="00AA4C18" w:rsidRDefault="0076357A" w:rsidP="0076357A">
            <w:pPr>
              <w:jc w:val="both"/>
              <w:rPr>
                <w:i/>
              </w:rPr>
            </w:pPr>
            <w:r w:rsidRPr="00AA4C18">
              <w:rPr>
                <w:i/>
              </w:rPr>
              <w:t>24</w:t>
            </w:r>
          </w:p>
        </w:tc>
        <w:tc>
          <w:tcPr>
            <w:tcW w:w="1177" w:type="dxa"/>
          </w:tcPr>
          <w:p w14:paraId="7047F6E8" w14:textId="77777777" w:rsidR="0076357A" w:rsidRPr="00AA4C18" w:rsidRDefault="0076357A" w:rsidP="0076357A">
            <w:pPr>
              <w:jc w:val="both"/>
              <w:rPr>
                <w:i/>
              </w:rPr>
            </w:pPr>
            <w:r w:rsidRPr="00AA4C18">
              <w:rPr>
                <w:i/>
              </w:rPr>
              <w:t>19</w:t>
            </w:r>
          </w:p>
        </w:tc>
        <w:tc>
          <w:tcPr>
            <w:tcW w:w="1177" w:type="dxa"/>
          </w:tcPr>
          <w:p w14:paraId="13D803FE" w14:textId="77777777" w:rsidR="0076357A" w:rsidRPr="00AA4C18" w:rsidRDefault="0076357A" w:rsidP="0076357A">
            <w:pPr>
              <w:jc w:val="both"/>
              <w:rPr>
                <w:i/>
              </w:rPr>
            </w:pPr>
            <w:r w:rsidRPr="00AA4C18">
              <w:rPr>
                <w:i/>
              </w:rPr>
              <w:t>17</w:t>
            </w:r>
          </w:p>
        </w:tc>
      </w:tr>
    </w:tbl>
    <w:p w14:paraId="508ED2BC" w14:textId="77777777" w:rsidR="0076357A" w:rsidRPr="00AA4C18" w:rsidRDefault="0076357A" w:rsidP="0076357A">
      <w:pPr>
        <w:spacing w:after="120"/>
        <w:jc w:val="both"/>
        <w:rPr>
          <w:i/>
        </w:rPr>
      </w:pPr>
    </w:p>
    <w:p w14:paraId="12374580" w14:textId="77777777" w:rsidR="0076357A" w:rsidRPr="00AA4C18" w:rsidRDefault="0076357A" w:rsidP="0076357A">
      <w:pPr>
        <w:pStyle w:val="EYBulletedList1"/>
        <w:spacing w:after="120"/>
        <w:ind w:left="289" w:hanging="289"/>
        <w:jc w:val="both"/>
        <w:rPr>
          <w:rFonts w:ascii="Times New Roman" w:hAnsi="Times New Roman"/>
          <w:i/>
          <w:sz w:val="24"/>
          <w:lang w:val="sk-SK"/>
        </w:rPr>
      </w:pPr>
      <w:r w:rsidRPr="00AA4C18">
        <w:rPr>
          <w:rFonts w:ascii="Times New Roman" w:hAnsi="Times New Roman"/>
          <w:i/>
          <w:sz w:val="24"/>
          <w:lang w:val="sk-SK"/>
        </w:rPr>
        <w:t>IT infraštruktúra a IT projekty cca – 21 500 tis. EUR</w:t>
      </w:r>
    </w:p>
    <w:p w14:paraId="6D71F2C0"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Výdavky tvoria tri skupiny: a) územná príprava, b) elektronické sčítanie APV a c) podporné služby</w:t>
      </w:r>
    </w:p>
    <w:p w14:paraId="477A92E1" w14:textId="77777777" w:rsidR="0076357A" w:rsidRPr="00AA4C18" w:rsidRDefault="0076357A" w:rsidP="0076357A">
      <w:pPr>
        <w:pStyle w:val="Odsekzoznamu"/>
        <w:widowControl/>
        <w:numPr>
          <w:ilvl w:val="0"/>
          <w:numId w:val="11"/>
        </w:numPr>
        <w:autoSpaceDE/>
        <w:autoSpaceDN/>
        <w:adjustRightInd/>
        <w:spacing w:after="120"/>
        <w:ind w:left="284" w:hanging="284"/>
        <w:contextualSpacing w:val="0"/>
        <w:jc w:val="both"/>
        <w:rPr>
          <w:i/>
          <w:kern w:val="12"/>
        </w:rPr>
      </w:pPr>
      <w:r w:rsidRPr="00AA4C18">
        <w:rPr>
          <w:i/>
          <w:kern w:val="12"/>
        </w:rPr>
        <w:t xml:space="preserve">Územná príprava – výdavky celkom – 5 210 000 eur,  výdavky najmä na realizačné projekty (260 tis. EUR), príprava centrálnej </w:t>
      </w:r>
      <w:proofErr w:type="spellStart"/>
      <w:r w:rsidRPr="00AA4C18">
        <w:rPr>
          <w:i/>
          <w:kern w:val="12"/>
        </w:rPr>
        <w:t>geodatabázy</w:t>
      </w:r>
      <w:proofErr w:type="spellEnd"/>
      <w:r w:rsidRPr="00AA4C18">
        <w:rPr>
          <w:i/>
          <w:kern w:val="12"/>
        </w:rPr>
        <w:t xml:space="preserve"> a migrácia dát(127 tis. EUR), integrácia </w:t>
      </w:r>
      <w:r w:rsidRPr="00AA4C18">
        <w:rPr>
          <w:i/>
          <w:kern w:val="12"/>
        </w:rPr>
        <w:lastRenderedPageBreak/>
        <w:t>dátových zdrojov (230 tis. EUR), GIS (975 tis. EUR), webová aplikácia (350 tis. EUR), mobilná aplikácia (270 tis. EUR), školenia, testovanie, pilot, podpora po projekte atď.,</w:t>
      </w:r>
    </w:p>
    <w:p w14:paraId="4461A791" w14:textId="77777777" w:rsidR="0076357A" w:rsidRPr="00AA4C18" w:rsidRDefault="0076357A" w:rsidP="0076357A">
      <w:pPr>
        <w:pStyle w:val="Odsekzoznamu"/>
        <w:widowControl/>
        <w:numPr>
          <w:ilvl w:val="0"/>
          <w:numId w:val="11"/>
        </w:numPr>
        <w:autoSpaceDE/>
        <w:autoSpaceDN/>
        <w:adjustRightInd/>
        <w:spacing w:after="120"/>
        <w:ind w:left="284" w:hanging="284"/>
        <w:contextualSpacing w:val="0"/>
        <w:jc w:val="both"/>
        <w:rPr>
          <w:i/>
          <w:kern w:val="12"/>
        </w:rPr>
      </w:pPr>
      <w:r w:rsidRPr="00AA4C18">
        <w:rPr>
          <w:i/>
          <w:kern w:val="12"/>
        </w:rPr>
        <w:t xml:space="preserve">Elektronické sčítanie – hardware (2 mil. EUR), softvér (1,6 mil. EUR), softvérové dielo pre elektronické sčítanie (7 mil. EUR), mobilné zariadenia, </w:t>
      </w:r>
      <w:proofErr w:type="spellStart"/>
      <w:r w:rsidRPr="00AA4C18">
        <w:rPr>
          <w:i/>
          <w:kern w:val="12"/>
        </w:rPr>
        <w:t>call</w:t>
      </w:r>
      <w:proofErr w:type="spellEnd"/>
      <w:r w:rsidRPr="00AA4C18">
        <w:rPr>
          <w:i/>
          <w:kern w:val="12"/>
        </w:rPr>
        <w:t xml:space="preserve"> centrum a podporné služby, bude zahŕňať aj APV pre spracovanie údajov a ich šírenie</w:t>
      </w:r>
    </w:p>
    <w:p w14:paraId="716639BE" w14:textId="77777777" w:rsidR="0076357A" w:rsidRPr="00AA4C18" w:rsidRDefault="0076357A" w:rsidP="0076357A">
      <w:pPr>
        <w:pStyle w:val="Odsekzoznamu"/>
        <w:widowControl/>
        <w:numPr>
          <w:ilvl w:val="0"/>
          <w:numId w:val="11"/>
        </w:numPr>
        <w:autoSpaceDE/>
        <w:autoSpaceDN/>
        <w:adjustRightInd/>
        <w:spacing w:after="120"/>
        <w:ind w:left="284" w:hanging="284"/>
        <w:contextualSpacing w:val="0"/>
        <w:jc w:val="both"/>
        <w:rPr>
          <w:i/>
          <w:kern w:val="12"/>
        </w:rPr>
      </w:pPr>
      <w:r w:rsidRPr="00AA4C18">
        <w:rPr>
          <w:i/>
          <w:kern w:val="12"/>
        </w:rPr>
        <w:t>Podporné služby – podpora prevádzky, podpora pre integráciu</w:t>
      </w:r>
    </w:p>
    <w:p w14:paraId="79C22694" w14:textId="77777777" w:rsidR="0076357A" w:rsidRPr="00AA4C18" w:rsidRDefault="0076357A" w:rsidP="0076357A">
      <w:pPr>
        <w:pStyle w:val="EYBulletedList1"/>
        <w:spacing w:after="120"/>
        <w:ind w:left="289" w:hanging="289"/>
        <w:jc w:val="both"/>
        <w:rPr>
          <w:rFonts w:ascii="Times New Roman" w:hAnsi="Times New Roman"/>
          <w:i/>
          <w:sz w:val="24"/>
          <w:lang w:val="sk-SK"/>
        </w:rPr>
      </w:pPr>
      <w:r w:rsidRPr="00AA4C18">
        <w:rPr>
          <w:rFonts w:ascii="Times New Roman" w:hAnsi="Times New Roman"/>
          <w:i/>
          <w:sz w:val="24"/>
          <w:lang w:val="sk-SK"/>
        </w:rPr>
        <w:t>Tovary a služby – 32 623 500 EUR</w:t>
      </w:r>
    </w:p>
    <w:p w14:paraId="284F0603"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 xml:space="preserve">Prostriedky sú rozpočtované najmä na výskum, vývoj a prípravné práce – 1 mil. EUR, ďalej na komunikáciu a propagáciu – 1,2 mil. EUR, testovanie a pilot – 1,2 mil. EUR. Najväčšia časť rozpočtu z položky Tovary a služby bude použitá na financovanie zberu údajov v teréne – 26,3 mil. EUR. Na spracovanie – 0,6 mil. EUR, </w:t>
      </w:r>
      <w:proofErr w:type="spellStart"/>
      <w:r w:rsidRPr="00AA4C18">
        <w:rPr>
          <w:rFonts w:ascii="Times New Roman" w:hAnsi="Times New Roman"/>
          <w:i/>
          <w:sz w:val="24"/>
          <w:lang w:val="sk-SK"/>
        </w:rPr>
        <w:t>diseminácia</w:t>
      </w:r>
      <w:proofErr w:type="spellEnd"/>
      <w:r w:rsidRPr="00AA4C18">
        <w:rPr>
          <w:rFonts w:ascii="Times New Roman" w:hAnsi="Times New Roman"/>
          <w:i/>
          <w:sz w:val="24"/>
          <w:lang w:val="sk-SK"/>
        </w:rPr>
        <w:t xml:space="preserve"> – 150 tis. EUR (publikácie, posielanie údajov), malé tovary a služby – 1,6 mil. EUR (energia, vybavenie nových pracovníkov, cestovné náklady, semináre).</w:t>
      </w:r>
    </w:p>
    <w:p w14:paraId="7AA65982"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Na obdobie rokov 2019 – 2024 sú pre sčítanie v roku 2021 odhadované finančné náklady vo výške cca 59 mil.  EUR. Najväčší objem nákladov pre sčítanie v roku 2021 je plánovaný na roky 2020 a 2021, kedy sa budú realizovať práce vyžadujúce si dočasné navýšenie ľudských zdrojov pre zber údajov o domoch a bytoch a zber údajov o obyvateľstve.</w:t>
      </w:r>
    </w:p>
    <w:p w14:paraId="5AC4C7D0"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Po zohľadnení všetkých okolností v porovnaní s minulým sčítaním ide o navýšenie v stálych cenách o cca 11  mil. EUR. Dôvodom pre navýšenie sú:</w:t>
      </w:r>
    </w:p>
    <w:p w14:paraId="4A324C81"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a) zmena koncepcie (integrované sčítanie v roku 2021),</w:t>
      </w:r>
    </w:p>
    <w:p w14:paraId="06ADD7D2"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 xml:space="preserve"> b) neexistencia registra bytov, ale napr. aj registrov a administratívnych zdrojov údajov o dosiahnutom vzdelaní a aktuálny stav v integrácii existujúcich administratívnych zdrojov údajov,</w:t>
      </w:r>
    </w:p>
    <w:p w14:paraId="563D366E"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i/>
          <w:sz w:val="24"/>
          <w:lang w:val="sk-SK"/>
        </w:rPr>
        <w:t xml:space="preserve"> c) príprava </w:t>
      </w:r>
      <w:proofErr w:type="spellStart"/>
      <w:r w:rsidRPr="00AA4C18">
        <w:rPr>
          <w:rFonts w:ascii="Times New Roman" w:hAnsi="Times New Roman"/>
          <w:i/>
          <w:sz w:val="24"/>
          <w:lang w:val="sk-SK"/>
        </w:rPr>
        <w:t>postcenzov</w:t>
      </w:r>
      <w:proofErr w:type="spellEnd"/>
      <w:r w:rsidRPr="00AA4C18">
        <w:rPr>
          <w:rFonts w:ascii="Times New Roman" w:hAnsi="Times New Roman"/>
          <w:i/>
          <w:sz w:val="24"/>
          <w:lang w:val="sk-SK"/>
        </w:rPr>
        <w:t xml:space="preserve"> 2021.</w:t>
      </w:r>
    </w:p>
    <w:p w14:paraId="055DFB12" w14:textId="77777777" w:rsidR="0076357A" w:rsidRPr="00AA4C18" w:rsidRDefault="0076357A" w:rsidP="0076357A">
      <w:pPr>
        <w:pStyle w:val="EYNormal"/>
        <w:spacing w:after="120"/>
        <w:jc w:val="both"/>
        <w:rPr>
          <w:rFonts w:ascii="Times New Roman" w:hAnsi="Times New Roman"/>
          <w:b/>
          <w:i/>
          <w:sz w:val="24"/>
          <w:lang w:val="sk-SK"/>
        </w:rPr>
      </w:pPr>
      <w:r w:rsidRPr="00AA4C18">
        <w:rPr>
          <w:rFonts w:ascii="Times New Roman" w:hAnsi="Times New Roman"/>
          <w:b/>
          <w:i/>
          <w:sz w:val="24"/>
          <w:lang w:val="sk-SK"/>
        </w:rPr>
        <w:t>Zdôvodnenie nákladov rozpočtu podľa komponentov a činností</w:t>
      </w:r>
    </w:p>
    <w:p w14:paraId="0175A49B"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b/>
          <w:i/>
          <w:sz w:val="24"/>
          <w:lang w:val="sk-SK"/>
        </w:rPr>
        <w:t>Zamestnanci a mzdy</w:t>
      </w:r>
      <w:r w:rsidRPr="00AA4C18">
        <w:rPr>
          <w:rFonts w:ascii="Times New Roman" w:hAnsi="Times New Roman"/>
          <w:i/>
          <w:sz w:val="24"/>
          <w:lang w:val="sk-SK"/>
        </w:rPr>
        <w:t xml:space="preserve"> – rozpočet počíta s nižším počtom zamestnancov na dobu určitú (expertov pre sčítanie) na Štatistickom úrade SR oproti minulému sčítaniu. Dôvodom je racionalizácia dizajnu prác v teréne, nižší rozsah prác v teréne vzhľadom na myšlienku plne elektronického sčítania, ako aj využitie existujúcich zdrojov úradu (</w:t>
      </w:r>
      <w:proofErr w:type="spellStart"/>
      <w:r w:rsidRPr="00AA4C18">
        <w:rPr>
          <w:rFonts w:ascii="Times New Roman" w:hAnsi="Times New Roman"/>
          <w:i/>
          <w:sz w:val="24"/>
          <w:lang w:val="sk-SK"/>
        </w:rPr>
        <w:t>opytovatelia</w:t>
      </w:r>
      <w:proofErr w:type="spellEnd"/>
      <w:r w:rsidRPr="00AA4C18">
        <w:rPr>
          <w:rFonts w:ascii="Times New Roman" w:hAnsi="Times New Roman"/>
          <w:i/>
          <w:sz w:val="24"/>
          <w:lang w:val="sk-SK"/>
        </w:rPr>
        <w:t xml:space="preserve"> v teréne). Zároveň sa počíta s vytvorení tzv. analytického centra, ktoré bude perspektívne pracovať aj v iných štatistických oblastiach a bude pokračovať aj po roku 2024.</w:t>
      </w:r>
    </w:p>
    <w:p w14:paraId="1938713A"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b/>
          <w:i/>
          <w:sz w:val="24"/>
          <w:lang w:val="sk-SK"/>
        </w:rPr>
        <w:t>IT infraštruktúra a IT projekty</w:t>
      </w:r>
      <w:r w:rsidRPr="00AA4C18">
        <w:rPr>
          <w:rFonts w:ascii="Times New Roman" w:hAnsi="Times New Roman"/>
          <w:i/>
          <w:sz w:val="24"/>
          <w:lang w:val="sk-SK"/>
        </w:rPr>
        <w:t xml:space="preserve"> – súčasná kvalita administratívnych zdrojov údajov plne nezodpovedá štatistickému účelu. Táto skutočnosť má dopad na IT infraštruktúru potrebnú na zber údajov a ich spracovanie. Vybudovaná infraštruktúra bude mať svoje miesto v systéme produkcie Štatistického úradu SR (využitie pre iné zisťovania v teréne a ich skvalitnenie pri znížení záťaže obyvateľstva) a bude mať potenciál využiť sa aj pre účely postcenzu, ako je uvedené vyššie. Bude základom pre budúce sčítanie v roku 2030, ktoré by mohlo byť plne registrovým sčítaním. Zahŕňa IT infraštruktúru a príslušné aplikačné programové vybavenia pre účely územnej prípravy, pre účely zberu údajov od obyvateľov a zberu údajov o domoch a bytoch, pre účely spracovania a </w:t>
      </w:r>
      <w:proofErr w:type="spellStart"/>
      <w:r w:rsidRPr="00AA4C18">
        <w:rPr>
          <w:rFonts w:ascii="Times New Roman" w:hAnsi="Times New Roman"/>
          <w:i/>
          <w:sz w:val="24"/>
          <w:lang w:val="sk-SK"/>
        </w:rPr>
        <w:t>diseminácie</w:t>
      </w:r>
      <w:proofErr w:type="spellEnd"/>
      <w:r w:rsidRPr="00AA4C18">
        <w:rPr>
          <w:rFonts w:ascii="Times New Roman" w:hAnsi="Times New Roman"/>
          <w:i/>
          <w:sz w:val="24"/>
          <w:lang w:val="sk-SK"/>
        </w:rPr>
        <w:t xml:space="preserve"> vrátane monitoringu procesov a činností. Je založené na viacerých prvkoch inovácie ako je napr. použitie mobilných technológií a </w:t>
      </w:r>
      <w:proofErr w:type="spellStart"/>
      <w:r w:rsidRPr="00AA4C18">
        <w:rPr>
          <w:rFonts w:ascii="Times New Roman" w:hAnsi="Times New Roman"/>
          <w:i/>
          <w:sz w:val="24"/>
          <w:lang w:val="sk-SK"/>
        </w:rPr>
        <w:t>samovyplnenie</w:t>
      </w:r>
      <w:proofErr w:type="spellEnd"/>
      <w:r w:rsidRPr="00AA4C18">
        <w:rPr>
          <w:rFonts w:ascii="Times New Roman" w:hAnsi="Times New Roman"/>
          <w:i/>
          <w:sz w:val="24"/>
          <w:lang w:val="sk-SK"/>
        </w:rPr>
        <w:t xml:space="preserve"> cez internet. Rozhodujúcu zložku IT infraštruktúry tvoria tablety, ktorými by mali byť vybavení asistenti sčítania.</w:t>
      </w:r>
    </w:p>
    <w:p w14:paraId="255C8A47"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b/>
          <w:i/>
          <w:sz w:val="24"/>
          <w:lang w:val="sk-SK"/>
        </w:rPr>
        <w:t>Výskum, vývoj a príprava</w:t>
      </w:r>
      <w:r w:rsidRPr="00AA4C18">
        <w:rPr>
          <w:rFonts w:ascii="Times New Roman" w:hAnsi="Times New Roman"/>
          <w:i/>
          <w:sz w:val="24"/>
          <w:lang w:val="sk-SK"/>
        </w:rPr>
        <w:t xml:space="preserve"> – zabezpečenie integrovaného sčítania ako nového konceptu sčítania na Slovensku si </w:t>
      </w:r>
      <w:proofErr w:type="spellStart"/>
      <w:r w:rsidRPr="00AA4C18">
        <w:rPr>
          <w:rFonts w:ascii="Times New Roman" w:hAnsi="Times New Roman"/>
          <w:i/>
          <w:sz w:val="24"/>
          <w:lang w:val="sk-SK"/>
        </w:rPr>
        <w:t>vyžadal</w:t>
      </w:r>
      <w:proofErr w:type="spellEnd"/>
      <w:r w:rsidRPr="00AA4C18">
        <w:rPr>
          <w:rFonts w:ascii="Times New Roman" w:hAnsi="Times New Roman"/>
          <w:i/>
          <w:sz w:val="24"/>
          <w:lang w:val="sk-SK"/>
        </w:rPr>
        <w:t xml:space="preserve"> výraznejší presun financovania do prípravnej etapy, t. j. na roky 2018 </w:t>
      </w:r>
      <w:r w:rsidRPr="00AA4C18">
        <w:rPr>
          <w:rFonts w:ascii="Times New Roman" w:hAnsi="Times New Roman"/>
          <w:i/>
          <w:sz w:val="24"/>
          <w:lang w:val="sk-SK"/>
        </w:rPr>
        <w:lastRenderedPageBreak/>
        <w:t>až 2020, a to z dôvodu intenzívneho zabezpečenia nových metód a postupov, ktoré priamo nadviažu na už realizované modernizačné prvky slovenskej štatistiky a povedú k vytvoreniu adekvátnych podmienok pre úspešné zvládnutie sčítania 2021. Výskumné štúdie a štúdie uskutočniteľnosti sú podpornými dokumentami pre rozhodnutia v oblasti dizajnu kombinovaného sčítania.</w:t>
      </w:r>
    </w:p>
    <w:p w14:paraId="6A317A5A"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b/>
          <w:i/>
          <w:sz w:val="24"/>
          <w:lang w:val="sk-SK"/>
        </w:rPr>
        <w:t>Komunikácia a propagácia</w:t>
      </w:r>
      <w:r w:rsidRPr="00AA4C18">
        <w:rPr>
          <w:rFonts w:ascii="Times New Roman" w:hAnsi="Times New Roman"/>
          <w:i/>
          <w:sz w:val="24"/>
          <w:lang w:val="sk-SK"/>
        </w:rPr>
        <w:t xml:space="preserve"> – budúce sčítanie si vyžaduje dôkladnú, dlhodobú a optimalizovanú propagáciu, a to najmä z hľadiska znižovania ochoty obyvateľstva participovať na sčítaní, ale aj z hľadiska zabezpečenia plne elektronického sčítania a vysokej miery odpovedí pri premenných (napr. náboženstvo). Pôjde o zavedenie nových služieb napr. </w:t>
      </w:r>
      <w:proofErr w:type="spellStart"/>
      <w:r w:rsidRPr="00AA4C18">
        <w:rPr>
          <w:rFonts w:ascii="Times New Roman" w:hAnsi="Times New Roman"/>
          <w:i/>
          <w:sz w:val="24"/>
          <w:lang w:val="sk-SK"/>
        </w:rPr>
        <w:t>call</w:t>
      </w:r>
      <w:proofErr w:type="spellEnd"/>
      <w:r w:rsidRPr="00AA4C18">
        <w:rPr>
          <w:rFonts w:ascii="Times New Roman" w:hAnsi="Times New Roman"/>
          <w:i/>
          <w:sz w:val="24"/>
          <w:lang w:val="sk-SK"/>
        </w:rPr>
        <w:t xml:space="preserve"> centrum, ale aj zabezpečenie distribúcie informačných letákov. </w:t>
      </w:r>
    </w:p>
    <w:p w14:paraId="072FCBDE"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b/>
          <w:i/>
          <w:sz w:val="24"/>
          <w:lang w:val="sk-SK"/>
        </w:rPr>
        <w:t>Testovanie</w:t>
      </w:r>
      <w:r w:rsidRPr="00AA4C18">
        <w:rPr>
          <w:rFonts w:ascii="Times New Roman" w:hAnsi="Times New Roman"/>
          <w:i/>
          <w:sz w:val="24"/>
          <w:lang w:val="sk-SK"/>
        </w:rPr>
        <w:t xml:space="preserve"> – časť finančných prostriedkov na testovanie procesov v spojení s IT je zahrnutá v IT infraštruktúre a IT projektoch. Nevyhnutnou súčasťou prípravy a realizácie sčítania v roku 2021 je pilot, ktorý sa bude realizovať pre účely overenia fungovaní rozhraní, integrácie jednotlivých systémov a overenia zrozumiteľnosti. Pilot prebehne komplexne na všetkých úrovniach manažovania a za účasti obyvateľov.</w:t>
      </w:r>
    </w:p>
    <w:p w14:paraId="4FACB480" w14:textId="77777777" w:rsidR="0076357A" w:rsidRPr="00AA4C18" w:rsidRDefault="0076357A" w:rsidP="0076357A">
      <w:pPr>
        <w:pStyle w:val="EYNormal"/>
        <w:spacing w:after="120"/>
        <w:jc w:val="both"/>
        <w:rPr>
          <w:rFonts w:ascii="Times New Roman" w:hAnsi="Times New Roman"/>
          <w:i/>
          <w:sz w:val="24"/>
          <w:lang w:val="sk-SK"/>
        </w:rPr>
      </w:pPr>
      <w:r w:rsidRPr="00AA4C18">
        <w:rPr>
          <w:rFonts w:ascii="Times New Roman" w:hAnsi="Times New Roman"/>
          <w:b/>
          <w:i/>
          <w:sz w:val="24"/>
          <w:lang w:val="sk-SK"/>
        </w:rPr>
        <w:t>Zber údajov v teréne</w:t>
      </w:r>
      <w:r w:rsidRPr="00AA4C18">
        <w:rPr>
          <w:rFonts w:ascii="Times New Roman" w:hAnsi="Times New Roman"/>
          <w:i/>
          <w:sz w:val="24"/>
          <w:lang w:val="sk-SK"/>
        </w:rPr>
        <w:t xml:space="preserve"> – zahŕňa zber údajov od obyvateľoch a zber údajov o domoch a bytoch. Pri zbere údajov od obyvateľoch pôjde o plne elektronicky zber. Plne elektronický zber údajov redukuje čas na kontroly a čas na automatické kódovanie, znižuje náklady na ľudské zdroje pri editácii, oprave, a kódovaní, znižuje významne čas medzi zberom a výsledkami s pozitívnym dopadom na zníženie nákladov v etape spracovania.</w:t>
      </w:r>
    </w:p>
    <w:p w14:paraId="2F957CD3" w14:textId="77777777" w:rsidR="0076357A" w:rsidRPr="00AA4C18" w:rsidRDefault="0076357A" w:rsidP="0076357A">
      <w:pPr>
        <w:tabs>
          <w:tab w:val="num" w:pos="1080"/>
        </w:tabs>
        <w:jc w:val="both"/>
        <w:rPr>
          <w:bCs/>
          <w:i/>
        </w:rPr>
      </w:pPr>
    </w:p>
    <w:p w14:paraId="14E27AD4" w14:textId="77777777" w:rsidR="0076357A" w:rsidRPr="00AA4C18" w:rsidRDefault="0076357A" w:rsidP="0076357A">
      <w:pPr>
        <w:tabs>
          <w:tab w:val="num" w:pos="1080"/>
        </w:tabs>
        <w:jc w:val="both"/>
        <w:rPr>
          <w:bCs/>
          <w:i/>
        </w:rPr>
      </w:pPr>
    </w:p>
    <w:p w14:paraId="4F8ED821" w14:textId="77777777" w:rsidR="0076357A" w:rsidRPr="00AA4C18" w:rsidRDefault="0076357A" w:rsidP="0076357A">
      <w:pPr>
        <w:tabs>
          <w:tab w:val="num" w:pos="1080"/>
        </w:tabs>
        <w:jc w:val="both"/>
        <w:rPr>
          <w:bCs/>
          <w:i/>
        </w:rPr>
        <w:sectPr w:rsidR="0076357A" w:rsidRPr="00AA4C18" w:rsidSect="0076357A">
          <w:headerReference w:type="even"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14:paraId="36063DE9" w14:textId="77777777" w:rsidR="0076357A" w:rsidRPr="00AA4C18" w:rsidRDefault="0076357A" w:rsidP="0076357A">
      <w:pPr>
        <w:tabs>
          <w:tab w:val="num" w:pos="1080"/>
        </w:tabs>
        <w:jc w:val="right"/>
        <w:rPr>
          <w:bCs/>
        </w:rPr>
      </w:pPr>
      <w:r w:rsidRPr="00AA4C18">
        <w:rPr>
          <w:bCs/>
        </w:rPr>
        <w:lastRenderedPageBreak/>
        <w:t xml:space="preserve">Tabuľka č. 3 </w:t>
      </w:r>
    </w:p>
    <w:p w14:paraId="2881D7E8" w14:textId="77777777" w:rsidR="0076357A" w:rsidRPr="00AA4C18" w:rsidRDefault="0076357A" w:rsidP="0076357A">
      <w:pPr>
        <w:tabs>
          <w:tab w:val="num" w:pos="1080"/>
        </w:tabs>
        <w:jc w:val="both"/>
        <w:rPr>
          <w:bCs/>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6357A" w:rsidRPr="00AA4C18" w14:paraId="1181CAAA" w14:textId="77777777" w:rsidTr="0076357A">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44A4F8" w14:textId="77777777" w:rsidR="0076357A" w:rsidRPr="00AA4C18" w:rsidRDefault="0076357A" w:rsidP="0076357A">
            <w:pPr>
              <w:jc w:val="center"/>
              <w:rPr>
                <w:b/>
                <w:bCs/>
              </w:rPr>
            </w:pPr>
            <w:r w:rsidRPr="00AA4C1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C796EBA" w14:textId="77777777" w:rsidR="0076357A" w:rsidRPr="00AA4C18" w:rsidRDefault="0076357A" w:rsidP="0076357A">
            <w:pPr>
              <w:jc w:val="center"/>
              <w:rPr>
                <w:b/>
                <w:bCs/>
              </w:rPr>
            </w:pPr>
            <w:r w:rsidRPr="00AA4C1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99849F" w14:textId="77777777" w:rsidR="0076357A" w:rsidRPr="00AA4C18" w:rsidRDefault="0076357A" w:rsidP="0076357A">
            <w:pPr>
              <w:jc w:val="center"/>
              <w:rPr>
                <w:b/>
                <w:bCs/>
              </w:rPr>
            </w:pPr>
            <w:r w:rsidRPr="00AA4C18">
              <w:rPr>
                <w:b/>
                <w:bCs/>
              </w:rPr>
              <w:t>poznámka</w:t>
            </w:r>
          </w:p>
        </w:tc>
      </w:tr>
      <w:tr w:rsidR="0076357A" w:rsidRPr="00AA4C18" w14:paraId="6D602F41" w14:textId="77777777" w:rsidTr="0076357A">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B489BD2" w14:textId="77777777" w:rsidR="0076357A" w:rsidRPr="00AA4C18" w:rsidRDefault="0076357A" w:rsidP="0076357A">
            <w:pPr>
              <w:rPr>
                <w:b/>
                <w:bCs/>
              </w:rPr>
            </w:pPr>
          </w:p>
        </w:tc>
        <w:tc>
          <w:tcPr>
            <w:tcW w:w="1500" w:type="dxa"/>
            <w:tcBorders>
              <w:top w:val="nil"/>
              <w:left w:val="nil"/>
              <w:bottom w:val="single" w:sz="4" w:space="0" w:color="auto"/>
              <w:right w:val="single" w:sz="4" w:space="0" w:color="auto"/>
            </w:tcBorders>
            <w:shd w:val="clear" w:color="auto" w:fill="BFBFBF" w:themeFill="background1" w:themeFillShade="BF"/>
          </w:tcPr>
          <w:p w14:paraId="6B8EACBD" w14:textId="77777777" w:rsidR="0076357A" w:rsidRPr="00AA4C18" w:rsidRDefault="0076357A" w:rsidP="0076357A">
            <w:pPr>
              <w:jc w:val="center"/>
              <w:rPr>
                <w:b/>
                <w:bCs/>
              </w:rPr>
            </w:pPr>
            <w:r w:rsidRPr="00AA4C18">
              <w:rPr>
                <w:b/>
                <w:bCs/>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5B85CC9D" w14:textId="77777777" w:rsidR="0076357A" w:rsidRPr="00AA4C18" w:rsidRDefault="0076357A" w:rsidP="0076357A">
            <w:pPr>
              <w:jc w:val="center"/>
              <w:rPr>
                <w:b/>
                <w:bCs/>
              </w:rPr>
            </w:pPr>
            <w:r w:rsidRPr="00AA4C18">
              <w:rPr>
                <w:b/>
                <w:bCs/>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370789EA" w14:textId="77777777" w:rsidR="0076357A" w:rsidRPr="00AA4C18" w:rsidRDefault="0076357A" w:rsidP="0076357A">
            <w:pPr>
              <w:jc w:val="center"/>
              <w:rPr>
                <w:b/>
                <w:bCs/>
              </w:rPr>
            </w:pPr>
            <w:r w:rsidRPr="00AA4C18">
              <w:rPr>
                <w:b/>
                <w:bCs/>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3742988C" w14:textId="77777777" w:rsidR="0076357A" w:rsidRPr="00AA4C18" w:rsidRDefault="0076357A" w:rsidP="0076357A">
            <w:pPr>
              <w:jc w:val="center"/>
              <w:rPr>
                <w:b/>
                <w:bCs/>
              </w:rPr>
            </w:pPr>
            <w:r w:rsidRPr="00AA4C18">
              <w:rPr>
                <w:b/>
                <w:bCs/>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10E2F1BA" w14:textId="77777777" w:rsidR="0076357A" w:rsidRPr="00AA4C18" w:rsidRDefault="0076357A" w:rsidP="0076357A">
            <w:pPr>
              <w:rPr>
                <w:b/>
                <w:bCs/>
              </w:rPr>
            </w:pPr>
          </w:p>
        </w:tc>
      </w:tr>
      <w:tr w:rsidR="0076357A" w:rsidRPr="00AA4C18" w14:paraId="3C90A481" w14:textId="77777777" w:rsidTr="0076357A">
        <w:trPr>
          <w:trHeight w:val="255"/>
        </w:trPr>
        <w:tc>
          <w:tcPr>
            <w:tcW w:w="4950" w:type="dxa"/>
            <w:tcBorders>
              <w:top w:val="nil"/>
              <w:left w:val="single" w:sz="4" w:space="0" w:color="auto"/>
              <w:bottom w:val="single" w:sz="4" w:space="0" w:color="auto"/>
              <w:right w:val="single" w:sz="4" w:space="0" w:color="auto"/>
            </w:tcBorders>
          </w:tcPr>
          <w:p w14:paraId="1E01C3C8" w14:textId="77777777" w:rsidR="0076357A" w:rsidRPr="00AA4C18" w:rsidRDefault="0076357A" w:rsidP="0076357A">
            <w:pPr>
              <w:rPr>
                <w:b/>
                <w:bCs/>
                <w:vertAlign w:val="superscript"/>
              </w:rPr>
            </w:pPr>
            <w:r w:rsidRPr="00AA4C18">
              <w:rPr>
                <w:b/>
                <w:bCs/>
              </w:rPr>
              <w:t>Daňové príjmy (100)</w:t>
            </w:r>
            <w:r w:rsidRPr="00AA4C18">
              <w:rPr>
                <w:b/>
                <w:bCs/>
                <w:vertAlign w:val="superscript"/>
              </w:rPr>
              <w:t>1</w:t>
            </w:r>
          </w:p>
        </w:tc>
        <w:tc>
          <w:tcPr>
            <w:tcW w:w="1500" w:type="dxa"/>
            <w:tcBorders>
              <w:top w:val="nil"/>
              <w:left w:val="nil"/>
              <w:bottom w:val="single" w:sz="4" w:space="0" w:color="auto"/>
              <w:right w:val="single" w:sz="4" w:space="0" w:color="auto"/>
            </w:tcBorders>
          </w:tcPr>
          <w:p w14:paraId="44C08A2D"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2981B4DE"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70047E4A"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776DCE52" w14:textId="77777777" w:rsidR="0076357A" w:rsidRPr="00AA4C18" w:rsidRDefault="0076357A" w:rsidP="0076357A">
            <w:pPr>
              <w:jc w:val="center"/>
              <w:rPr>
                <w:b/>
                <w:bCs/>
              </w:rPr>
            </w:pPr>
          </w:p>
        </w:tc>
        <w:tc>
          <w:tcPr>
            <w:tcW w:w="3000" w:type="dxa"/>
            <w:tcBorders>
              <w:top w:val="nil"/>
              <w:left w:val="nil"/>
              <w:bottom w:val="single" w:sz="4" w:space="0" w:color="auto"/>
              <w:right w:val="single" w:sz="4" w:space="0" w:color="auto"/>
            </w:tcBorders>
            <w:noWrap/>
            <w:vAlign w:val="bottom"/>
          </w:tcPr>
          <w:p w14:paraId="4A91204A" w14:textId="77777777" w:rsidR="0076357A" w:rsidRPr="00AA4C18" w:rsidRDefault="0076357A" w:rsidP="0076357A">
            <w:r w:rsidRPr="00AA4C18">
              <w:t> </w:t>
            </w:r>
          </w:p>
        </w:tc>
      </w:tr>
      <w:tr w:rsidR="0076357A" w:rsidRPr="00AA4C18" w14:paraId="541F7748" w14:textId="77777777" w:rsidTr="0076357A">
        <w:trPr>
          <w:trHeight w:val="255"/>
        </w:trPr>
        <w:tc>
          <w:tcPr>
            <w:tcW w:w="4950" w:type="dxa"/>
            <w:tcBorders>
              <w:top w:val="nil"/>
              <w:left w:val="single" w:sz="4" w:space="0" w:color="auto"/>
              <w:bottom w:val="single" w:sz="4" w:space="0" w:color="auto"/>
              <w:right w:val="single" w:sz="4" w:space="0" w:color="auto"/>
            </w:tcBorders>
          </w:tcPr>
          <w:p w14:paraId="1403B8BD" w14:textId="77777777" w:rsidR="0076357A" w:rsidRPr="00AA4C18" w:rsidRDefault="0076357A" w:rsidP="0076357A">
            <w:pPr>
              <w:rPr>
                <w:b/>
                <w:bCs/>
              </w:rPr>
            </w:pPr>
            <w:r w:rsidRPr="00AA4C18">
              <w:rPr>
                <w:b/>
                <w:bCs/>
              </w:rPr>
              <w:t>Nedaňové príjmy (200)</w:t>
            </w:r>
            <w:r w:rsidRPr="00AA4C18">
              <w:rPr>
                <w:b/>
                <w:bCs/>
                <w:vertAlign w:val="superscript"/>
              </w:rPr>
              <w:t>1</w:t>
            </w:r>
          </w:p>
        </w:tc>
        <w:tc>
          <w:tcPr>
            <w:tcW w:w="1500" w:type="dxa"/>
            <w:tcBorders>
              <w:top w:val="nil"/>
              <w:left w:val="nil"/>
              <w:bottom w:val="single" w:sz="4" w:space="0" w:color="auto"/>
              <w:right w:val="single" w:sz="4" w:space="0" w:color="auto"/>
            </w:tcBorders>
          </w:tcPr>
          <w:p w14:paraId="6DD2F643"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513E4CBE"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5E12FE25"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19ACCB94" w14:textId="77777777" w:rsidR="0076357A" w:rsidRPr="00AA4C18" w:rsidRDefault="0076357A" w:rsidP="0076357A">
            <w:pPr>
              <w:jc w:val="center"/>
              <w:rPr>
                <w:b/>
                <w:bCs/>
              </w:rPr>
            </w:pPr>
          </w:p>
        </w:tc>
        <w:tc>
          <w:tcPr>
            <w:tcW w:w="3000" w:type="dxa"/>
            <w:tcBorders>
              <w:top w:val="nil"/>
              <w:left w:val="nil"/>
              <w:bottom w:val="single" w:sz="4" w:space="0" w:color="auto"/>
              <w:right w:val="single" w:sz="4" w:space="0" w:color="auto"/>
            </w:tcBorders>
            <w:noWrap/>
            <w:vAlign w:val="bottom"/>
          </w:tcPr>
          <w:p w14:paraId="150AA317" w14:textId="77777777" w:rsidR="0076357A" w:rsidRPr="00AA4C18" w:rsidRDefault="0076357A" w:rsidP="0076357A">
            <w:r w:rsidRPr="00AA4C18">
              <w:t> </w:t>
            </w:r>
          </w:p>
        </w:tc>
      </w:tr>
      <w:tr w:rsidR="0076357A" w:rsidRPr="00AA4C18" w14:paraId="7645F7BB" w14:textId="77777777" w:rsidTr="0076357A">
        <w:trPr>
          <w:trHeight w:val="255"/>
        </w:trPr>
        <w:tc>
          <w:tcPr>
            <w:tcW w:w="4950" w:type="dxa"/>
            <w:tcBorders>
              <w:top w:val="nil"/>
              <w:left w:val="single" w:sz="4" w:space="0" w:color="auto"/>
              <w:bottom w:val="single" w:sz="4" w:space="0" w:color="auto"/>
              <w:right w:val="single" w:sz="4" w:space="0" w:color="auto"/>
            </w:tcBorders>
          </w:tcPr>
          <w:p w14:paraId="562FDB66" w14:textId="77777777" w:rsidR="0076357A" w:rsidRPr="00AA4C18" w:rsidRDefault="0076357A" w:rsidP="0076357A">
            <w:pPr>
              <w:rPr>
                <w:b/>
                <w:bCs/>
              </w:rPr>
            </w:pPr>
            <w:r w:rsidRPr="00AA4C18">
              <w:rPr>
                <w:b/>
                <w:bCs/>
              </w:rPr>
              <w:t>Granty a transfery (300)</w:t>
            </w:r>
            <w:r w:rsidRPr="00AA4C18">
              <w:rPr>
                <w:b/>
                <w:bCs/>
                <w:vertAlign w:val="superscript"/>
              </w:rPr>
              <w:t>1</w:t>
            </w:r>
          </w:p>
        </w:tc>
        <w:tc>
          <w:tcPr>
            <w:tcW w:w="1500" w:type="dxa"/>
            <w:tcBorders>
              <w:top w:val="nil"/>
              <w:left w:val="nil"/>
              <w:bottom w:val="single" w:sz="4" w:space="0" w:color="auto"/>
              <w:right w:val="single" w:sz="4" w:space="0" w:color="auto"/>
            </w:tcBorders>
          </w:tcPr>
          <w:p w14:paraId="0500B485"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071A0B57"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0D31C4DA" w14:textId="77777777" w:rsidR="0076357A" w:rsidRPr="00AA4C18" w:rsidRDefault="0076357A" w:rsidP="0076357A">
            <w:pPr>
              <w:jc w:val="center"/>
              <w:rPr>
                <w:b/>
                <w:bCs/>
              </w:rPr>
            </w:pPr>
          </w:p>
        </w:tc>
        <w:tc>
          <w:tcPr>
            <w:tcW w:w="1500" w:type="dxa"/>
            <w:tcBorders>
              <w:top w:val="nil"/>
              <w:left w:val="nil"/>
              <w:bottom w:val="single" w:sz="4" w:space="0" w:color="auto"/>
              <w:right w:val="single" w:sz="4" w:space="0" w:color="auto"/>
            </w:tcBorders>
          </w:tcPr>
          <w:p w14:paraId="4959942B" w14:textId="77777777" w:rsidR="0076357A" w:rsidRPr="00AA4C18" w:rsidRDefault="0076357A" w:rsidP="0076357A">
            <w:pPr>
              <w:jc w:val="center"/>
              <w:rPr>
                <w:b/>
                <w:bCs/>
              </w:rPr>
            </w:pPr>
          </w:p>
        </w:tc>
        <w:tc>
          <w:tcPr>
            <w:tcW w:w="3000" w:type="dxa"/>
            <w:tcBorders>
              <w:top w:val="nil"/>
              <w:left w:val="nil"/>
              <w:bottom w:val="single" w:sz="4" w:space="0" w:color="auto"/>
              <w:right w:val="single" w:sz="4" w:space="0" w:color="auto"/>
            </w:tcBorders>
            <w:noWrap/>
            <w:vAlign w:val="bottom"/>
          </w:tcPr>
          <w:p w14:paraId="0C961F93" w14:textId="77777777" w:rsidR="0076357A" w:rsidRPr="00AA4C18" w:rsidRDefault="0076357A" w:rsidP="0076357A">
            <w:r w:rsidRPr="00AA4C18">
              <w:t> </w:t>
            </w:r>
          </w:p>
        </w:tc>
      </w:tr>
      <w:tr w:rsidR="0076357A" w:rsidRPr="00AA4C18" w14:paraId="1C24C369" w14:textId="77777777" w:rsidTr="0076357A">
        <w:trPr>
          <w:trHeight w:val="255"/>
        </w:trPr>
        <w:tc>
          <w:tcPr>
            <w:tcW w:w="4950" w:type="dxa"/>
            <w:tcBorders>
              <w:top w:val="nil"/>
              <w:left w:val="single" w:sz="4" w:space="0" w:color="auto"/>
              <w:bottom w:val="single" w:sz="4" w:space="0" w:color="auto"/>
              <w:right w:val="single" w:sz="4" w:space="0" w:color="auto"/>
            </w:tcBorders>
          </w:tcPr>
          <w:p w14:paraId="753DBD03" w14:textId="77777777" w:rsidR="0076357A" w:rsidRPr="00AA4C18" w:rsidRDefault="0076357A" w:rsidP="0076357A">
            <w:pPr>
              <w:rPr>
                <w:b/>
                <w:bCs/>
              </w:rPr>
            </w:pPr>
            <w:r w:rsidRPr="00AA4C1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5C891480" w14:textId="77777777" w:rsidR="0076357A" w:rsidRPr="00AA4C18" w:rsidRDefault="0076357A" w:rsidP="0076357A">
            <w:pPr>
              <w:jc w:val="center"/>
              <w:rPr>
                <w:b/>
                <w:bCs/>
              </w:rPr>
            </w:pPr>
            <w:r w:rsidRPr="00AA4C18">
              <w:rPr>
                <w:b/>
                <w:bCs/>
              </w:rPr>
              <w:t> </w:t>
            </w:r>
          </w:p>
        </w:tc>
        <w:tc>
          <w:tcPr>
            <w:tcW w:w="1500" w:type="dxa"/>
            <w:tcBorders>
              <w:top w:val="nil"/>
              <w:left w:val="nil"/>
              <w:bottom w:val="single" w:sz="4" w:space="0" w:color="auto"/>
              <w:right w:val="single" w:sz="4" w:space="0" w:color="auto"/>
            </w:tcBorders>
            <w:shd w:val="clear" w:color="auto" w:fill="FFFF99"/>
          </w:tcPr>
          <w:p w14:paraId="11E44872" w14:textId="77777777" w:rsidR="0076357A" w:rsidRPr="00AA4C18" w:rsidRDefault="0076357A" w:rsidP="0076357A">
            <w:pPr>
              <w:jc w:val="center"/>
              <w:rPr>
                <w:b/>
                <w:bCs/>
              </w:rPr>
            </w:pPr>
            <w:r w:rsidRPr="00AA4C18">
              <w:rPr>
                <w:b/>
                <w:bCs/>
              </w:rPr>
              <w:t> </w:t>
            </w:r>
          </w:p>
        </w:tc>
        <w:tc>
          <w:tcPr>
            <w:tcW w:w="1500" w:type="dxa"/>
            <w:tcBorders>
              <w:top w:val="nil"/>
              <w:left w:val="nil"/>
              <w:bottom w:val="single" w:sz="4" w:space="0" w:color="auto"/>
              <w:right w:val="single" w:sz="4" w:space="0" w:color="auto"/>
            </w:tcBorders>
            <w:shd w:val="clear" w:color="auto" w:fill="FFFF99"/>
          </w:tcPr>
          <w:p w14:paraId="7DBBFE00" w14:textId="77777777" w:rsidR="0076357A" w:rsidRPr="00AA4C18" w:rsidRDefault="0076357A" w:rsidP="0076357A">
            <w:pPr>
              <w:jc w:val="center"/>
              <w:rPr>
                <w:b/>
                <w:bCs/>
              </w:rPr>
            </w:pPr>
            <w:r w:rsidRPr="00AA4C18">
              <w:rPr>
                <w:b/>
                <w:bCs/>
              </w:rPr>
              <w:t> </w:t>
            </w:r>
          </w:p>
        </w:tc>
        <w:tc>
          <w:tcPr>
            <w:tcW w:w="1500" w:type="dxa"/>
            <w:tcBorders>
              <w:top w:val="nil"/>
              <w:left w:val="nil"/>
              <w:bottom w:val="single" w:sz="4" w:space="0" w:color="auto"/>
              <w:right w:val="single" w:sz="4" w:space="0" w:color="auto"/>
            </w:tcBorders>
            <w:shd w:val="clear" w:color="auto" w:fill="FFFF99"/>
          </w:tcPr>
          <w:p w14:paraId="300C35DF" w14:textId="77777777" w:rsidR="0076357A" w:rsidRPr="00AA4C18" w:rsidRDefault="0076357A" w:rsidP="0076357A">
            <w:pPr>
              <w:jc w:val="center"/>
              <w:rPr>
                <w:b/>
                <w:bCs/>
              </w:rPr>
            </w:pPr>
            <w:r w:rsidRPr="00AA4C18">
              <w:rPr>
                <w:b/>
                <w:bCs/>
              </w:rPr>
              <w:t> </w:t>
            </w:r>
          </w:p>
        </w:tc>
        <w:tc>
          <w:tcPr>
            <w:tcW w:w="3000" w:type="dxa"/>
            <w:tcBorders>
              <w:top w:val="nil"/>
              <w:left w:val="nil"/>
              <w:bottom w:val="single" w:sz="4" w:space="0" w:color="auto"/>
              <w:right w:val="single" w:sz="4" w:space="0" w:color="auto"/>
            </w:tcBorders>
            <w:noWrap/>
            <w:vAlign w:val="bottom"/>
          </w:tcPr>
          <w:p w14:paraId="5F7B66D4" w14:textId="77777777" w:rsidR="0076357A" w:rsidRPr="00AA4C18" w:rsidRDefault="0076357A" w:rsidP="0076357A">
            <w:r w:rsidRPr="00AA4C18">
              <w:t> </w:t>
            </w:r>
          </w:p>
        </w:tc>
      </w:tr>
      <w:tr w:rsidR="0076357A" w:rsidRPr="00AA4C18" w14:paraId="3C38423A" w14:textId="77777777" w:rsidTr="0076357A">
        <w:trPr>
          <w:trHeight w:val="255"/>
        </w:trPr>
        <w:tc>
          <w:tcPr>
            <w:tcW w:w="4950" w:type="dxa"/>
            <w:tcBorders>
              <w:top w:val="nil"/>
              <w:left w:val="single" w:sz="4" w:space="0" w:color="auto"/>
              <w:bottom w:val="single" w:sz="4" w:space="0" w:color="auto"/>
              <w:right w:val="single" w:sz="4" w:space="0" w:color="auto"/>
            </w:tcBorders>
          </w:tcPr>
          <w:p w14:paraId="4969584E" w14:textId="77777777" w:rsidR="0076357A" w:rsidRPr="00AA4C18" w:rsidRDefault="0076357A" w:rsidP="0076357A">
            <w:pPr>
              <w:rPr>
                <w:b/>
                <w:bCs/>
              </w:rPr>
            </w:pPr>
            <w:r w:rsidRPr="00AA4C1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696D74E9" w14:textId="77777777" w:rsidR="0076357A" w:rsidRPr="00AA4C18" w:rsidRDefault="0076357A" w:rsidP="0076357A">
            <w:pPr>
              <w:jc w:val="center"/>
              <w:rPr>
                <w:b/>
                <w:bCs/>
              </w:rPr>
            </w:pPr>
            <w:r w:rsidRPr="00AA4C18">
              <w:rPr>
                <w:b/>
                <w:bCs/>
              </w:rPr>
              <w:t> </w:t>
            </w:r>
          </w:p>
        </w:tc>
        <w:tc>
          <w:tcPr>
            <w:tcW w:w="1500" w:type="dxa"/>
            <w:tcBorders>
              <w:top w:val="nil"/>
              <w:left w:val="nil"/>
              <w:bottom w:val="single" w:sz="4" w:space="0" w:color="auto"/>
              <w:right w:val="single" w:sz="4" w:space="0" w:color="auto"/>
            </w:tcBorders>
            <w:shd w:val="clear" w:color="auto" w:fill="FFFF99"/>
          </w:tcPr>
          <w:p w14:paraId="272B00E9" w14:textId="77777777" w:rsidR="0076357A" w:rsidRPr="00AA4C18" w:rsidRDefault="0076357A" w:rsidP="0076357A">
            <w:pPr>
              <w:jc w:val="center"/>
              <w:rPr>
                <w:b/>
                <w:bCs/>
              </w:rPr>
            </w:pPr>
            <w:r w:rsidRPr="00AA4C18">
              <w:rPr>
                <w:b/>
                <w:bCs/>
              </w:rPr>
              <w:t> </w:t>
            </w:r>
          </w:p>
        </w:tc>
        <w:tc>
          <w:tcPr>
            <w:tcW w:w="1500" w:type="dxa"/>
            <w:tcBorders>
              <w:top w:val="nil"/>
              <w:left w:val="nil"/>
              <w:bottom w:val="single" w:sz="4" w:space="0" w:color="auto"/>
              <w:right w:val="single" w:sz="4" w:space="0" w:color="auto"/>
            </w:tcBorders>
            <w:shd w:val="clear" w:color="auto" w:fill="FFFF99"/>
          </w:tcPr>
          <w:p w14:paraId="37CEC48F" w14:textId="77777777" w:rsidR="0076357A" w:rsidRPr="00AA4C18" w:rsidRDefault="0076357A" w:rsidP="0076357A">
            <w:pPr>
              <w:jc w:val="center"/>
              <w:rPr>
                <w:b/>
                <w:bCs/>
              </w:rPr>
            </w:pPr>
            <w:r w:rsidRPr="00AA4C18">
              <w:rPr>
                <w:b/>
                <w:bCs/>
              </w:rPr>
              <w:t> </w:t>
            </w:r>
          </w:p>
        </w:tc>
        <w:tc>
          <w:tcPr>
            <w:tcW w:w="1500" w:type="dxa"/>
            <w:tcBorders>
              <w:top w:val="nil"/>
              <w:left w:val="nil"/>
              <w:bottom w:val="single" w:sz="4" w:space="0" w:color="auto"/>
              <w:right w:val="single" w:sz="4" w:space="0" w:color="auto"/>
            </w:tcBorders>
            <w:shd w:val="clear" w:color="auto" w:fill="FFFF99"/>
          </w:tcPr>
          <w:p w14:paraId="12577A98" w14:textId="77777777" w:rsidR="0076357A" w:rsidRPr="00AA4C18" w:rsidRDefault="0076357A" w:rsidP="0076357A">
            <w:pPr>
              <w:jc w:val="center"/>
              <w:rPr>
                <w:b/>
                <w:bCs/>
              </w:rPr>
            </w:pPr>
            <w:r w:rsidRPr="00AA4C18">
              <w:rPr>
                <w:b/>
                <w:bCs/>
              </w:rPr>
              <w:t> </w:t>
            </w:r>
          </w:p>
        </w:tc>
        <w:tc>
          <w:tcPr>
            <w:tcW w:w="3000" w:type="dxa"/>
            <w:tcBorders>
              <w:top w:val="nil"/>
              <w:left w:val="nil"/>
              <w:bottom w:val="single" w:sz="4" w:space="0" w:color="auto"/>
              <w:right w:val="single" w:sz="4" w:space="0" w:color="auto"/>
            </w:tcBorders>
            <w:noWrap/>
            <w:vAlign w:val="bottom"/>
          </w:tcPr>
          <w:p w14:paraId="4106C820" w14:textId="77777777" w:rsidR="0076357A" w:rsidRPr="00AA4C18" w:rsidRDefault="0076357A" w:rsidP="0076357A">
            <w:r w:rsidRPr="00AA4C18">
              <w:t> </w:t>
            </w:r>
          </w:p>
        </w:tc>
      </w:tr>
      <w:tr w:rsidR="0076357A" w:rsidRPr="00AA4C18" w14:paraId="7E29B882" w14:textId="77777777" w:rsidTr="0076357A">
        <w:trPr>
          <w:trHeight w:val="255"/>
        </w:trPr>
        <w:tc>
          <w:tcPr>
            <w:tcW w:w="4950" w:type="dxa"/>
            <w:tcBorders>
              <w:top w:val="nil"/>
              <w:left w:val="single" w:sz="4" w:space="0" w:color="auto"/>
              <w:bottom w:val="nil"/>
              <w:right w:val="single" w:sz="4" w:space="0" w:color="auto"/>
            </w:tcBorders>
            <w:shd w:val="clear" w:color="auto" w:fill="BFBFBF" w:themeFill="background1" w:themeFillShade="BF"/>
          </w:tcPr>
          <w:p w14:paraId="5551734D" w14:textId="77777777" w:rsidR="0076357A" w:rsidRPr="00AA4C18" w:rsidRDefault="0076357A" w:rsidP="0076357A">
            <w:pPr>
              <w:rPr>
                <w:b/>
                <w:bCs/>
              </w:rPr>
            </w:pPr>
            <w:r w:rsidRPr="00AA4C18">
              <w:rPr>
                <w:b/>
                <w:bCs/>
              </w:rPr>
              <w:t>Dopad na príjmy verejnej správy celkom</w:t>
            </w:r>
          </w:p>
        </w:tc>
        <w:tc>
          <w:tcPr>
            <w:tcW w:w="9000" w:type="dxa"/>
            <w:gridSpan w:val="5"/>
            <w:vMerge w:val="restart"/>
            <w:tcBorders>
              <w:top w:val="nil"/>
              <w:left w:val="nil"/>
              <w:right w:val="single" w:sz="4" w:space="0" w:color="auto"/>
            </w:tcBorders>
            <w:shd w:val="clear" w:color="auto" w:fill="BFBFBF" w:themeFill="background1" w:themeFillShade="BF"/>
          </w:tcPr>
          <w:p w14:paraId="30C12EB6" w14:textId="77777777" w:rsidR="0076357A" w:rsidRPr="00AA4C18" w:rsidRDefault="0076357A" w:rsidP="0076357A">
            <w:pPr>
              <w:jc w:val="center"/>
            </w:pPr>
          </w:p>
        </w:tc>
      </w:tr>
      <w:tr w:rsidR="0076357A" w:rsidRPr="00AA4C18" w14:paraId="40F09192" w14:textId="77777777" w:rsidTr="0076357A">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1983C81" w14:textId="77777777" w:rsidR="0076357A" w:rsidRPr="00AA4C18" w:rsidRDefault="0076357A" w:rsidP="0076357A">
            <w:pPr>
              <w:rPr>
                <w:b/>
                <w:bCs/>
              </w:rPr>
            </w:pPr>
          </w:p>
        </w:tc>
        <w:tc>
          <w:tcPr>
            <w:tcW w:w="9000" w:type="dxa"/>
            <w:gridSpan w:val="5"/>
            <w:vMerge/>
            <w:tcBorders>
              <w:left w:val="nil"/>
              <w:bottom w:val="single" w:sz="4" w:space="0" w:color="auto"/>
              <w:right w:val="single" w:sz="4" w:space="0" w:color="auto"/>
            </w:tcBorders>
            <w:shd w:val="clear" w:color="auto" w:fill="BFBFBF" w:themeFill="background1" w:themeFillShade="BF"/>
          </w:tcPr>
          <w:p w14:paraId="6855DC47" w14:textId="77777777" w:rsidR="0076357A" w:rsidRPr="00AA4C18" w:rsidRDefault="0076357A" w:rsidP="0076357A"/>
        </w:tc>
      </w:tr>
    </w:tbl>
    <w:p w14:paraId="680D5897" w14:textId="77777777" w:rsidR="0076357A" w:rsidRPr="00AA4C18" w:rsidRDefault="0076357A" w:rsidP="0076357A">
      <w:pPr>
        <w:tabs>
          <w:tab w:val="num" w:pos="1080"/>
        </w:tabs>
        <w:jc w:val="both"/>
        <w:rPr>
          <w:bCs/>
          <w:sz w:val="20"/>
          <w:szCs w:val="20"/>
        </w:rPr>
      </w:pPr>
      <w:r w:rsidRPr="00AA4C18">
        <w:rPr>
          <w:bCs/>
          <w:sz w:val="20"/>
          <w:szCs w:val="20"/>
        </w:rPr>
        <w:t>1 –  príjmy rozpísať až do položiek platnej ekonomickej klasifikácie</w:t>
      </w:r>
    </w:p>
    <w:p w14:paraId="630C8ECA" w14:textId="77777777" w:rsidR="0076357A" w:rsidRPr="00AA4C18" w:rsidRDefault="0076357A" w:rsidP="0076357A">
      <w:pPr>
        <w:tabs>
          <w:tab w:val="num" w:pos="1080"/>
        </w:tabs>
        <w:jc w:val="both"/>
        <w:rPr>
          <w:bCs/>
          <w:sz w:val="20"/>
          <w:szCs w:val="20"/>
        </w:rPr>
      </w:pPr>
    </w:p>
    <w:p w14:paraId="73CED7D6" w14:textId="77777777" w:rsidR="0076357A" w:rsidRPr="00AA4C18" w:rsidRDefault="0076357A" w:rsidP="0076357A">
      <w:pPr>
        <w:tabs>
          <w:tab w:val="num" w:pos="1080"/>
        </w:tabs>
        <w:jc w:val="both"/>
        <w:rPr>
          <w:b/>
          <w:bCs/>
          <w:szCs w:val="20"/>
        </w:rPr>
      </w:pPr>
      <w:r w:rsidRPr="00AA4C18">
        <w:rPr>
          <w:b/>
          <w:bCs/>
          <w:szCs w:val="20"/>
        </w:rPr>
        <w:t>Komentár k tabuľke č. 3</w:t>
      </w:r>
    </w:p>
    <w:p w14:paraId="613B21A1" w14:textId="77777777" w:rsidR="0076357A" w:rsidRPr="00AA4C18" w:rsidRDefault="0076357A" w:rsidP="0076357A">
      <w:pPr>
        <w:tabs>
          <w:tab w:val="num" w:pos="1080"/>
        </w:tabs>
        <w:jc w:val="both"/>
        <w:rPr>
          <w:bCs/>
          <w:szCs w:val="20"/>
        </w:rPr>
      </w:pPr>
      <w:r w:rsidRPr="00AA4C18">
        <w:t xml:space="preserve">Vzhľadom na skutočnosť, že nesplnenie povinností súvisiacich so sčítaním bude sankcionované v záujme dosiahnutia cieľov sčítania, predpokladá sa pozitívny vplyv na rozpočet verejnej správy. Uviesť odhad navýšenia príjmov za vybrané pokuty však v súčasnosti nie je možné, keďže nie je možné dopredu určiť počet prípadov nesplnenia povinností podľa § 30 návrhu zákona. </w:t>
      </w:r>
    </w:p>
    <w:p w14:paraId="3486051D" w14:textId="77777777" w:rsidR="0076357A" w:rsidRPr="00AA4C18" w:rsidRDefault="0076357A" w:rsidP="0076357A">
      <w:pPr>
        <w:tabs>
          <w:tab w:val="num" w:pos="1080"/>
        </w:tabs>
        <w:jc w:val="both"/>
        <w:rPr>
          <w:bCs/>
          <w:szCs w:val="20"/>
        </w:rPr>
      </w:pPr>
    </w:p>
    <w:p w14:paraId="147F0B65" w14:textId="77777777" w:rsidR="0076357A" w:rsidRPr="00AA4C18" w:rsidRDefault="0076357A" w:rsidP="0076357A">
      <w:pPr>
        <w:tabs>
          <w:tab w:val="num" w:pos="1080"/>
        </w:tabs>
        <w:jc w:val="both"/>
        <w:rPr>
          <w:b/>
          <w:bCs/>
          <w:szCs w:val="20"/>
        </w:rPr>
      </w:pPr>
      <w:r w:rsidRPr="00AA4C18">
        <w:rPr>
          <w:b/>
          <w:bCs/>
          <w:szCs w:val="20"/>
        </w:rPr>
        <w:t>Poznámka:</w:t>
      </w:r>
    </w:p>
    <w:p w14:paraId="68E4DDB5" w14:textId="77777777" w:rsidR="0076357A" w:rsidRPr="00AA4C18" w:rsidRDefault="0076357A" w:rsidP="0076357A">
      <w:pPr>
        <w:tabs>
          <w:tab w:val="num" w:pos="1080"/>
        </w:tabs>
        <w:jc w:val="both"/>
        <w:rPr>
          <w:bCs/>
          <w:szCs w:val="20"/>
        </w:rPr>
      </w:pPr>
      <w:r w:rsidRPr="00AA4C18">
        <w:rPr>
          <w:bCs/>
          <w:szCs w:val="20"/>
        </w:rPr>
        <w:t>Ak sa vplyv týka viacerých subjektov verejnej správy, vypĺňa sa samostatná tabuľka za každý subjekt.</w:t>
      </w:r>
    </w:p>
    <w:p w14:paraId="2F1A558D" w14:textId="77777777" w:rsidR="0076357A" w:rsidRPr="00AA4C18" w:rsidRDefault="0076357A" w:rsidP="0076357A">
      <w:pPr>
        <w:tabs>
          <w:tab w:val="num" w:pos="1080"/>
        </w:tabs>
        <w:ind w:right="-578"/>
        <w:jc w:val="right"/>
        <w:rPr>
          <w:bCs/>
        </w:rPr>
      </w:pPr>
    </w:p>
    <w:p w14:paraId="2050D22C" w14:textId="77777777" w:rsidR="0076357A" w:rsidRPr="00AA4C18" w:rsidRDefault="0076357A" w:rsidP="0076357A">
      <w:pPr>
        <w:tabs>
          <w:tab w:val="num" w:pos="1080"/>
        </w:tabs>
        <w:ind w:right="-578"/>
        <w:jc w:val="right"/>
        <w:rPr>
          <w:bCs/>
        </w:rPr>
      </w:pPr>
    </w:p>
    <w:p w14:paraId="579BB48E" w14:textId="77777777" w:rsidR="0076357A" w:rsidRPr="00AA4C18" w:rsidRDefault="0076357A" w:rsidP="0076357A">
      <w:pPr>
        <w:tabs>
          <w:tab w:val="num" w:pos="1080"/>
        </w:tabs>
        <w:ind w:right="-578"/>
        <w:jc w:val="right"/>
        <w:rPr>
          <w:bCs/>
        </w:rPr>
      </w:pPr>
    </w:p>
    <w:p w14:paraId="0B6A8BDF" w14:textId="77777777" w:rsidR="0076357A" w:rsidRPr="00AA4C18" w:rsidRDefault="0076357A" w:rsidP="0076357A">
      <w:pPr>
        <w:tabs>
          <w:tab w:val="num" w:pos="1080"/>
        </w:tabs>
        <w:ind w:right="-578"/>
        <w:jc w:val="right"/>
        <w:rPr>
          <w:bCs/>
        </w:rPr>
      </w:pPr>
    </w:p>
    <w:p w14:paraId="1184AD27" w14:textId="77777777" w:rsidR="0076357A" w:rsidRPr="00AA4C18" w:rsidRDefault="0076357A" w:rsidP="0076357A">
      <w:pPr>
        <w:tabs>
          <w:tab w:val="num" w:pos="1080"/>
        </w:tabs>
        <w:ind w:right="-578"/>
        <w:jc w:val="right"/>
        <w:rPr>
          <w:bCs/>
        </w:rPr>
      </w:pPr>
    </w:p>
    <w:p w14:paraId="29F35B0E" w14:textId="77777777" w:rsidR="0076357A" w:rsidRPr="00AA4C18" w:rsidRDefault="0076357A" w:rsidP="0076357A">
      <w:pPr>
        <w:tabs>
          <w:tab w:val="num" w:pos="1080"/>
        </w:tabs>
        <w:ind w:right="-578"/>
        <w:jc w:val="right"/>
        <w:rPr>
          <w:bCs/>
        </w:rPr>
      </w:pPr>
    </w:p>
    <w:p w14:paraId="77F8F02A" w14:textId="77777777" w:rsidR="0076357A" w:rsidRPr="00AA4C18" w:rsidRDefault="0076357A" w:rsidP="0076357A">
      <w:pPr>
        <w:tabs>
          <w:tab w:val="num" w:pos="1080"/>
        </w:tabs>
        <w:ind w:right="-578"/>
        <w:rPr>
          <w:bCs/>
        </w:rPr>
      </w:pPr>
    </w:p>
    <w:p w14:paraId="2422716C" w14:textId="77777777" w:rsidR="0076357A" w:rsidRPr="00AA4C18" w:rsidRDefault="0076357A" w:rsidP="0076357A">
      <w:pPr>
        <w:tabs>
          <w:tab w:val="num" w:pos="1080"/>
        </w:tabs>
        <w:ind w:right="-578"/>
        <w:rPr>
          <w:bCs/>
        </w:rPr>
      </w:pPr>
    </w:p>
    <w:p w14:paraId="586600F1" w14:textId="77777777" w:rsidR="0076357A" w:rsidRPr="00AA4C18" w:rsidRDefault="0076357A" w:rsidP="0076357A">
      <w:pPr>
        <w:tabs>
          <w:tab w:val="num" w:pos="1080"/>
        </w:tabs>
        <w:ind w:right="-578"/>
        <w:jc w:val="right"/>
        <w:rPr>
          <w:bCs/>
        </w:rPr>
      </w:pPr>
    </w:p>
    <w:p w14:paraId="5C3F0D0B" w14:textId="77777777" w:rsidR="0076357A" w:rsidRPr="00AA4C18" w:rsidRDefault="0076357A" w:rsidP="0076357A">
      <w:pPr>
        <w:tabs>
          <w:tab w:val="num" w:pos="1080"/>
        </w:tabs>
        <w:ind w:right="-32"/>
        <w:jc w:val="right"/>
        <w:rPr>
          <w:bCs/>
        </w:rPr>
      </w:pPr>
      <w:r w:rsidRPr="00AA4C18">
        <w:rPr>
          <w:bCs/>
        </w:rPr>
        <w:lastRenderedPageBreak/>
        <w:t xml:space="preserve">Tabuľka č. 4 </w:t>
      </w:r>
    </w:p>
    <w:p w14:paraId="79E4439F" w14:textId="77777777" w:rsidR="0076357A" w:rsidRPr="00AA4C18" w:rsidRDefault="0076357A" w:rsidP="0076357A">
      <w:pPr>
        <w:tabs>
          <w:tab w:val="num" w:pos="1080"/>
        </w:tabs>
        <w:ind w:left="708"/>
        <w:jc w:val="both"/>
        <w:rPr>
          <w:bCs/>
          <w:szCs w:val="20"/>
        </w:rPr>
      </w:pPr>
      <w:r w:rsidRPr="00AA4C18">
        <w:rPr>
          <w:bCs/>
          <w:szCs w:val="20"/>
        </w:rPr>
        <w:t>Štatistický úrad SR</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6357A" w:rsidRPr="00AA4C18" w14:paraId="234AC854" w14:textId="77777777" w:rsidTr="0076357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50328CB" w14:textId="77777777" w:rsidR="0076357A" w:rsidRPr="00AA4C18" w:rsidRDefault="0076357A" w:rsidP="0076357A">
            <w:pPr>
              <w:jc w:val="center"/>
              <w:rPr>
                <w:b/>
                <w:bCs/>
                <w:sz w:val="20"/>
                <w:szCs w:val="20"/>
              </w:rPr>
            </w:pPr>
            <w:r w:rsidRPr="00AA4C1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540BB4E" w14:textId="77777777" w:rsidR="0076357A" w:rsidRPr="00AA4C18" w:rsidRDefault="0076357A" w:rsidP="0076357A">
            <w:pPr>
              <w:jc w:val="center"/>
              <w:rPr>
                <w:b/>
                <w:bCs/>
                <w:sz w:val="20"/>
                <w:szCs w:val="20"/>
              </w:rPr>
            </w:pPr>
            <w:r w:rsidRPr="00AA4C1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5E64B8" w14:textId="77777777" w:rsidR="0076357A" w:rsidRPr="00AA4C18" w:rsidRDefault="0076357A" w:rsidP="0076357A">
            <w:pPr>
              <w:jc w:val="center"/>
              <w:rPr>
                <w:b/>
                <w:bCs/>
              </w:rPr>
            </w:pPr>
            <w:r w:rsidRPr="00AA4C18">
              <w:rPr>
                <w:b/>
                <w:bCs/>
              </w:rPr>
              <w:t>poznámka</w:t>
            </w:r>
          </w:p>
        </w:tc>
      </w:tr>
      <w:tr w:rsidR="0076357A" w:rsidRPr="00AA4C18" w14:paraId="1746E2EC" w14:textId="77777777" w:rsidTr="0076357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6F3FE0F" w14:textId="77777777" w:rsidR="0076357A" w:rsidRPr="00AA4C18" w:rsidRDefault="0076357A" w:rsidP="0076357A">
            <w:pPr>
              <w:rPr>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9663A1F" w14:textId="77777777" w:rsidR="0076357A" w:rsidRPr="00AA4C18" w:rsidRDefault="0076357A" w:rsidP="0076357A">
            <w:pPr>
              <w:jc w:val="center"/>
              <w:rPr>
                <w:b/>
                <w:bCs/>
                <w:sz w:val="20"/>
                <w:szCs w:val="20"/>
              </w:rPr>
            </w:pPr>
            <w:r w:rsidRPr="00AA4C18">
              <w:rPr>
                <w:b/>
                <w:bCs/>
                <w:sz w:val="20"/>
                <w:szCs w:val="20"/>
              </w:rPr>
              <w:t>2019</w:t>
            </w:r>
          </w:p>
        </w:tc>
        <w:tc>
          <w:tcPr>
            <w:tcW w:w="1540" w:type="dxa"/>
            <w:tcBorders>
              <w:top w:val="nil"/>
              <w:left w:val="nil"/>
              <w:bottom w:val="single" w:sz="4" w:space="0" w:color="auto"/>
              <w:right w:val="single" w:sz="4" w:space="0" w:color="auto"/>
            </w:tcBorders>
            <w:shd w:val="clear" w:color="auto" w:fill="BFBFBF" w:themeFill="background1" w:themeFillShade="BF"/>
          </w:tcPr>
          <w:p w14:paraId="41D0ABB3" w14:textId="77777777" w:rsidR="0076357A" w:rsidRPr="00AA4C18" w:rsidRDefault="0076357A" w:rsidP="0076357A">
            <w:pPr>
              <w:jc w:val="center"/>
              <w:rPr>
                <w:b/>
                <w:bCs/>
                <w:sz w:val="20"/>
                <w:szCs w:val="20"/>
              </w:rPr>
            </w:pPr>
            <w:r w:rsidRPr="00AA4C18">
              <w:rPr>
                <w:b/>
                <w:bCs/>
                <w:sz w:val="20"/>
                <w:szCs w:val="20"/>
              </w:rPr>
              <w:t>2020</w:t>
            </w:r>
          </w:p>
        </w:tc>
        <w:tc>
          <w:tcPr>
            <w:tcW w:w="1540" w:type="dxa"/>
            <w:tcBorders>
              <w:top w:val="nil"/>
              <w:left w:val="nil"/>
              <w:bottom w:val="single" w:sz="4" w:space="0" w:color="auto"/>
              <w:right w:val="single" w:sz="4" w:space="0" w:color="auto"/>
            </w:tcBorders>
            <w:shd w:val="clear" w:color="auto" w:fill="BFBFBF" w:themeFill="background1" w:themeFillShade="BF"/>
          </w:tcPr>
          <w:p w14:paraId="7D57D634" w14:textId="77777777" w:rsidR="0076357A" w:rsidRPr="00AA4C18" w:rsidRDefault="0076357A" w:rsidP="0076357A">
            <w:pPr>
              <w:jc w:val="center"/>
              <w:rPr>
                <w:b/>
                <w:bCs/>
                <w:sz w:val="20"/>
                <w:szCs w:val="20"/>
              </w:rPr>
            </w:pPr>
            <w:r w:rsidRPr="00AA4C18">
              <w:rPr>
                <w:b/>
                <w:bCs/>
                <w:sz w:val="20"/>
                <w:szCs w:val="20"/>
              </w:rPr>
              <w:t>2021</w:t>
            </w:r>
          </w:p>
        </w:tc>
        <w:tc>
          <w:tcPr>
            <w:tcW w:w="1540" w:type="dxa"/>
            <w:tcBorders>
              <w:top w:val="nil"/>
              <w:left w:val="nil"/>
              <w:bottom w:val="single" w:sz="4" w:space="0" w:color="auto"/>
              <w:right w:val="single" w:sz="4" w:space="0" w:color="auto"/>
            </w:tcBorders>
            <w:shd w:val="clear" w:color="auto" w:fill="BFBFBF" w:themeFill="background1" w:themeFillShade="BF"/>
          </w:tcPr>
          <w:p w14:paraId="2DC1837A" w14:textId="77777777" w:rsidR="0076357A" w:rsidRPr="00AA4C18" w:rsidRDefault="0076357A" w:rsidP="0076357A">
            <w:pPr>
              <w:jc w:val="center"/>
              <w:rPr>
                <w:b/>
                <w:bCs/>
              </w:rPr>
            </w:pPr>
            <w:r w:rsidRPr="00AA4C18">
              <w:rPr>
                <w:b/>
                <w:bCs/>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14:paraId="73DD9916" w14:textId="77777777" w:rsidR="0076357A" w:rsidRPr="00AA4C18" w:rsidRDefault="0076357A" w:rsidP="0076357A">
            <w:pPr>
              <w:rPr>
                <w:b/>
                <w:bCs/>
              </w:rPr>
            </w:pPr>
          </w:p>
        </w:tc>
      </w:tr>
      <w:tr w:rsidR="0076357A" w:rsidRPr="00AA4C18" w14:paraId="71D11E0C" w14:textId="77777777" w:rsidTr="0076357A">
        <w:trPr>
          <w:trHeight w:val="255"/>
        </w:trPr>
        <w:tc>
          <w:tcPr>
            <w:tcW w:w="7070" w:type="dxa"/>
            <w:tcBorders>
              <w:top w:val="nil"/>
              <w:left w:val="single" w:sz="4" w:space="0" w:color="auto"/>
              <w:bottom w:val="single" w:sz="4" w:space="0" w:color="auto"/>
              <w:right w:val="single" w:sz="4" w:space="0" w:color="auto"/>
            </w:tcBorders>
          </w:tcPr>
          <w:p w14:paraId="157C2A04" w14:textId="77777777" w:rsidR="0076357A" w:rsidRPr="00AA4C18" w:rsidRDefault="0076357A" w:rsidP="0076357A">
            <w:pPr>
              <w:rPr>
                <w:b/>
                <w:bCs/>
                <w:sz w:val="20"/>
                <w:szCs w:val="20"/>
              </w:rPr>
            </w:pPr>
            <w:r w:rsidRPr="00AA4C18">
              <w:rPr>
                <w:b/>
                <w:bCs/>
                <w:sz w:val="20"/>
                <w:szCs w:val="20"/>
              </w:rPr>
              <w:t>Bežné výdavky (600)</w:t>
            </w:r>
          </w:p>
        </w:tc>
        <w:tc>
          <w:tcPr>
            <w:tcW w:w="1540" w:type="dxa"/>
            <w:tcBorders>
              <w:top w:val="nil"/>
              <w:left w:val="nil"/>
              <w:bottom w:val="single" w:sz="4" w:space="0" w:color="auto"/>
              <w:right w:val="single" w:sz="4" w:space="0" w:color="auto"/>
            </w:tcBorders>
          </w:tcPr>
          <w:p w14:paraId="57648A5B" w14:textId="77777777" w:rsidR="0076357A" w:rsidRPr="00AA4C18" w:rsidRDefault="0076357A" w:rsidP="0076357A">
            <w:pPr>
              <w:jc w:val="center"/>
              <w:rPr>
                <w:b/>
                <w:bCs/>
                <w:sz w:val="20"/>
                <w:szCs w:val="20"/>
                <w:highlight w:val="yellow"/>
              </w:rPr>
            </w:pPr>
            <w:r w:rsidRPr="00AA4C18">
              <w:rPr>
                <w:b/>
                <w:bCs/>
                <w:sz w:val="20"/>
                <w:szCs w:val="20"/>
              </w:rPr>
              <w:t>2 126 000</w:t>
            </w:r>
          </w:p>
        </w:tc>
        <w:tc>
          <w:tcPr>
            <w:tcW w:w="1540" w:type="dxa"/>
            <w:tcBorders>
              <w:top w:val="nil"/>
              <w:left w:val="nil"/>
              <w:bottom w:val="single" w:sz="4" w:space="0" w:color="auto"/>
              <w:right w:val="single" w:sz="4" w:space="0" w:color="auto"/>
            </w:tcBorders>
          </w:tcPr>
          <w:p w14:paraId="471CBA06" w14:textId="77777777" w:rsidR="0076357A" w:rsidRPr="00AA4C18" w:rsidRDefault="0076357A" w:rsidP="0076357A">
            <w:pPr>
              <w:jc w:val="center"/>
              <w:rPr>
                <w:b/>
                <w:bCs/>
                <w:sz w:val="20"/>
                <w:szCs w:val="20"/>
                <w:highlight w:val="yellow"/>
              </w:rPr>
            </w:pPr>
            <w:r w:rsidRPr="00AA4C18">
              <w:rPr>
                <w:b/>
                <w:bCs/>
                <w:sz w:val="20"/>
                <w:szCs w:val="20"/>
              </w:rPr>
              <w:t>17 541 290</w:t>
            </w:r>
          </w:p>
        </w:tc>
        <w:tc>
          <w:tcPr>
            <w:tcW w:w="1540" w:type="dxa"/>
            <w:tcBorders>
              <w:top w:val="nil"/>
              <w:left w:val="nil"/>
              <w:bottom w:val="single" w:sz="4" w:space="0" w:color="auto"/>
              <w:right w:val="single" w:sz="4" w:space="0" w:color="auto"/>
            </w:tcBorders>
          </w:tcPr>
          <w:p w14:paraId="34194069" w14:textId="77777777" w:rsidR="0076357A" w:rsidRPr="00AA4C18" w:rsidRDefault="0076357A" w:rsidP="0076357A">
            <w:pPr>
              <w:jc w:val="center"/>
              <w:rPr>
                <w:b/>
                <w:bCs/>
                <w:sz w:val="20"/>
                <w:szCs w:val="20"/>
                <w:highlight w:val="yellow"/>
              </w:rPr>
            </w:pPr>
            <w:r w:rsidRPr="00AA4C18">
              <w:rPr>
                <w:b/>
                <w:bCs/>
                <w:sz w:val="20"/>
                <w:szCs w:val="20"/>
              </w:rPr>
              <w:t>18 594 989</w:t>
            </w:r>
          </w:p>
        </w:tc>
        <w:tc>
          <w:tcPr>
            <w:tcW w:w="1540" w:type="dxa"/>
            <w:tcBorders>
              <w:top w:val="nil"/>
              <w:left w:val="nil"/>
              <w:bottom w:val="single" w:sz="4" w:space="0" w:color="auto"/>
              <w:right w:val="single" w:sz="4" w:space="0" w:color="auto"/>
            </w:tcBorders>
          </w:tcPr>
          <w:p w14:paraId="47C8D9E1" w14:textId="77777777" w:rsidR="0076357A" w:rsidRPr="00AA4C18" w:rsidRDefault="0076357A" w:rsidP="0076357A">
            <w:pPr>
              <w:jc w:val="center"/>
              <w:rPr>
                <w:b/>
                <w:bCs/>
                <w:highlight w:val="yellow"/>
              </w:rPr>
            </w:pPr>
            <w:r w:rsidRPr="00AA4C18">
              <w:rPr>
                <w:b/>
                <w:bCs/>
                <w:sz w:val="20"/>
                <w:szCs w:val="20"/>
              </w:rPr>
              <w:t>1 556 372 </w:t>
            </w:r>
          </w:p>
        </w:tc>
        <w:tc>
          <w:tcPr>
            <w:tcW w:w="2220" w:type="dxa"/>
            <w:tcBorders>
              <w:top w:val="nil"/>
              <w:left w:val="nil"/>
              <w:bottom w:val="single" w:sz="4" w:space="0" w:color="auto"/>
              <w:right w:val="single" w:sz="4" w:space="0" w:color="auto"/>
            </w:tcBorders>
            <w:noWrap/>
            <w:vAlign w:val="bottom"/>
          </w:tcPr>
          <w:p w14:paraId="7F5B6F7D" w14:textId="77777777" w:rsidR="0076357A" w:rsidRPr="00AA4C18" w:rsidRDefault="0076357A" w:rsidP="0076357A">
            <w:r w:rsidRPr="00AA4C18">
              <w:t> </w:t>
            </w:r>
          </w:p>
        </w:tc>
      </w:tr>
      <w:tr w:rsidR="0076357A" w:rsidRPr="00AA4C18" w14:paraId="57D1D3DF" w14:textId="77777777" w:rsidTr="0076357A">
        <w:trPr>
          <w:trHeight w:val="255"/>
        </w:trPr>
        <w:tc>
          <w:tcPr>
            <w:tcW w:w="7070" w:type="dxa"/>
            <w:tcBorders>
              <w:top w:val="nil"/>
              <w:left w:val="single" w:sz="4" w:space="0" w:color="auto"/>
              <w:bottom w:val="single" w:sz="4" w:space="0" w:color="auto"/>
              <w:right w:val="single" w:sz="4" w:space="0" w:color="auto"/>
            </w:tcBorders>
          </w:tcPr>
          <w:p w14:paraId="7E7A9423" w14:textId="77777777" w:rsidR="0076357A" w:rsidRPr="00AA4C18" w:rsidRDefault="0076357A" w:rsidP="0076357A">
            <w:pPr>
              <w:rPr>
                <w:sz w:val="20"/>
                <w:szCs w:val="20"/>
              </w:rPr>
            </w:pPr>
            <w:r w:rsidRPr="00AA4C1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3F920491" w14:textId="77777777" w:rsidR="0076357A" w:rsidRPr="00AA4C18" w:rsidRDefault="0076357A" w:rsidP="0076357A">
            <w:pPr>
              <w:jc w:val="center"/>
              <w:rPr>
                <w:sz w:val="20"/>
                <w:szCs w:val="20"/>
              </w:rPr>
            </w:pPr>
            <w:r w:rsidRPr="00AA4C18">
              <w:rPr>
                <w:sz w:val="20"/>
                <w:szCs w:val="20"/>
              </w:rPr>
              <w:t>693 000</w:t>
            </w:r>
          </w:p>
        </w:tc>
        <w:tc>
          <w:tcPr>
            <w:tcW w:w="1540" w:type="dxa"/>
            <w:tcBorders>
              <w:top w:val="nil"/>
              <w:left w:val="nil"/>
              <w:bottom w:val="single" w:sz="4" w:space="0" w:color="auto"/>
              <w:right w:val="single" w:sz="4" w:space="0" w:color="auto"/>
            </w:tcBorders>
          </w:tcPr>
          <w:p w14:paraId="5FC60045" w14:textId="77777777" w:rsidR="0076357A" w:rsidRPr="00AA4C18" w:rsidRDefault="0076357A" w:rsidP="0076357A">
            <w:pPr>
              <w:jc w:val="center"/>
              <w:rPr>
                <w:sz w:val="20"/>
                <w:szCs w:val="20"/>
              </w:rPr>
            </w:pPr>
            <w:r w:rsidRPr="00AA4C18">
              <w:rPr>
                <w:sz w:val="20"/>
                <w:szCs w:val="20"/>
              </w:rPr>
              <w:t>713 072</w:t>
            </w:r>
          </w:p>
        </w:tc>
        <w:tc>
          <w:tcPr>
            <w:tcW w:w="1540" w:type="dxa"/>
            <w:tcBorders>
              <w:top w:val="nil"/>
              <w:left w:val="nil"/>
              <w:bottom w:val="single" w:sz="4" w:space="0" w:color="auto"/>
              <w:right w:val="single" w:sz="4" w:space="0" w:color="auto"/>
            </w:tcBorders>
          </w:tcPr>
          <w:p w14:paraId="4A054FDA" w14:textId="77777777" w:rsidR="0076357A" w:rsidRPr="00AA4C18" w:rsidRDefault="0076357A" w:rsidP="0076357A">
            <w:pPr>
              <w:jc w:val="center"/>
              <w:rPr>
                <w:sz w:val="20"/>
                <w:szCs w:val="20"/>
              </w:rPr>
            </w:pPr>
            <w:r w:rsidRPr="00AA4C18">
              <w:rPr>
                <w:sz w:val="20"/>
                <w:szCs w:val="20"/>
              </w:rPr>
              <w:t>1 049 546</w:t>
            </w:r>
          </w:p>
        </w:tc>
        <w:tc>
          <w:tcPr>
            <w:tcW w:w="1540" w:type="dxa"/>
            <w:tcBorders>
              <w:top w:val="nil"/>
              <w:left w:val="nil"/>
              <w:bottom w:val="single" w:sz="4" w:space="0" w:color="auto"/>
              <w:right w:val="single" w:sz="4" w:space="0" w:color="auto"/>
            </w:tcBorders>
          </w:tcPr>
          <w:p w14:paraId="48D5308B" w14:textId="77777777" w:rsidR="0076357A" w:rsidRPr="00AA4C18" w:rsidRDefault="0076357A" w:rsidP="0076357A">
            <w:pPr>
              <w:jc w:val="center"/>
            </w:pPr>
            <w:r w:rsidRPr="00AA4C18">
              <w:rPr>
                <w:sz w:val="20"/>
                <w:szCs w:val="20"/>
              </w:rPr>
              <w:t>553 073</w:t>
            </w:r>
          </w:p>
        </w:tc>
        <w:tc>
          <w:tcPr>
            <w:tcW w:w="2220" w:type="dxa"/>
            <w:tcBorders>
              <w:top w:val="nil"/>
              <w:left w:val="nil"/>
              <w:bottom w:val="single" w:sz="4" w:space="0" w:color="auto"/>
              <w:right w:val="single" w:sz="4" w:space="0" w:color="auto"/>
            </w:tcBorders>
            <w:noWrap/>
            <w:vAlign w:val="bottom"/>
          </w:tcPr>
          <w:p w14:paraId="35B40FE0" w14:textId="77777777" w:rsidR="0076357A" w:rsidRPr="00AA4C18" w:rsidRDefault="0076357A" w:rsidP="0076357A">
            <w:r w:rsidRPr="00AA4C18">
              <w:t> </w:t>
            </w:r>
          </w:p>
        </w:tc>
      </w:tr>
      <w:tr w:rsidR="0076357A" w:rsidRPr="00AA4C18" w14:paraId="340D936C" w14:textId="77777777" w:rsidTr="0076357A">
        <w:trPr>
          <w:trHeight w:val="255"/>
        </w:trPr>
        <w:tc>
          <w:tcPr>
            <w:tcW w:w="7070" w:type="dxa"/>
            <w:tcBorders>
              <w:top w:val="nil"/>
              <w:left w:val="single" w:sz="4" w:space="0" w:color="auto"/>
              <w:bottom w:val="single" w:sz="4" w:space="0" w:color="auto"/>
              <w:right w:val="single" w:sz="4" w:space="0" w:color="auto"/>
            </w:tcBorders>
          </w:tcPr>
          <w:p w14:paraId="27BA0780" w14:textId="77777777" w:rsidR="0076357A" w:rsidRPr="00AA4C18" w:rsidRDefault="0076357A" w:rsidP="0076357A">
            <w:pPr>
              <w:rPr>
                <w:sz w:val="20"/>
                <w:szCs w:val="20"/>
                <w:vertAlign w:val="superscript"/>
              </w:rPr>
            </w:pPr>
            <w:r w:rsidRPr="00AA4C18">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14:paraId="26BE8C26" w14:textId="77777777" w:rsidR="0076357A" w:rsidRPr="00AA4C18" w:rsidRDefault="0076357A" w:rsidP="0076357A">
            <w:pPr>
              <w:jc w:val="center"/>
              <w:rPr>
                <w:sz w:val="20"/>
                <w:szCs w:val="20"/>
              </w:rPr>
            </w:pPr>
            <w:r w:rsidRPr="00AA4C18">
              <w:rPr>
                <w:sz w:val="20"/>
                <w:szCs w:val="20"/>
              </w:rPr>
              <w:t>243 000</w:t>
            </w:r>
          </w:p>
        </w:tc>
        <w:tc>
          <w:tcPr>
            <w:tcW w:w="1540" w:type="dxa"/>
            <w:tcBorders>
              <w:top w:val="nil"/>
              <w:left w:val="nil"/>
              <w:bottom w:val="single" w:sz="4" w:space="0" w:color="auto"/>
              <w:right w:val="single" w:sz="4" w:space="0" w:color="auto"/>
            </w:tcBorders>
          </w:tcPr>
          <w:p w14:paraId="77134EB1" w14:textId="77777777" w:rsidR="0076357A" w:rsidRPr="00AA4C18" w:rsidRDefault="0076357A" w:rsidP="0076357A">
            <w:pPr>
              <w:jc w:val="center"/>
              <w:rPr>
                <w:sz w:val="20"/>
                <w:szCs w:val="20"/>
              </w:rPr>
            </w:pPr>
            <w:r w:rsidRPr="00AA4C18">
              <w:rPr>
                <w:sz w:val="20"/>
                <w:szCs w:val="20"/>
              </w:rPr>
              <w:t>249 218</w:t>
            </w:r>
          </w:p>
        </w:tc>
        <w:tc>
          <w:tcPr>
            <w:tcW w:w="1540" w:type="dxa"/>
            <w:tcBorders>
              <w:top w:val="nil"/>
              <w:left w:val="nil"/>
              <w:bottom w:val="single" w:sz="4" w:space="0" w:color="auto"/>
              <w:right w:val="single" w:sz="4" w:space="0" w:color="auto"/>
            </w:tcBorders>
          </w:tcPr>
          <w:p w14:paraId="3ABEC1AE" w14:textId="77777777" w:rsidR="0076357A" w:rsidRPr="00AA4C18" w:rsidRDefault="0076357A" w:rsidP="0076357A">
            <w:pPr>
              <w:jc w:val="center"/>
              <w:rPr>
                <w:sz w:val="20"/>
                <w:szCs w:val="20"/>
              </w:rPr>
            </w:pPr>
            <w:r w:rsidRPr="00AA4C18">
              <w:rPr>
                <w:sz w:val="20"/>
                <w:szCs w:val="20"/>
              </w:rPr>
              <w:t>366 816</w:t>
            </w:r>
          </w:p>
        </w:tc>
        <w:tc>
          <w:tcPr>
            <w:tcW w:w="1540" w:type="dxa"/>
            <w:tcBorders>
              <w:top w:val="nil"/>
              <w:left w:val="nil"/>
              <w:bottom w:val="single" w:sz="4" w:space="0" w:color="auto"/>
              <w:right w:val="single" w:sz="4" w:space="0" w:color="auto"/>
            </w:tcBorders>
          </w:tcPr>
          <w:p w14:paraId="431900E9" w14:textId="77777777" w:rsidR="0076357A" w:rsidRPr="00AA4C18" w:rsidRDefault="0076357A" w:rsidP="0076357A">
            <w:pPr>
              <w:jc w:val="center"/>
            </w:pPr>
            <w:r w:rsidRPr="00AA4C18">
              <w:rPr>
                <w:sz w:val="20"/>
                <w:szCs w:val="20"/>
              </w:rPr>
              <w:t>193 299</w:t>
            </w:r>
          </w:p>
        </w:tc>
        <w:tc>
          <w:tcPr>
            <w:tcW w:w="2220" w:type="dxa"/>
            <w:tcBorders>
              <w:top w:val="nil"/>
              <w:left w:val="nil"/>
              <w:bottom w:val="single" w:sz="4" w:space="0" w:color="auto"/>
              <w:right w:val="single" w:sz="4" w:space="0" w:color="auto"/>
            </w:tcBorders>
            <w:noWrap/>
            <w:vAlign w:val="bottom"/>
          </w:tcPr>
          <w:p w14:paraId="3144B62C" w14:textId="77777777" w:rsidR="0076357A" w:rsidRPr="00AA4C18" w:rsidRDefault="0076357A" w:rsidP="0076357A">
            <w:r w:rsidRPr="00AA4C18">
              <w:t> </w:t>
            </w:r>
          </w:p>
        </w:tc>
      </w:tr>
      <w:tr w:rsidR="0076357A" w:rsidRPr="00AA4C18" w14:paraId="17F62B0C" w14:textId="77777777" w:rsidTr="0076357A">
        <w:trPr>
          <w:trHeight w:val="255"/>
        </w:trPr>
        <w:tc>
          <w:tcPr>
            <w:tcW w:w="7070" w:type="dxa"/>
            <w:tcBorders>
              <w:top w:val="nil"/>
              <w:left w:val="single" w:sz="4" w:space="0" w:color="auto"/>
              <w:bottom w:val="single" w:sz="4" w:space="0" w:color="auto"/>
              <w:right w:val="single" w:sz="4" w:space="0" w:color="auto"/>
            </w:tcBorders>
          </w:tcPr>
          <w:p w14:paraId="07DD5D1F" w14:textId="77777777" w:rsidR="0076357A" w:rsidRPr="00AA4C18" w:rsidRDefault="0076357A" w:rsidP="0076357A">
            <w:pPr>
              <w:rPr>
                <w:sz w:val="20"/>
                <w:szCs w:val="20"/>
                <w:vertAlign w:val="superscript"/>
              </w:rPr>
            </w:pPr>
            <w:r w:rsidRPr="00AA4C18">
              <w:rPr>
                <w:sz w:val="20"/>
                <w:szCs w:val="20"/>
              </w:rPr>
              <w:t xml:space="preserve">  Tovary a služby (630)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524A1B4B" w14:textId="77777777" w:rsidR="0076357A" w:rsidRPr="00AA4C18" w:rsidRDefault="0076357A" w:rsidP="0076357A">
            <w:pPr>
              <w:jc w:val="center"/>
              <w:rPr>
                <w:sz w:val="20"/>
                <w:szCs w:val="20"/>
              </w:rPr>
            </w:pPr>
            <w:r w:rsidRPr="00AA4C18">
              <w:rPr>
                <w:sz w:val="20"/>
                <w:szCs w:val="20"/>
              </w:rPr>
              <w:t>1 160 000</w:t>
            </w:r>
          </w:p>
        </w:tc>
        <w:tc>
          <w:tcPr>
            <w:tcW w:w="1540" w:type="dxa"/>
            <w:tcBorders>
              <w:top w:val="nil"/>
              <w:left w:val="nil"/>
              <w:bottom w:val="single" w:sz="4" w:space="0" w:color="auto"/>
              <w:right w:val="single" w:sz="4" w:space="0" w:color="auto"/>
            </w:tcBorders>
          </w:tcPr>
          <w:p w14:paraId="0005EC75" w14:textId="77777777" w:rsidR="0076357A" w:rsidRPr="00AA4C18" w:rsidRDefault="0076357A" w:rsidP="0076357A">
            <w:pPr>
              <w:jc w:val="center"/>
              <w:rPr>
                <w:sz w:val="20"/>
                <w:szCs w:val="20"/>
              </w:rPr>
            </w:pPr>
            <w:r w:rsidRPr="00AA4C18">
              <w:rPr>
                <w:sz w:val="20"/>
                <w:szCs w:val="20"/>
              </w:rPr>
              <w:t>16 579 000*</w:t>
            </w:r>
          </w:p>
        </w:tc>
        <w:tc>
          <w:tcPr>
            <w:tcW w:w="1540" w:type="dxa"/>
            <w:tcBorders>
              <w:top w:val="nil"/>
              <w:left w:val="nil"/>
              <w:bottom w:val="single" w:sz="4" w:space="0" w:color="auto"/>
              <w:right w:val="single" w:sz="4" w:space="0" w:color="auto"/>
            </w:tcBorders>
          </w:tcPr>
          <w:p w14:paraId="7E4D00AB" w14:textId="77777777" w:rsidR="0076357A" w:rsidRPr="00AA4C18" w:rsidRDefault="0076357A" w:rsidP="0076357A">
            <w:pPr>
              <w:jc w:val="center"/>
              <w:rPr>
                <w:sz w:val="20"/>
                <w:szCs w:val="20"/>
              </w:rPr>
            </w:pPr>
            <w:r w:rsidRPr="00AA4C18">
              <w:rPr>
                <w:sz w:val="20"/>
                <w:szCs w:val="20"/>
              </w:rPr>
              <w:t>17 178 627*</w:t>
            </w:r>
          </w:p>
        </w:tc>
        <w:tc>
          <w:tcPr>
            <w:tcW w:w="1540" w:type="dxa"/>
            <w:tcBorders>
              <w:top w:val="nil"/>
              <w:left w:val="nil"/>
              <w:bottom w:val="single" w:sz="4" w:space="0" w:color="auto"/>
              <w:right w:val="single" w:sz="4" w:space="0" w:color="auto"/>
            </w:tcBorders>
          </w:tcPr>
          <w:p w14:paraId="6B1F9ADA" w14:textId="77777777" w:rsidR="0076357A" w:rsidRPr="00AA4C18" w:rsidRDefault="0076357A" w:rsidP="0076357A">
            <w:pPr>
              <w:jc w:val="center"/>
            </w:pPr>
            <w:r w:rsidRPr="00AA4C18">
              <w:rPr>
                <w:sz w:val="20"/>
                <w:szCs w:val="20"/>
              </w:rPr>
              <w:t>810 000</w:t>
            </w:r>
          </w:p>
        </w:tc>
        <w:tc>
          <w:tcPr>
            <w:tcW w:w="2220" w:type="dxa"/>
            <w:tcBorders>
              <w:top w:val="nil"/>
              <w:left w:val="nil"/>
              <w:bottom w:val="single" w:sz="4" w:space="0" w:color="auto"/>
              <w:right w:val="single" w:sz="4" w:space="0" w:color="auto"/>
            </w:tcBorders>
            <w:noWrap/>
            <w:vAlign w:val="bottom"/>
          </w:tcPr>
          <w:p w14:paraId="36849934" w14:textId="77777777" w:rsidR="0076357A" w:rsidRPr="00AA4C18" w:rsidRDefault="0076357A" w:rsidP="0076357A">
            <w:r w:rsidRPr="00AA4C18">
              <w:t> </w:t>
            </w:r>
          </w:p>
        </w:tc>
      </w:tr>
      <w:tr w:rsidR="0076357A" w:rsidRPr="00AA4C18" w14:paraId="13B9A3B6" w14:textId="77777777" w:rsidTr="0076357A">
        <w:trPr>
          <w:trHeight w:val="255"/>
        </w:trPr>
        <w:tc>
          <w:tcPr>
            <w:tcW w:w="7070" w:type="dxa"/>
            <w:tcBorders>
              <w:top w:val="nil"/>
              <w:left w:val="single" w:sz="4" w:space="0" w:color="auto"/>
              <w:bottom w:val="single" w:sz="4" w:space="0" w:color="auto"/>
              <w:right w:val="single" w:sz="4" w:space="0" w:color="auto"/>
            </w:tcBorders>
          </w:tcPr>
          <w:p w14:paraId="59DE25F4" w14:textId="77777777" w:rsidR="0076357A" w:rsidRPr="00AA4C18" w:rsidRDefault="0076357A" w:rsidP="0076357A">
            <w:pPr>
              <w:rPr>
                <w:sz w:val="20"/>
                <w:szCs w:val="20"/>
              </w:rPr>
            </w:pPr>
            <w:r w:rsidRPr="00AA4C18">
              <w:rPr>
                <w:sz w:val="20"/>
                <w:szCs w:val="20"/>
              </w:rPr>
              <w:t xml:space="preserve">  Bežné transfery (640)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3A62DD21"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7DCA0C82"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4B4EC90B"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2883818A" w14:textId="77777777" w:rsidR="0076357A" w:rsidRPr="00AA4C18" w:rsidRDefault="0076357A" w:rsidP="0076357A">
            <w:pPr>
              <w:jc w:val="center"/>
              <w:rPr>
                <w:sz w:val="20"/>
                <w:szCs w:val="20"/>
              </w:rPr>
            </w:pPr>
            <w:r w:rsidRPr="00AA4C18">
              <w:rPr>
                <w:sz w:val="20"/>
                <w:szCs w:val="20"/>
              </w:rPr>
              <w:t>0</w:t>
            </w:r>
          </w:p>
        </w:tc>
        <w:tc>
          <w:tcPr>
            <w:tcW w:w="2220" w:type="dxa"/>
            <w:tcBorders>
              <w:top w:val="nil"/>
              <w:left w:val="nil"/>
              <w:bottom w:val="single" w:sz="4" w:space="0" w:color="auto"/>
              <w:right w:val="single" w:sz="4" w:space="0" w:color="auto"/>
            </w:tcBorders>
            <w:noWrap/>
            <w:vAlign w:val="bottom"/>
          </w:tcPr>
          <w:p w14:paraId="580D5D1A" w14:textId="77777777" w:rsidR="0076357A" w:rsidRPr="00AA4C18" w:rsidRDefault="0076357A" w:rsidP="0076357A">
            <w:r w:rsidRPr="00AA4C18">
              <w:t> </w:t>
            </w:r>
          </w:p>
        </w:tc>
      </w:tr>
      <w:tr w:rsidR="0076357A" w:rsidRPr="00AA4C18" w14:paraId="5F201C40" w14:textId="77777777" w:rsidTr="0076357A">
        <w:trPr>
          <w:trHeight w:val="255"/>
        </w:trPr>
        <w:tc>
          <w:tcPr>
            <w:tcW w:w="7070" w:type="dxa"/>
            <w:tcBorders>
              <w:top w:val="nil"/>
              <w:left w:val="single" w:sz="4" w:space="0" w:color="auto"/>
              <w:bottom w:val="single" w:sz="4" w:space="0" w:color="auto"/>
              <w:right w:val="single" w:sz="4" w:space="0" w:color="auto"/>
            </w:tcBorders>
            <w:vAlign w:val="center"/>
          </w:tcPr>
          <w:p w14:paraId="53CA3ADB" w14:textId="77777777" w:rsidR="0076357A" w:rsidRPr="00AA4C18" w:rsidRDefault="0076357A" w:rsidP="0076357A">
            <w:pPr>
              <w:rPr>
                <w:sz w:val="20"/>
                <w:szCs w:val="20"/>
              </w:rPr>
            </w:pPr>
            <w:r w:rsidRPr="00AA4C18">
              <w:rPr>
                <w:sz w:val="20"/>
                <w:szCs w:val="20"/>
              </w:rPr>
              <w:t xml:space="preserve">  Splácanie úrokov a ostatné platby súvisiace s </w:t>
            </w:r>
            <w:r w:rsidRPr="00AA4C18">
              <w:t xml:space="preserve"> </w:t>
            </w:r>
            <w:r w:rsidRPr="00AA4C18">
              <w:rPr>
                <w:sz w:val="20"/>
                <w:szCs w:val="20"/>
              </w:rPr>
              <w:t>úverom, pôžičkou, návratnou finančnou výpomocou a finančným prenájmom (650)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1040D72D"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228B973E"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6035DA59"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0D066459" w14:textId="77777777" w:rsidR="0076357A" w:rsidRPr="00AA4C18" w:rsidRDefault="0076357A" w:rsidP="0076357A">
            <w:pPr>
              <w:jc w:val="center"/>
              <w:rPr>
                <w:sz w:val="20"/>
                <w:szCs w:val="20"/>
              </w:rPr>
            </w:pPr>
            <w:r w:rsidRPr="00AA4C18">
              <w:rPr>
                <w:sz w:val="20"/>
                <w:szCs w:val="20"/>
              </w:rPr>
              <w:t>0</w:t>
            </w:r>
          </w:p>
        </w:tc>
        <w:tc>
          <w:tcPr>
            <w:tcW w:w="2220" w:type="dxa"/>
            <w:tcBorders>
              <w:top w:val="nil"/>
              <w:left w:val="nil"/>
              <w:bottom w:val="single" w:sz="4" w:space="0" w:color="auto"/>
              <w:right w:val="single" w:sz="4" w:space="0" w:color="auto"/>
            </w:tcBorders>
            <w:noWrap/>
            <w:vAlign w:val="bottom"/>
          </w:tcPr>
          <w:p w14:paraId="49445FE8" w14:textId="77777777" w:rsidR="0076357A" w:rsidRPr="00AA4C18" w:rsidRDefault="0076357A" w:rsidP="0076357A"/>
        </w:tc>
      </w:tr>
      <w:tr w:rsidR="0076357A" w:rsidRPr="00AA4C18" w14:paraId="09508DF3" w14:textId="77777777" w:rsidTr="0076357A">
        <w:trPr>
          <w:trHeight w:val="255"/>
        </w:trPr>
        <w:tc>
          <w:tcPr>
            <w:tcW w:w="7070" w:type="dxa"/>
            <w:tcBorders>
              <w:top w:val="nil"/>
              <w:left w:val="single" w:sz="4" w:space="0" w:color="auto"/>
              <w:bottom w:val="single" w:sz="4" w:space="0" w:color="auto"/>
              <w:right w:val="single" w:sz="4" w:space="0" w:color="auto"/>
            </w:tcBorders>
          </w:tcPr>
          <w:p w14:paraId="6DE89C56" w14:textId="77777777" w:rsidR="0076357A" w:rsidRPr="00AA4C18" w:rsidRDefault="0076357A" w:rsidP="0076357A">
            <w:pPr>
              <w:rPr>
                <w:b/>
                <w:bCs/>
                <w:sz w:val="20"/>
                <w:szCs w:val="20"/>
              </w:rPr>
            </w:pPr>
            <w:r w:rsidRPr="00AA4C18">
              <w:rPr>
                <w:b/>
                <w:bCs/>
                <w:sz w:val="20"/>
                <w:szCs w:val="20"/>
              </w:rPr>
              <w:t>Kapitálové výdavky (700)</w:t>
            </w:r>
          </w:p>
        </w:tc>
        <w:tc>
          <w:tcPr>
            <w:tcW w:w="1540" w:type="dxa"/>
            <w:tcBorders>
              <w:top w:val="nil"/>
              <w:left w:val="nil"/>
              <w:bottom w:val="single" w:sz="4" w:space="0" w:color="auto"/>
              <w:right w:val="single" w:sz="4" w:space="0" w:color="auto"/>
            </w:tcBorders>
          </w:tcPr>
          <w:p w14:paraId="0FC28E53" w14:textId="77777777" w:rsidR="0076357A" w:rsidRPr="00AA4C18" w:rsidRDefault="0076357A" w:rsidP="0076357A">
            <w:pPr>
              <w:jc w:val="center"/>
              <w:rPr>
                <w:b/>
                <w:bCs/>
                <w:sz w:val="20"/>
                <w:szCs w:val="20"/>
              </w:rPr>
            </w:pPr>
            <w:r w:rsidRPr="00AA4C18">
              <w:rPr>
                <w:b/>
                <w:bCs/>
                <w:sz w:val="20"/>
                <w:szCs w:val="20"/>
              </w:rPr>
              <w:t>4  460 000</w:t>
            </w:r>
          </w:p>
        </w:tc>
        <w:tc>
          <w:tcPr>
            <w:tcW w:w="1540" w:type="dxa"/>
            <w:tcBorders>
              <w:top w:val="nil"/>
              <w:left w:val="nil"/>
              <w:bottom w:val="single" w:sz="4" w:space="0" w:color="auto"/>
              <w:right w:val="single" w:sz="4" w:space="0" w:color="auto"/>
            </w:tcBorders>
          </w:tcPr>
          <w:p w14:paraId="35DABC07" w14:textId="77777777" w:rsidR="0076357A" w:rsidRPr="00AA4C18" w:rsidRDefault="0076357A" w:rsidP="0076357A">
            <w:pPr>
              <w:jc w:val="center"/>
              <w:rPr>
                <w:b/>
                <w:bCs/>
                <w:sz w:val="20"/>
                <w:szCs w:val="20"/>
              </w:rPr>
            </w:pPr>
            <w:r w:rsidRPr="00AA4C18">
              <w:rPr>
                <w:b/>
                <w:bCs/>
                <w:sz w:val="20"/>
                <w:szCs w:val="20"/>
              </w:rPr>
              <w:t>6 917 000</w:t>
            </w:r>
          </w:p>
        </w:tc>
        <w:tc>
          <w:tcPr>
            <w:tcW w:w="1540" w:type="dxa"/>
            <w:tcBorders>
              <w:top w:val="nil"/>
              <w:left w:val="nil"/>
              <w:bottom w:val="single" w:sz="4" w:space="0" w:color="auto"/>
              <w:right w:val="single" w:sz="4" w:space="0" w:color="auto"/>
            </w:tcBorders>
          </w:tcPr>
          <w:p w14:paraId="236C2306" w14:textId="77777777" w:rsidR="0076357A" w:rsidRPr="00AA4C18" w:rsidRDefault="0076357A" w:rsidP="0076357A">
            <w:pPr>
              <w:jc w:val="center"/>
              <w:rPr>
                <w:b/>
                <w:bCs/>
                <w:sz w:val="20"/>
                <w:szCs w:val="20"/>
              </w:rPr>
            </w:pPr>
            <w:r w:rsidRPr="00AA4C18">
              <w:rPr>
                <w:b/>
                <w:bCs/>
                <w:sz w:val="20"/>
                <w:szCs w:val="20"/>
              </w:rPr>
              <w:t>2 322 000</w:t>
            </w:r>
          </w:p>
        </w:tc>
        <w:tc>
          <w:tcPr>
            <w:tcW w:w="1540" w:type="dxa"/>
            <w:tcBorders>
              <w:top w:val="nil"/>
              <w:left w:val="nil"/>
              <w:bottom w:val="single" w:sz="4" w:space="0" w:color="auto"/>
              <w:right w:val="single" w:sz="4" w:space="0" w:color="auto"/>
            </w:tcBorders>
          </w:tcPr>
          <w:p w14:paraId="068865CA" w14:textId="77777777" w:rsidR="0076357A" w:rsidRPr="00AA4C18" w:rsidRDefault="0076357A" w:rsidP="0076357A">
            <w:pPr>
              <w:jc w:val="center"/>
              <w:rPr>
                <w:b/>
                <w:bCs/>
              </w:rPr>
            </w:pPr>
            <w:r w:rsidRPr="00AA4C18">
              <w:rPr>
                <w:b/>
                <w:bCs/>
                <w:sz w:val="20"/>
                <w:szCs w:val="20"/>
              </w:rPr>
              <w:t>1 410 000</w:t>
            </w:r>
          </w:p>
        </w:tc>
        <w:tc>
          <w:tcPr>
            <w:tcW w:w="2220" w:type="dxa"/>
            <w:tcBorders>
              <w:top w:val="nil"/>
              <w:left w:val="nil"/>
              <w:bottom w:val="single" w:sz="4" w:space="0" w:color="auto"/>
              <w:right w:val="single" w:sz="4" w:space="0" w:color="auto"/>
            </w:tcBorders>
            <w:noWrap/>
            <w:vAlign w:val="bottom"/>
          </w:tcPr>
          <w:p w14:paraId="39B5AA3C" w14:textId="77777777" w:rsidR="0076357A" w:rsidRPr="00AA4C18" w:rsidRDefault="0076357A" w:rsidP="0076357A">
            <w:r w:rsidRPr="00AA4C18">
              <w:t> </w:t>
            </w:r>
          </w:p>
        </w:tc>
      </w:tr>
      <w:tr w:rsidR="0076357A" w:rsidRPr="00AA4C18" w14:paraId="328C6C03" w14:textId="77777777" w:rsidTr="0076357A">
        <w:trPr>
          <w:trHeight w:val="255"/>
        </w:trPr>
        <w:tc>
          <w:tcPr>
            <w:tcW w:w="7070" w:type="dxa"/>
            <w:tcBorders>
              <w:top w:val="nil"/>
              <w:left w:val="single" w:sz="4" w:space="0" w:color="auto"/>
              <w:bottom w:val="single" w:sz="4" w:space="0" w:color="auto"/>
              <w:right w:val="single" w:sz="4" w:space="0" w:color="auto"/>
            </w:tcBorders>
          </w:tcPr>
          <w:p w14:paraId="7262680F" w14:textId="77777777" w:rsidR="0076357A" w:rsidRPr="00AA4C18" w:rsidRDefault="0076357A" w:rsidP="0076357A">
            <w:pPr>
              <w:rPr>
                <w:sz w:val="20"/>
                <w:szCs w:val="20"/>
              </w:rPr>
            </w:pPr>
            <w:r w:rsidRPr="00AA4C18">
              <w:rPr>
                <w:sz w:val="20"/>
                <w:szCs w:val="20"/>
              </w:rPr>
              <w:t xml:space="preserve">  Obstarávanie kapitálových aktív (710)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443EFDE9" w14:textId="77777777" w:rsidR="0076357A" w:rsidRPr="00AA4C18" w:rsidRDefault="0076357A" w:rsidP="0076357A">
            <w:pPr>
              <w:jc w:val="center"/>
              <w:rPr>
                <w:sz w:val="20"/>
                <w:szCs w:val="20"/>
              </w:rPr>
            </w:pPr>
            <w:r w:rsidRPr="00AA4C18">
              <w:rPr>
                <w:sz w:val="20"/>
                <w:szCs w:val="20"/>
              </w:rPr>
              <w:t>4 460 000</w:t>
            </w:r>
          </w:p>
        </w:tc>
        <w:tc>
          <w:tcPr>
            <w:tcW w:w="1540" w:type="dxa"/>
            <w:tcBorders>
              <w:top w:val="nil"/>
              <w:left w:val="nil"/>
              <w:bottom w:val="single" w:sz="4" w:space="0" w:color="auto"/>
              <w:right w:val="single" w:sz="4" w:space="0" w:color="auto"/>
            </w:tcBorders>
          </w:tcPr>
          <w:p w14:paraId="3F9FB43A" w14:textId="77777777" w:rsidR="0076357A" w:rsidRPr="00AA4C18" w:rsidRDefault="0076357A" w:rsidP="0076357A">
            <w:pPr>
              <w:jc w:val="center"/>
              <w:rPr>
                <w:sz w:val="20"/>
                <w:szCs w:val="20"/>
              </w:rPr>
            </w:pPr>
            <w:r w:rsidRPr="00AA4C18">
              <w:rPr>
                <w:sz w:val="20"/>
                <w:szCs w:val="20"/>
              </w:rPr>
              <w:t>6 917 000</w:t>
            </w:r>
          </w:p>
        </w:tc>
        <w:tc>
          <w:tcPr>
            <w:tcW w:w="1540" w:type="dxa"/>
            <w:tcBorders>
              <w:top w:val="nil"/>
              <w:left w:val="nil"/>
              <w:bottom w:val="single" w:sz="4" w:space="0" w:color="auto"/>
              <w:right w:val="single" w:sz="4" w:space="0" w:color="auto"/>
            </w:tcBorders>
          </w:tcPr>
          <w:p w14:paraId="6CD1F414" w14:textId="77777777" w:rsidR="0076357A" w:rsidRPr="00AA4C18" w:rsidRDefault="0076357A" w:rsidP="0076357A">
            <w:pPr>
              <w:jc w:val="center"/>
              <w:rPr>
                <w:sz w:val="20"/>
                <w:szCs w:val="20"/>
              </w:rPr>
            </w:pPr>
            <w:r w:rsidRPr="00AA4C18">
              <w:rPr>
                <w:sz w:val="20"/>
                <w:szCs w:val="20"/>
              </w:rPr>
              <w:t>2 322 000</w:t>
            </w:r>
          </w:p>
        </w:tc>
        <w:tc>
          <w:tcPr>
            <w:tcW w:w="1540" w:type="dxa"/>
            <w:tcBorders>
              <w:top w:val="nil"/>
              <w:left w:val="nil"/>
              <w:bottom w:val="single" w:sz="4" w:space="0" w:color="auto"/>
              <w:right w:val="single" w:sz="4" w:space="0" w:color="auto"/>
            </w:tcBorders>
          </w:tcPr>
          <w:p w14:paraId="4D8D8964" w14:textId="77777777" w:rsidR="0076357A" w:rsidRPr="00AA4C18" w:rsidRDefault="0076357A" w:rsidP="0076357A">
            <w:pPr>
              <w:jc w:val="center"/>
              <w:rPr>
                <w:sz w:val="20"/>
                <w:szCs w:val="20"/>
              </w:rPr>
            </w:pPr>
            <w:r w:rsidRPr="00AA4C18">
              <w:rPr>
                <w:sz w:val="20"/>
                <w:szCs w:val="20"/>
              </w:rPr>
              <w:t>1 410 000</w:t>
            </w:r>
          </w:p>
        </w:tc>
        <w:tc>
          <w:tcPr>
            <w:tcW w:w="2220" w:type="dxa"/>
            <w:tcBorders>
              <w:top w:val="nil"/>
              <w:left w:val="nil"/>
              <w:bottom w:val="single" w:sz="4" w:space="0" w:color="auto"/>
              <w:right w:val="single" w:sz="4" w:space="0" w:color="auto"/>
            </w:tcBorders>
            <w:noWrap/>
            <w:vAlign w:val="bottom"/>
          </w:tcPr>
          <w:p w14:paraId="49DCB158" w14:textId="77777777" w:rsidR="0076357A" w:rsidRPr="00AA4C18" w:rsidRDefault="0076357A" w:rsidP="0076357A">
            <w:r w:rsidRPr="00AA4C18">
              <w:t> </w:t>
            </w:r>
          </w:p>
        </w:tc>
      </w:tr>
      <w:tr w:rsidR="0076357A" w:rsidRPr="00AA4C18" w14:paraId="571156A0" w14:textId="77777777" w:rsidTr="0076357A">
        <w:trPr>
          <w:trHeight w:val="255"/>
        </w:trPr>
        <w:tc>
          <w:tcPr>
            <w:tcW w:w="7070" w:type="dxa"/>
            <w:tcBorders>
              <w:top w:val="nil"/>
              <w:left w:val="single" w:sz="4" w:space="0" w:color="auto"/>
              <w:bottom w:val="single" w:sz="4" w:space="0" w:color="auto"/>
              <w:right w:val="single" w:sz="4" w:space="0" w:color="auto"/>
            </w:tcBorders>
          </w:tcPr>
          <w:p w14:paraId="50189045" w14:textId="77777777" w:rsidR="0076357A" w:rsidRPr="00AA4C18" w:rsidRDefault="0076357A" w:rsidP="0076357A">
            <w:pPr>
              <w:rPr>
                <w:sz w:val="20"/>
                <w:szCs w:val="20"/>
              </w:rPr>
            </w:pPr>
            <w:r w:rsidRPr="00AA4C18">
              <w:rPr>
                <w:sz w:val="20"/>
                <w:szCs w:val="20"/>
              </w:rPr>
              <w:t xml:space="preserve">  Kapitálové transfery (720)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59639775"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5CB64F06"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59028C1E"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51C64D2A" w14:textId="77777777" w:rsidR="0076357A" w:rsidRPr="00AA4C18" w:rsidRDefault="0076357A" w:rsidP="0076357A">
            <w:pPr>
              <w:jc w:val="center"/>
              <w:rPr>
                <w:sz w:val="20"/>
                <w:szCs w:val="20"/>
              </w:rPr>
            </w:pPr>
            <w:r w:rsidRPr="00AA4C18">
              <w:rPr>
                <w:sz w:val="20"/>
                <w:szCs w:val="20"/>
              </w:rPr>
              <w:t>0</w:t>
            </w:r>
          </w:p>
        </w:tc>
        <w:tc>
          <w:tcPr>
            <w:tcW w:w="2220" w:type="dxa"/>
            <w:tcBorders>
              <w:top w:val="nil"/>
              <w:left w:val="nil"/>
              <w:bottom w:val="single" w:sz="4" w:space="0" w:color="auto"/>
              <w:right w:val="single" w:sz="4" w:space="0" w:color="auto"/>
            </w:tcBorders>
            <w:noWrap/>
            <w:vAlign w:val="bottom"/>
          </w:tcPr>
          <w:p w14:paraId="3F8B1E2C" w14:textId="77777777" w:rsidR="0076357A" w:rsidRPr="00AA4C18" w:rsidRDefault="0076357A" w:rsidP="0076357A">
            <w:r w:rsidRPr="00AA4C18">
              <w:t> </w:t>
            </w:r>
          </w:p>
        </w:tc>
      </w:tr>
      <w:tr w:rsidR="0076357A" w:rsidRPr="00AA4C18" w14:paraId="5C016FC2" w14:textId="77777777" w:rsidTr="0076357A">
        <w:trPr>
          <w:trHeight w:val="255"/>
        </w:trPr>
        <w:tc>
          <w:tcPr>
            <w:tcW w:w="7070" w:type="dxa"/>
            <w:tcBorders>
              <w:top w:val="nil"/>
              <w:left w:val="single" w:sz="4" w:space="0" w:color="auto"/>
              <w:bottom w:val="single" w:sz="4" w:space="0" w:color="auto"/>
              <w:right w:val="single" w:sz="4" w:space="0" w:color="auto"/>
            </w:tcBorders>
          </w:tcPr>
          <w:p w14:paraId="4F350D65" w14:textId="77777777" w:rsidR="0076357A" w:rsidRPr="00AA4C18" w:rsidRDefault="0076357A" w:rsidP="0076357A">
            <w:pPr>
              <w:rPr>
                <w:b/>
                <w:bCs/>
                <w:sz w:val="20"/>
                <w:szCs w:val="20"/>
              </w:rPr>
            </w:pPr>
            <w:r w:rsidRPr="00AA4C1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414FAA4B" w14:textId="77777777" w:rsidR="0076357A" w:rsidRPr="00AA4C18" w:rsidRDefault="0076357A" w:rsidP="0076357A">
            <w:pPr>
              <w:jc w:val="center"/>
              <w:rPr>
                <w:b/>
                <w:bCs/>
                <w:sz w:val="20"/>
                <w:szCs w:val="20"/>
              </w:rPr>
            </w:pPr>
            <w:r w:rsidRPr="00AA4C18">
              <w:rPr>
                <w:b/>
                <w:bCs/>
                <w:sz w:val="20"/>
                <w:szCs w:val="20"/>
              </w:rPr>
              <w:t> 0</w:t>
            </w:r>
          </w:p>
        </w:tc>
        <w:tc>
          <w:tcPr>
            <w:tcW w:w="1540" w:type="dxa"/>
            <w:tcBorders>
              <w:top w:val="nil"/>
              <w:left w:val="nil"/>
              <w:bottom w:val="single" w:sz="4" w:space="0" w:color="auto"/>
              <w:right w:val="single" w:sz="4" w:space="0" w:color="auto"/>
            </w:tcBorders>
            <w:shd w:val="clear" w:color="auto" w:fill="FFFF99"/>
          </w:tcPr>
          <w:p w14:paraId="2844C77B" w14:textId="77777777" w:rsidR="0076357A" w:rsidRPr="00AA4C18" w:rsidRDefault="0076357A" w:rsidP="0076357A">
            <w:pPr>
              <w:jc w:val="center"/>
              <w:rPr>
                <w:b/>
                <w:bCs/>
                <w:sz w:val="20"/>
                <w:szCs w:val="20"/>
              </w:rPr>
            </w:pPr>
            <w:r w:rsidRPr="00AA4C18">
              <w:rPr>
                <w:b/>
                <w:bCs/>
                <w:sz w:val="20"/>
                <w:szCs w:val="20"/>
              </w:rPr>
              <w:t> 0</w:t>
            </w:r>
          </w:p>
        </w:tc>
        <w:tc>
          <w:tcPr>
            <w:tcW w:w="1540" w:type="dxa"/>
            <w:tcBorders>
              <w:top w:val="nil"/>
              <w:left w:val="nil"/>
              <w:bottom w:val="single" w:sz="4" w:space="0" w:color="auto"/>
              <w:right w:val="single" w:sz="4" w:space="0" w:color="auto"/>
            </w:tcBorders>
            <w:shd w:val="clear" w:color="auto" w:fill="FFFF99"/>
          </w:tcPr>
          <w:p w14:paraId="71A5710E" w14:textId="77777777" w:rsidR="0076357A" w:rsidRPr="00AA4C18" w:rsidRDefault="0076357A" w:rsidP="0076357A">
            <w:pPr>
              <w:jc w:val="center"/>
              <w:rPr>
                <w:b/>
                <w:bCs/>
                <w:sz w:val="20"/>
                <w:szCs w:val="20"/>
              </w:rPr>
            </w:pPr>
            <w:r w:rsidRPr="00AA4C18">
              <w:rPr>
                <w:b/>
                <w:bCs/>
                <w:sz w:val="20"/>
                <w:szCs w:val="20"/>
              </w:rPr>
              <w:t>0 </w:t>
            </w:r>
          </w:p>
        </w:tc>
        <w:tc>
          <w:tcPr>
            <w:tcW w:w="1540" w:type="dxa"/>
            <w:tcBorders>
              <w:top w:val="nil"/>
              <w:left w:val="nil"/>
              <w:bottom w:val="single" w:sz="4" w:space="0" w:color="auto"/>
              <w:right w:val="single" w:sz="4" w:space="0" w:color="auto"/>
            </w:tcBorders>
            <w:shd w:val="clear" w:color="auto" w:fill="FFFF99"/>
          </w:tcPr>
          <w:p w14:paraId="72EF08D7" w14:textId="77777777" w:rsidR="0076357A" w:rsidRPr="00AA4C18" w:rsidRDefault="0076357A" w:rsidP="0076357A">
            <w:pPr>
              <w:jc w:val="center"/>
              <w:rPr>
                <w:b/>
                <w:bCs/>
                <w:sz w:val="20"/>
                <w:szCs w:val="20"/>
              </w:rPr>
            </w:pPr>
            <w:r w:rsidRPr="00AA4C18">
              <w:rPr>
                <w:b/>
                <w:bCs/>
                <w:sz w:val="20"/>
                <w:szCs w:val="20"/>
              </w:rPr>
              <w:t>0 </w:t>
            </w:r>
          </w:p>
        </w:tc>
        <w:tc>
          <w:tcPr>
            <w:tcW w:w="2220" w:type="dxa"/>
            <w:tcBorders>
              <w:top w:val="nil"/>
              <w:left w:val="nil"/>
              <w:bottom w:val="single" w:sz="4" w:space="0" w:color="auto"/>
              <w:right w:val="single" w:sz="4" w:space="0" w:color="auto"/>
            </w:tcBorders>
            <w:noWrap/>
            <w:vAlign w:val="bottom"/>
          </w:tcPr>
          <w:p w14:paraId="57330987" w14:textId="77777777" w:rsidR="0076357A" w:rsidRPr="00AA4C18" w:rsidRDefault="0076357A" w:rsidP="0076357A">
            <w:r w:rsidRPr="00AA4C18">
              <w:t> </w:t>
            </w:r>
          </w:p>
        </w:tc>
      </w:tr>
      <w:tr w:rsidR="0076357A" w:rsidRPr="00AA4C18" w14:paraId="11AA887F" w14:textId="77777777" w:rsidTr="0076357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95F03" w14:textId="77777777" w:rsidR="0076357A" w:rsidRPr="00AA4C18" w:rsidRDefault="0076357A" w:rsidP="0076357A">
            <w:pPr>
              <w:rPr>
                <w:b/>
                <w:bCs/>
                <w:sz w:val="20"/>
                <w:szCs w:val="20"/>
              </w:rPr>
            </w:pPr>
            <w:r w:rsidRPr="00AA4C1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42EC164" w14:textId="77777777" w:rsidR="0076357A" w:rsidRPr="00AA4C18" w:rsidRDefault="0076357A" w:rsidP="0076357A">
            <w:pPr>
              <w:jc w:val="center"/>
              <w:rPr>
                <w:b/>
                <w:bCs/>
                <w:sz w:val="20"/>
                <w:szCs w:val="20"/>
              </w:rPr>
            </w:pPr>
            <w:r w:rsidRPr="00AA4C18">
              <w:rPr>
                <w:b/>
                <w:bCs/>
                <w:sz w:val="20"/>
                <w:szCs w:val="20"/>
              </w:rPr>
              <w:t xml:space="preserve">6 556 000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0BE0839" w14:textId="77777777" w:rsidR="0076357A" w:rsidRPr="00AA4C18" w:rsidRDefault="0076357A" w:rsidP="0076357A">
            <w:pPr>
              <w:jc w:val="center"/>
              <w:rPr>
                <w:b/>
                <w:bCs/>
                <w:sz w:val="20"/>
                <w:szCs w:val="20"/>
              </w:rPr>
            </w:pPr>
            <w:r w:rsidRPr="00AA4C18">
              <w:rPr>
                <w:b/>
                <w:bCs/>
                <w:sz w:val="20"/>
                <w:szCs w:val="20"/>
              </w:rPr>
              <w:t>24 458 290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54E45F4" w14:textId="77777777" w:rsidR="0076357A" w:rsidRPr="00AA4C18" w:rsidRDefault="0076357A" w:rsidP="0076357A">
            <w:pPr>
              <w:jc w:val="center"/>
              <w:rPr>
                <w:b/>
                <w:bCs/>
                <w:sz w:val="20"/>
                <w:szCs w:val="20"/>
              </w:rPr>
            </w:pPr>
            <w:r w:rsidRPr="00AA4C18">
              <w:rPr>
                <w:b/>
                <w:bCs/>
                <w:sz w:val="20"/>
                <w:szCs w:val="20"/>
              </w:rPr>
              <w:t>20 916 989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6DE73EA" w14:textId="77777777" w:rsidR="0076357A" w:rsidRPr="00AA4C18" w:rsidRDefault="0076357A" w:rsidP="0076357A">
            <w:pPr>
              <w:jc w:val="center"/>
              <w:rPr>
                <w:b/>
                <w:bCs/>
              </w:rPr>
            </w:pPr>
            <w:r w:rsidRPr="00AA4C18">
              <w:rPr>
                <w:b/>
                <w:bCs/>
                <w:sz w:val="20"/>
              </w:rPr>
              <w:t>2 966 372</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F119C6A" w14:textId="77777777" w:rsidR="0076357A" w:rsidRPr="00AA4C18" w:rsidRDefault="0076357A" w:rsidP="0076357A">
            <w:r w:rsidRPr="00AA4C18">
              <w:t> </w:t>
            </w:r>
          </w:p>
        </w:tc>
      </w:tr>
    </w:tbl>
    <w:p w14:paraId="56431886" w14:textId="77777777" w:rsidR="0076357A" w:rsidRPr="00AA4C18" w:rsidRDefault="0076357A" w:rsidP="0076357A">
      <w:pPr>
        <w:tabs>
          <w:tab w:val="num" w:pos="1080"/>
        </w:tabs>
        <w:jc w:val="both"/>
        <w:rPr>
          <w:bCs/>
          <w:sz w:val="20"/>
          <w:szCs w:val="20"/>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6357A" w:rsidRPr="00AA4C18" w14:paraId="359C0A43" w14:textId="77777777" w:rsidTr="0076357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710A2D8" w14:textId="77777777" w:rsidR="0076357A" w:rsidRPr="00AA4C18" w:rsidRDefault="0076357A" w:rsidP="0076357A">
            <w:pPr>
              <w:jc w:val="center"/>
              <w:rPr>
                <w:b/>
                <w:bCs/>
                <w:sz w:val="20"/>
                <w:szCs w:val="20"/>
              </w:rPr>
            </w:pPr>
            <w:r w:rsidRPr="00AA4C1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4443454" w14:textId="77777777" w:rsidR="0076357A" w:rsidRPr="00AA4C18" w:rsidRDefault="0076357A" w:rsidP="0076357A">
            <w:pPr>
              <w:jc w:val="center"/>
              <w:rPr>
                <w:b/>
                <w:bCs/>
                <w:sz w:val="20"/>
                <w:szCs w:val="20"/>
              </w:rPr>
            </w:pPr>
            <w:r w:rsidRPr="00AA4C1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79837A8" w14:textId="77777777" w:rsidR="0076357A" w:rsidRPr="00AA4C18" w:rsidRDefault="0076357A" w:rsidP="0076357A">
            <w:pPr>
              <w:jc w:val="center"/>
              <w:rPr>
                <w:b/>
                <w:bCs/>
              </w:rPr>
            </w:pPr>
            <w:r w:rsidRPr="00AA4C18">
              <w:rPr>
                <w:b/>
                <w:bCs/>
              </w:rPr>
              <w:t>poznámka</w:t>
            </w:r>
          </w:p>
        </w:tc>
      </w:tr>
      <w:tr w:rsidR="0076357A" w:rsidRPr="00AA4C18" w14:paraId="61ABCD16" w14:textId="77777777" w:rsidTr="0076357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E428B33" w14:textId="77777777" w:rsidR="0076357A" w:rsidRPr="00AA4C18" w:rsidRDefault="0076357A" w:rsidP="0076357A">
            <w:pPr>
              <w:rPr>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14:paraId="19E2FBB8" w14:textId="77777777" w:rsidR="0076357A" w:rsidRPr="00AA4C18" w:rsidRDefault="0076357A" w:rsidP="0076357A">
            <w:pPr>
              <w:jc w:val="center"/>
              <w:rPr>
                <w:b/>
                <w:bCs/>
                <w:sz w:val="20"/>
                <w:szCs w:val="20"/>
              </w:rPr>
            </w:pPr>
            <w:r w:rsidRPr="00AA4C18">
              <w:rPr>
                <w:b/>
                <w:bCs/>
                <w:sz w:val="20"/>
                <w:szCs w:val="20"/>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33DF93AB" w14:textId="77777777" w:rsidR="0076357A" w:rsidRPr="00AA4C18" w:rsidRDefault="0076357A" w:rsidP="0076357A">
            <w:pPr>
              <w:jc w:val="center"/>
              <w:rPr>
                <w:b/>
                <w:bCs/>
                <w:sz w:val="20"/>
                <w:szCs w:val="20"/>
              </w:rPr>
            </w:pPr>
            <w:r w:rsidRPr="00AA4C18">
              <w:rPr>
                <w:b/>
                <w:bCs/>
                <w:sz w:val="20"/>
                <w:szCs w:val="20"/>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2330C816" w14:textId="77777777" w:rsidR="0076357A" w:rsidRPr="00AA4C18" w:rsidRDefault="0076357A" w:rsidP="0076357A">
            <w:pPr>
              <w:jc w:val="center"/>
              <w:rPr>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14:paraId="2178B9FA" w14:textId="77777777" w:rsidR="0076357A" w:rsidRPr="00AA4C18" w:rsidRDefault="0076357A" w:rsidP="0076357A">
            <w:pPr>
              <w:jc w:val="center"/>
              <w:rPr>
                <w:b/>
                <w:bCs/>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2F837853" w14:textId="77777777" w:rsidR="0076357A" w:rsidRPr="00AA4C18" w:rsidRDefault="0076357A" w:rsidP="0076357A">
            <w:pPr>
              <w:rPr>
                <w:b/>
                <w:bCs/>
              </w:rPr>
            </w:pPr>
          </w:p>
        </w:tc>
      </w:tr>
      <w:tr w:rsidR="0076357A" w:rsidRPr="00AA4C18" w14:paraId="46B1A3B2" w14:textId="77777777" w:rsidTr="0076357A">
        <w:trPr>
          <w:trHeight w:val="255"/>
        </w:trPr>
        <w:tc>
          <w:tcPr>
            <w:tcW w:w="7070" w:type="dxa"/>
            <w:tcBorders>
              <w:top w:val="nil"/>
              <w:left w:val="single" w:sz="4" w:space="0" w:color="auto"/>
              <w:bottom w:val="single" w:sz="4" w:space="0" w:color="auto"/>
              <w:right w:val="single" w:sz="4" w:space="0" w:color="auto"/>
            </w:tcBorders>
          </w:tcPr>
          <w:p w14:paraId="16E7A308" w14:textId="77777777" w:rsidR="0076357A" w:rsidRPr="00AA4C18" w:rsidRDefault="0076357A" w:rsidP="0076357A">
            <w:pPr>
              <w:rPr>
                <w:b/>
                <w:bCs/>
                <w:sz w:val="20"/>
                <w:szCs w:val="20"/>
              </w:rPr>
            </w:pPr>
            <w:r w:rsidRPr="00AA4C18">
              <w:rPr>
                <w:b/>
                <w:bCs/>
                <w:sz w:val="20"/>
                <w:szCs w:val="20"/>
              </w:rPr>
              <w:t>Bežné výdavky (600)</w:t>
            </w:r>
          </w:p>
        </w:tc>
        <w:tc>
          <w:tcPr>
            <w:tcW w:w="1540" w:type="dxa"/>
            <w:tcBorders>
              <w:top w:val="nil"/>
              <w:left w:val="nil"/>
              <w:bottom w:val="single" w:sz="4" w:space="0" w:color="auto"/>
              <w:right w:val="single" w:sz="4" w:space="0" w:color="auto"/>
            </w:tcBorders>
          </w:tcPr>
          <w:p w14:paraId="4F661BCF" w14:textId="77777777" w:rsidR="0076357A" w:rsidRPr="00AA4C18" w:rsidRDefault="0076357A" w:rsidP="0076357A">
            <w:pPr>
              <w:jc w:val="center"/>
              <w:rPr>
                <w:b/>
                <w:bCs/>
                <w:sz w:val="20"/>
                <w:szCs w:val="20"/>
                <w:highlight w:val="yellow"/>
              </w:rPr>
            </w:pPr>
            <w:r w:rsidRPr="00AA4C18">
              <w:rPr>
                <w:b/>
                <w:bCs/>
                <w:sz w:val="20"/>
                <w:szCs w:val="20"/>
              </w:rPr>
              <w:t>972 578</w:t>
            </w:r>
          </w:p>
        </w:tc>
        <w:tc>
          <w:tcPr>
            <w:tcW w:w="1540" w:type="dxa"/>
            <w:tcBorders>
              <w:top w:val="nil"/>
              <w:left w:val="nil"/>
              <w:bottom w:val="single" w:sz="4" w:space="0" w:color="auto"/>
              <w:right w:val="single" w:sz="4" w:space="0" w:color="auto"/>
            </w:tcBorders>
          </w:tcPr>
          <w:p w14:paraId="1B45ACFE" w14:textId="77777777" w:rsidR="0076357A" w:rsidRPr="00AA4C18" w:rsidRDefault="0076357A" w:rsidP="0076357A">
            <w:pPr>
              <w:jc w:val="center"/>
              <w:rPr>
                <w:b/>
                <w:bCs/>
                <w:sz w:val="20"/>
                <w:szCs w:val="20"/>
                <w:highlight w:val="yellow"/>
              </w:rPr>
            </w:pPr>
            <w:r w:rsidRPr="00AA4C18">
              <w:rPr>
                <w:b/>
                <w:bCs/>
                <w:sz w:val="20"/>
                <w:szCs w:val="20"/>
              </w:rPr>
              <w:t>870 558</w:t>
            </w:r>
          </w:p>
        </w:tc>
        <w:tc>
          <w:tcPr>
            <w:tcW w:w="1540" w:type="dxa"/>
            <w:tcBorders>
              <w:top w:val="nil"/>
              <w:left w:val="nil"/>
              <w:bottom w:val="single" w:sz="4" w:space="0" w:color="auto"/>
              <w:right w:val="single" w:sz="4" w:space="0" w:color="auto"/>
            </w:tcBorders>
          </w:tcPr>
          <w:p w14:paraId="5B0A491D" w14:textId="77777777" w:rsidR="0076357A" w:rsidRPr="00AA4C18" w:rsidRDefault="0076357A" w:rsidP="0076357A">
            <w:pPr>
              <w:jc w:val="center"/>
              <w:rPr>
                <w:b/>
                <w:bCs/>
                <w:sz w:val="20"/>
                <w:szCs w:val="20"/>
                <w:highlight w:val="yellow"/>
              </w:rPr>
            </w:pPr>
          </w:p>
        </w:tc>
        <w:tc>
          <w:tcPr>
            <w:tcW w:w="1540" w:type="dxa"/>
            <w:tcBorders>
              <w:top w:val="nil"/>
              <w:left w:val="nil"/>
              <w:bottom w:val="single" w:sz="4" w:space="0" w:color="auto"/>
              <w:right w:val="single" w:sz="4" w:space="0" w:color="auto"/>
            </w:tcBorders>
          </w:tcPr>
          <w:p w14:paraId="34A3CA42" w14:textId="77777777" w:rsidR="0076357A" w:rsidRPr="00AA4C18" w:rsidRDefault="0076357A" w:rsidP="0076357A">
            <w:pPr>
              <w:jc w:val="center"/>
              <w:rPr>
                <w:b/>
                <w:bCs/>
                <w:highlight w:val="yellow"/>
              </w:rPr>
            </w:pPr>
          </w:p>
        </w:tc>
        <w:tc>
          <w:tcPr>
            <w:tcW w:w="2220" w:type="dxa"/>
            <w:tcBorders>
              <w:top w:val="nil"/>
              <w:left w:val="nil"/>
              <w:bottom w:val="single" w:sz="4" w:space="0" w:color="auto"/>
              <w:right w:val="single" w:sz="4" w:space="0" w:color="auto"/>
            </w:tcBorders>
            <w:noWrap/>
            <w:vAlign w:val="bottom"/>
          </w:tcPr>
          <w:p w14:paraId="0A930EF6" w14:textId="77777777" w:rsidR="0076357A" w:rsidRPr="00AA4C18" w:rsidRDefault="0076357A" w:rsidP="0076357A">
            <w:r w:rsidRPr="00AA4C18">
              <w:t> </w:t>
            </w:r>
          </w:p>
        </w:tc>
      </w:tr>
      <w:tr w:rsidR="0076357A" w:rsidRPr="00AA4C18" w14:paraId="2C6D265B" w14:textId="77777777" w:rsidTr="0076357A">
        <w:trPr>
          <w:trHeight w:val="255"/>
        </w:trPr>
        <w:tc>
          <w:tcPr>
            <w:tcW w:w="7070" w:type="dxa"/>
            <w:tcBorders>
              <w:top w:val="nil"/>
              <w:left w:val="single" w:sz="4" w:space="0" w:color="auto"/>
              <w:bottom w:val="single" w:sz="4" w:space="0" w:color="auto"/>
              <w:right w:val="single" w:sz="4" w:space="0" w:color="auto"/>
            </w:tcBorders>
          </w:tcPr>
          <w:p w14:paraId="27E1C393" w14:textId="77777777" w:rsidR="0076357A" w:rsidRPr="00AA4C18" w:rsidRDefault="0076357A" w:rsidP="0076357A">
            <w:pPr>
              <w:rPr>
                <w:sz w:val="20"/>
                <w:szCs w:val="20"/>
              </w:rPr>
            </w:pPr>
            <w:r w:rsidRPr="00AA4C1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1B18A510" w14:textId="77777777" w:rsidR="0076357A" w:rsidRPr="00AA4C18" w:rsidRDefault="0076357A" w:rsidP="0076357A">
            <w:pPr>
              <w:jc w:val="center"/>
              <w:rPr>
                <w:sz w:val="20"/>
                <w:szCs w:val="20"/>
              </w:rPr>
            </w:pPr>
            <w:r w:rsidRPr="00AA4C18">
              <w:rPr>
                <w:sz w:val="20"/>
                <w:szCs w:val="20"/>
              </w:rPr>
              <w:t>456 541</w:t>
            </w:r>
          </w:p>
        </w:tc>
        <w:tc>
          <w:tcPr>
            <w:tcW w:w="1540" w:type="dxa"/>
            <w:tcBorders>
              <w:top w:val="nil"/>
              <w:left w:val="nil"/>
              <w:bottom w:val="single" w:sz="4" w:space="0" w:color="auto"/>
              <w:right w:val="single" w:sz="4" w:space="0" w:color="auto"/>
            </w:tcBorders>
          </w:tcPr>
          <w:p w14:paraId="1B81154E" w14:textId="77777777" w:rsidR="0076357A" w:rsidRPr="00AA4C18" w:rsidRDefault="0076357A" w:rsidP="0076357A">
            <w:pPr>
              <w:jc w:val="center"/>
              <w:rPr>
                <w:sz w:val="20"/>
                <w:szCs w:val="20"/>
              </w:rPr>
            </w:pPr>
            <w:r w:rsidRPr="00AA4C18">
              <w:rPr>
                <w:sz w:val="20"/>
                <w:szCs w:val="20"/>
              </w:rPr>
              <w:t>417 994</w:t>
            </w:r>
          </w:p>
        </w:tc>
        <w:tc>
          <w:tcPr>
            <w:tcW w:w="1540" w:type="dxa"/>
            <w:tcBorders>
              <w:top w:val="nil"/>
              <w:left w:val="nil"/>
              <w:bottom w:val="single" w:sz="4" w:space="0" w:color="auto"/>
              <w:right w:val="single" w:sz="4" w:space="0" w:color="auto"/>
            </w:tcBorders>
          </w:tcPr>
          <w:p w14:paraId="421B178B"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246310E8" w14:textId="77777777" w:rsidR="0076357A" w:rsidRPr="00AA4C18" w:rsidRDefault="0076357A" w:rsidP="0076357A">
            <w:pPr>
              <w:jc w:val="center"/>
            </w:pPr>
          </w:p>
        </w:tc>
        <w:tc>
          <w:tcPr>
            <w:tcW w:w="2220" w:type="dxa"/>
            <w:tcBorders>
              <w:top w:val="nil"/>
              <w:left w:val="nil"/>
              <w:bottom w:val="single" w:sz="4" w:space="0" w:color="auto"/>
              <w:right w:val="single" w:sz="4" w:space="0" w:color="auto"/>
            </w:tcBorders>
            <w:noWrap/>
            <w:vAlign w:val="bottom"/>
          </w:tcPr>
          <w:p w14:paraId="078C4CDB" w14:textId="77777777" w:rsidR="0076357A" w:rsidRPr="00AA4C18" w:rsidRDefault="0076357A" w:rsidP="0076357A">
            <w:r w:rsidRPr="00AA4C18">
              <w:t> </w:t>
            </w:r>
          </w:p>
        </w:tc>
      </w:tr>
      <w:tr w:rsidR="0076357A" w:rsidRPr="00AA4C18" w14:paraId="72EE9FAF" w14:textId="77777777" w:rsidTr="0076357A">
        <w:trPr>
          <w:trHeight w:val="255"/>
        </w:trPr>
        <w:tc>
          <w:tcPr>
            <w:tcW w:w="7070" w:type="dxa"/>
            <w:tcBorders>
              <w:top w:val="nil"/>
              <w:left w:val="single" w:sz="4" w:space="0" w:color="auto"/>
              <w:bottom w:val="single" w:sz="4" w:space="0" w:color="auto"/>
              <w:right w:val="single" w:sz="4" w:space="0" w:color="auto"/>
            </w:tcBorders>
          </w:tcPr>
          <w:p w14:paraId="72653EC2" w14:textId="77777777" w:rsidR="0076357A" w:rsidRPr="00AA4C18" w:rsidRDefault="0076357A" w:rsidP="0076357A">
            <w:pPr>
              <w:rPr>
                <w:sz w:val="20"/>
                <w:szCs w:val="20"/>
                <w:vertAlign w:val="superscript"/>
              </w:rPr>
            </w:pPr>
            <w:r w:rsidRPr="00AA4C18">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14:paraId="3125802E" w14:textId="77777777" w:rsidR="0076357A" w:rsidRPr="00AA4C18" w:rsidRDefault="0076357A" w:rsidP="0076357A">
            <w:pPr>
              <w:jc w:val="center"/>
              <w:rPr>
                <w:sz w:val="20"/>
                <w:szCs w:val="20"/>
              </w:rPr>
            </w:pPr>
            <w:r w:rsidRPr="00AA4C18">
              <w:rPr>
                <w:sz w:val="20"/>
                <w:szCs w:val="20"/>
              </w:rPr>
              <w:t>159 561</w:t>
            </w:r>
          </w:p>
        </w:tc>
        <w:tc>
          <w:tcPr>
            <w:tcW w:w="1540" w:type="dxa"/>
            <w:tcBorders>
              <w:top w:val="nil"/>
              <w:left w:val="nil"/>
              <w:bottom w:val="single" w:sz="4" w:space="0" w:color="auto"/>
              <w:right w:val="single" w:sz="4" w:space="0" w:color="auto"/>
            </w:tcBorders>
          </w:tcPr>
          <w:p w14:paraId="06B3272D" w14:textId="77777777" w:rsidR="0076357A" w:rsidRPr="00AA4C18" w:rsidRDefault="0076357A" w:rsidP="0076357A">
            <w:pPr>
              <w:jc w:val="center"/>
              <w:rPr>
                <w:sz w:val="20"/>
                <w:szCs w:val="20"/>
              </w:rPr>
            </w:pPr>
            <w:r w:rsidRPr="00AA4C18">
              <w:rPr>
                <w:sz w:val="20"/>
                <w:szCs w:val="20"/>
              </w:rPr>
              <w:t>146 089</w:t>
            </w:r>
          </w:p>
        </w:tc>
        <w:tc>
          <w:tcPr>
            <w:tcW w:w="1540" w:type="dxa"/>
            <w:tcBorders>
              <w:top w:val="nil"/>
              <w:left w:val="nil"/>
              <w:bottom w:val="single" w:sz="4" w:space="0" w:color="auto"/>
              <w:right w:val="single" w:sz="4" w:space="0" w:color="auto"/>
            </w:tcBorders>
          </w:tcPr>
          <w:p w14:paraId="21F2A13F"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7420B4B1" w14:textId="77777777" w:rsidR="0076357A" w:rsidRPr="00AA4C18" w:rsidRDefault="0076357A" w:rsidP="0076357A">
            <w:pPr>
              <w:jc w:val="center"/>
            </w:pPr>
          </w:p>
        </w:tc>
        <w:tc>
          <w:tcPr>
            <w:tcW w:w="2220" w:type="dxa"/>
            <w:tcBorders>
              <w:top w:val="nil"/>
              <w:left w:val="nil"/>
              <w:bottom w:val="single" w:sz="4" w:space="0" w:color="auto"/>
              <w:right w:val="single" w:sz="4" w:space="0" w:color="auto"/>
            </w:tcBorders>
            <w:noWrap/>
            <w:vAlign w:val="bottom"/>
          </w:tcPr>
          <w:p w14:paraId="25C0DD18" w14:textId="77777777" w:rsidR="0076357A" w:rsidRPr="00AA4C18" w:rsidRDefault="0076357A" w:rsidP="0076357A">
            <w:r w:rsidRPr="00AA4C18">
              <w:t> </w:t>
            </w:r>
          </w:p>
        </w:tc>
      </w:tr>
      <w:tr w:rsidR="0076357A" w:rsidRPr="00AA4C18" w14:paraId="1FEBEF8F" w14:textId="77777777" w:rsidTr="0076357A">
        <w:trPr>
          <w:trHeight w:val="255"/>
        </w:trPr>
        <w:tc>
          <w:tcPr>
            <w:tcW w:w="7070" w:type="dxa"/>
            <w:tcBorders>
              <w:top w:val="nil"/>
              <w:left w:val="single" w:sz="4" w:space="0" w:color="auto"/>
              <w:bottom w:val="single" w:sz="4" w:space="0" w:color="auto"/>
              <w:right w:val="single" w:sz="4" w:space="0" w:color="auto"/>
            </w:tcBorders>
          </w:tcPr>
          <w:p w14:paraId="4770DEBB" w14:textId="77777777" w:rsidR="0076357A" w:rsidRPr="00AA4C18" w:rsidRDefault="0076357A" w:rsidP="0076357A">
            <w:pPr>
              <w:rPr>
                <w:sz w:val="20"/>
                <w:szCs w:val="20"/>
                <w:vertAlign w:val="superscript"/>
              </w:rPr>
            </w:pPr>
            <w:r w:rsidRPr="00AA4C18">
              <w:rPr>
                <w:sz w:val="20"/>
                <w:szCs w:val="20"/>
              </w:rPr>
              <w:t xml:space="preserve">  Tovary a služby (630)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501D83F9" w14:textId="77777777" w:rsidR="0076357A" w:rsidRPr="00AA4C18" w:rsidRDefault="0076357A" w:rsidP="0076357A">
            <w:pPr>
              <w:jc w:val="center"/>
              <w:rPr>
                <w:sz w:val="20"/>
                <w:szCs w:val="20"/>
              </w:rPr>
            </w:pPr>
            <w:r w:rsidRPr="00AA4C18">
              <w:rPr>
                <w:sz w:val="20"/>
                <w:szCs w:val="20"/>
              </w:rPr>
              <w:t>356 476</w:t>
            </w:r>
          </w:p>
        </w:tc>
        <w:tc>
          <w:tcPr>
            <w:tcW w:w="1540" w:type="dxa"/>
            <w:tcBorders>
              <w:top w:val="nil"/>
              <w:left w:val="nil"/>
              <w:bottom w:val="single" w:sz="4" w:space="0" w:color="auto"/>
              <w:right w:val="single" w:sz="4" w:space="0" w:color="auto"/>
            </w:tcBorders>
          </w:tcPr>
          <w:p w14:paraId="175CD1B5" w14:textId="77777777" w:rsidR="0076357A" w:rsidRPr="00AA4C18" w:rsidRDefault="0076357A" w:rsidP="0076357A">
            <w:pPr>
              <w:jc w:val="center"/>
              <w:rPr>
                <w:sz w:val="20"/>
                <w:szCs w:val="20"/>
              </w:rPr>
            </w:pPr>
            <w:r w:rsidRPr="00AA4C18">
              <w:rPr>
                <w:sz w:val="20"/>
                <w:szCs w:val="20"/>
              </w:rPr>
              <w:t>306 475</w:t>
            </w:r>
          </w:p>
        </w:tc>
        <w:tc>
          <w:tcPr>
            <w:tcW w:w="1540" w:type="dxa"/>
            <w:tcBorders>
              <w:top w:val="nil"/>
              <w:left w:val="nil"/>
              <w:bottom w:val="single" w:sz="4" w:space="0" w:color="auto"/>
              <w:right w:val="single" w:sz="4" w:space="0" w:color="auto"/>
            </w:tcBorders>
          </w:tcPr>
          <w:p w14:paraId="5EE5D5F5"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324E039A" w14:textId="77777777" w:rsidR="0076357A" w:rsidRPr="00AA4C18" w:rsidRDefault="0076357A" w:rsidP="0076357A">
            <w:pPr>
              <w:jc w:val="center"/>
            </w:pPr>
          </w:p>
        </w:tc>
        <w:tc>
          <w:tcPr>
            <w:tcW w:w="2220" w:type="dxa"/>
            <w:tcBorders>
              <w:top w:val="nil"/>
              <w:left w:val="nil"/>
              <w:bottom w:val="single" w:sz="4" w:space="0" w:color="auto"/>
              <w:right w:val="single" w:sz="4" w:space="0" w:color="auto"/>
            </w:tcBorders>
            <w:noWrap/>
            <w:vAlign w:val="bottom"/>
          </w:tcPr>
          <w:p w14:paraId="75ECFE7D" w14:textId="77777777" w:rsidR="0076357A" w:rsidRPr="00AA4C18" w:rsidRDefault="0076357A" w:rsidP="0076357A">
            <w:r w:rsidRPr="00AA4C18">
              <w:t> </w:t>
            </w:r>
          </w:p>
        </w:tc>
      </w:tr>
      <w:tr w:rsidR="0076357A" w:rsidRPr="00AA4C18" w14:paraId="0CB37821" w14:textId="77777777" w:rsidTr="0076357A">
        <w:trPr>
          <w:trHeight w:val="255"/>
        </w:trPr>
        <w:tc>
          <w:tcPr>
            <w:tcW w:w="7070" w:type="dxa"/>
            <w:tcBorders>
              <w:top w:val="nil"/>
              <w:left w:val="single" w:sz="4" w:space="0" w:color="auto"/>
              <w:bottom w:val="single" w:sz="4" w:space="0" w:color="auto"/>
              <w:right w:val="single" w:sz="4" w:space="0" w:color="auto"/>
            </w:tcBorders>
          </w:tcPr>
          <w:p w14:paraId="3951F506" w14:textId="77777777" w:rsidR="0076357A" w:rsidRPr="00AA4C18" w:rsidRDefault="0076357A" w:rsidP="0076357A">
            <w:pPr>
              <w:rPr>
                <w:sz w:val="20"/>
                <w:szCs w:val="20"/>
              </w:rPr>
            </w:pPr>
            <w:r w:rsidRPr="00AA4C18">
              <w:rPr>
                <w:sz w:val="20"/>
                <w:szCs w:val="20"/>
              </w:rPr>
              <w:t xml:space="preserve">  Bežné transfery (640)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1831CA3D"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49283E95"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27F5AB5A"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16BB71A4" w14:textId="77777777" w:rsidR="0076357A" w:rsidRPr="00AA4C18" w:rsidRDefault="0076357A" w:rsidP="0076357A">
            <w:pPr>
              <w:jc w:val="center"/>
              <w:rPr>
                <w:sz w:val="20"/>
                <w:szCs w:val="20"/>
              </w:rPr>
            </w:pPr>
          </w:p>
        </w:tc>
        <w:tc>
          <w:tcPr>
            <w:tcW w:w="2220" w:type="dxa"/>
            <w:tcBorders>
              <w:top w:val="nil"/>
              <w:left w:val="nil"/>
              <w:bottom w:val="single" w:sz="4" w:space="0" w:color="auto"/>
              <w:right w:val="single" w:sz="4" w:space="0" w:color="auto"/>
            </w:tcBorders>
            <w:noWrap/>
            <w:vAlign w:val="bottom"/>
          </w:tcPr>
          <w:p w14:paraId="3003612B" w14:textId="77777777" w:rsidR="0076357A" w:rsidRPr="00AA4C18" w:rsidRDefault="0076357A" w:rsidP="0076357A">
            <w:r w:rsidRPr="00AA4C18">
              <w:t> </w:t>
            </w:r>
          </w:p>
        </w:tc>
      </w:tr>
      <w:tr w:rsidR="0076357A" w:rsidRPr="00AA4C18" w14:paraId="016D87DA" w14:textId="77777777" w:rsidTr="0076357A">
        <w:trPr>
          <w:trHeight w:val="255"/>
        </w:trPr>
        <w:tc>
          <w:tcPr>
            <w:tcW w:w="7070" w:type="dxa"/>
            <w:tcBorders>
              <w:top w:val="nil"/>
              <w:left w:val="single" w:sz="4" w:space="0" w:color="auto"/>
              <w:bottom w:val="single" w:sz="4" w:space="0" w:color="auto"/>
              <w:right w:val="single" w:sz="4" w:space="0" w:color="auto"/>
            </w:tcBorders>
            <w:vAlign w:val="center"/>
          </w:tcPr>
          <w:p w14:paraId="5C1444BB" w14:textId="77777777" w:rsidR="0076357A" w:rsidRPr="00AA4C18" w:rsidRDefault="0076357A" w:rsidP="0076357A">
            <w:pPr>
              <w:rPr>
                <w:sz w:val="20"/>
                <w:szCs w:val="20"/>
              </w:rPr>
            </w:pPr>
            <w:r w:rsidRPr="00AA4C18">
              <w:rPr>
                <w:sz w:val="20"/>
                <w:szCs w:val="20"/>
              </w:rPr>
              <w:t xml:space="preserve">  Splácanie úrokov a ostatné platby súvisiace s </w:t>
            </w:r>
            <w:r w:rsidRPr="00AA4C18">
              <w:t xml:space="preserve"> </w:t>
            </w:r>
            <w:r w:rsidRPr="00AA4C18">
              <w:rPr>
                <w:sz w:val="20"/>
                <w:szCs w:val="20"/>
              </w:rPr>
              <w:t>úverom, pôžičkou, návratnou finančnou výpomocou a finančným prenájmom (650)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109DA35C"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0A90C9B5"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6F96CA97"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06E6F8A6" w14:textId="77777777" w:rsidR="0076357A" w:rsidRPr="00AA4C18" w:rsidRDefault="0076357A" w:rsidP="0076357A">
            <w:pPr>
              <w:jc w:val="center"/>
              <w:rPr>
                <w:sz w:val="20"/>
                <w:szCs w:val="20"/>
              </w:rPr>
            </w:pPr>
          </w:p>
        </w:tc>
        <w:tc>
          <w:tcPr>
            <w:tcW w:w="2220" w:type="dxa"/>
            <w:tcBorders>
              <w:top w:val="nil"/>
              <w:left w:val="nil"/>
              <w:bottom w:val="single" w:sz="4" w:space="0" w:color="auto"/>
              <w:right w:val="single" w:sz="4" w:space="0" w:color="auto"/>
            </w:tcBorders>
            <w:noWrap/>
            <w:vAlign w:val="bottom"/>
          </w:tcPr>
          <w:p w14:paraId="65DD9A18" w14:textId="77777777" w:rsidR="0076357A" w:rsidRPr="00AA4C18" w:rsidRDefault="0076357A" w:rsidP="0076357A"/>
        </w:tc>
      </w:tr>
      <w:tr w:rsidR="0076357A" w:rsidRPr="00AA4C18" w14:paraId="66AFD643" w14:textId="77777777" w:rsidTr="0076357A">
        <w:trPr>
          <w:trHeight w:val="255"/>
        </w:trPr>
        <w:tc>
          <w:tcPr>
            <w:tcW w:w="7070" w:type="dxa"/>
            <w:tcBorders>
              <w:top w:val="nil"/>
              <w:left w:val="single" w:sz="4" w:space="0" w:color="auto"/>
              <w:bottom w:val="single" w:sz="4" w:space="0" w:color="auto"/>
              <w:right w:val="single" w:sz="4" w:space="0" w:color="auto"/>
            </w:tcBorders>
          </w:tcPr>
          <w:p w14:paraId="620176B5" w14:textId="77777777" w:rsidR="0076357A" w:rsidRPr="00AA4C18" w:rsidRDefault="0076357A" w:rsidP="0076357A">
            <w:pPr>
              <w:rPr>
                <w:b/>
                <w:bCs/>
                <w:sz w:val="20"/>
                <w:szCs w:val="20"/>
              </w:rPr>
            </w:pPr>
            <w:r w:rsidRPr="00AA4C18">
              <w:rPr>
                <w:b/>
                <w:bCs/>
                <w:sz w:val="20"/>
                <w:szCs w:val="20"/>
              </w:rPr>
              <w:t>Kapitálové výdavky (700)</w:t>
            </w:r>
          </w:p>
        </w:tc>
        <w:tc>
          <w:tcPr>
            <w:tcW w:w="1540" w:type="dxa"/>
            <w:tcBorders>
              <w:top w:val="nil"/>
              <w:left w:val="nil"/>
              <w:bottom w:val="single" w:sz="4" w:space="0" w:color="auto"/>
              <w:right w:val="single" w:sz="4" w:space="0" w:color="auto"/>
            </w:tcBorders>
          </w:tcPr>
          <w:p w14:paraId="6D33E6A7" w14:textId="77777777" w:rsidR="0076357A" w:rsidRPr="00AA4C18" w:rsidRDefault="0076357A" w:rsidP="0076357A">
            <w:pPr>
              <w:jc w:val="center"/>
              <w:rPr>
                <w:b/>
                <w:bCs/>
                <w:sz w:val="20"/>
                <w:szCs w:val="20"/>
              </w:rPr>
            </w:pPr>
            <w:r w:rsidRPr="00AA4C18">
              <w:rPr>
                <w:b/>
                <w:bCs/>
                <w:sz w:val="20"/>
                <w:szCs w:val="20"/>
              </w:rPr>
              <w:t>1 410 000</w:t>
            </w:r>
          </w:p>
        </w:tc>
        <w:tc>
          <w:tcPr>
            <w:tcW w:w="1540" w:type="dxa"/>
            <w:tcBorders>
              <w:top w:val="nil"/>
              <w:left w:val="nil"/>
              <w:bottom w:val="single" w:sz="4" w:space="0" w:color="auto"/>
              <w:right w:val="single" w:sz="4" w:space="0" w:color="auto"/>
            </w:tcBorders>
          </w:tcPr>
          <w:p w14:paraId="7B24855B" w14:textId="77777777" w:rsidR="0076357A" w:rsidRPr="00AA4C18" w:rsidRDefault="0076357A" w:rsidP="0076357A">
            <w:pPr>
              <w:jc w:val="center"/>
              <w:rPr>
                <w:b/>
                <w:bCs/>
                <w:sz w:val="20"/>
                <w:szCs w:val="20"/>
              </w:rPr>
            </w:pPr>
            <w:r w:rsidRPr="00AA4C18">
              <w:rPr>
                <w:b/>
                <w:bCs/>
                <w:sz w:val="20"/>
                <w:szCs w:val="20"/>
              </w:rPr>
              <w:t>1 410 000</w:t>
            </w:r>
          </w:p>
        </w:tc>
        <w:tc>
          <w:tcPr>
            <w:tcW w:w="1540" w:type="dxa"/>
            <w:tcBorders>
              <w:top w:val="nil"/>
              <w:left w:val="nil"/>
              <w:bottom w:val="single" w:sz="4" w:space="0" w:color="auto"/>
              <w:right w:val="single" w:sz="4" w:space="0" w:color="auto"/>
            </w:tcBorders>
          </w:tcPr>
          <w:p w14:paraId="431CFB74" w14:textId="77777777" w:rsidR="0076357A" w:rsidRPr="00AA4C18" w:rsidRDefault="0076357A" w:rsidP="0076357A">
            <w:pPr>
              <w:jc w:val="center"/>
              <w:rPr>
                <w:b/>
                <w:bCs/>
                <w:sz w:val="20"/>
                <w:szCs w:val="20"/>
              </w:rPr>
            </w:pPr>
          </w:p>
        </w:tc>
        <w:tc>
          <w:tcPr>
            <w:tcW w:w="1540" w:type="dxa"/>
            <w:tcBorders>
              <w:top w:val="nil"/>
              <w:left w:val="nil"/>
              <w:bottom w:val="single" w:sz="4" w:space="0" w:color="auto"/>
              <w:right w:val="single" w:sz="4" w:space="0" w:color="auto"/>
            </w:tcBorders>
          </w:tcPr>
          <w:p w14:paraId="49E773AC" w14:textId="77777777" w:rsidR="0076357A" w:rsidRPr="00AA4C18" w:rsidRDefault="0076357A" w:rsidP="0076357A">
            <w:pPr>
              <w:jc w:val="center"/>
              <w:rPr>
                <w:b/>
                <w:bCs/>
              </w:rPr>
            </w:pPr>
          </w:p>
        </w:tc>
        <w:tc>
          <w:tcPr>
            <w:tcW w:w="2220" w:type="dxa"/>
            <w:tcBorders>
              <w:top w:val="nil"/>
              <w:left w:val="nil"/>
              <w:bottom w:val="single" w:sz="4" w:space="0" w:color="auto"/>
              <w:right w:val="single" w:sz="4" w:space="0" w:color="auto"/>
            </w:tcBorders>
            <w:noWrap/>
            <w:vAlign w:val="bottom"/>
          </w:tcPr>
          <w:p w14:paraId="4F4D61DA" w14:textId="77777777" w:rsidR="0076357A" w:rsidRPr="00AA4C18" w:rsidRDefault="0076357A" w:rsidP="0076357A">
            <w:r w:rsidRPr="00AA4C18">
              <w:t> </w:t>
            </w:r>
          </w:p>
        </w:tc>
      </w:tr>
      <w:tr w:rsidR="0076357A" w:rsidRPr="00AA4C18" w14:paraId="095B28BA" w14:textId="77777777" w:rsidTr="0076357A">
        <w:trPr>
          <w:trHeight w:val="255"/>
        </w:trPr>
        <w:tc>
          <w:tcPr>
            <w:tcW w:w="7070" w:type="dxa"/>
            <w:tcBorders>
              <w:top w:val="nil"/>
              <w:left w:val="single" w:sz="4" w:space="0" w:color="auto"/>
              <w:bottom w:val="single" w:sz="4" w:space="0" w:color="auto"/>
              <w:right w:val="single" w:sz="4" w:space="0" w:color="auto"/>
            </w:tcBorders>
          </w:tcPr>
          <w:p w14:paraId="02BBC207" w14:textId="77777777" w:rsidR="0076357A" w:rsidRPr="00AA4C18" w:rsidRDefault="0076357A" w:rsidP="0076357A">
            <w:pPr>
              <w:rPr>
                <w:sz w:val="20"/>
                <w:szCs w:val="20"/>
              </w:rPr>
            </w:pPr>
            <w:r w:rsidRPr="00AA4C18">
              <w:rPr>
                <w:sz w:val="20"/>
                <w:szCs w:val="20"/>
              </w:rPr>
              <w:t xml:space="preserve">  Obstarávanie kapitálových aktív (710)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780F396B" w14:textId="77777777" w:rsidR="0076357A" w:rsidRPr="00AA4C18" w:rsidRDefault="0076357A" w:rsidP="0076357A">
            <w:pPr>
              <w:jc w:val="center"/>
              <w:rPr>
                <w:sz w:val="20"/>
                <w:szCs w:val="20"/>
              </w:rPr>
            </w:pPr>
            <w:r w:rsidRPr="00AA4C18">
              <w:rPr>
                <w:sz w:val="20"/>
                <w:szCs w:val="20"/>
              </w:rPr>
              <w:t>1 410 000</w:t>
            </w:r>
          </w:p>
        </w:tc>
        <w:tc>
          <w:tcPr>
            <w:tcW w:w="1540" w:type="dxa"/>
            <w:tcBorders>
              <w:top w:val="nil"/>
              <w:left w:val="nil"/>
              <w:bottom w:val="single" w:sz="4" w:space="0" w:color="auto"/>
              <w:right w:val="single" w:sz="4" w:space="0" w:color="auto"/>
            </w:tcBorders>
          </w:tcPr>
          <w:p w14:paraId="7B1AA486" w14:textId="77777777" w:rsidR="0076357A" w:rsidRPr="00AA4C18" w:rsidRDefault="0076357A" w:rsidP="0076357A">
            <w:pPr>
              <w:jc w:val="center"/>
              <w:rPr>
                <w:sz w:val="20"/>
                <w:szCs w:val="20"/>
              </w:rPr>
            </w:pPr>
            <w:r w:rsidRPr="00AA4C18">
              <w:rPr>
                <w:sz w:val="20"/>
                <w:szCs w:val="20"/>
              </w:rPr>
              <w:t>1 410 000</w:t>
            </w:r>
          </w:p>
        </w:tc>
        <w:tc>
          <w:tcPr>
            <w:tcW w:w="1540" w:type="dxa"/>
            <w:tcBorders>
              <w:top w:val="nil"/>
              <w:left w:val="nil"/>
              <w:bottom w:val="single" w:sz="4" w:space="0" w:color="auto"/>
              <w:right w:val="single" w:sz="4" w:space="0" w:color="auto"/>
            </w:tcBorders>
          </w:tcPr>
          <w:p w14:paraId="482693C1"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0AFF1C52" w14:textId="77777777" w:rsidR="0076357A" w:rsidRPr="00AA4C18" w:rsidRDefault="0076357A" w:rsidP="0076357A">
            <w:pPr>
              <w:jc w:val="center"/>
            </w:pPr>
          </w:p>
        </w:tc>
        <w:tc>
          <w:tcPr>
            <w:tcW w:w="2220" w:type="dxa"/>
            <w:tcBorders>
              <w:top w:val="nil"/>
              <w:left w:val="nil"/>
              <w:bottom w:val="single" w:sz="4" w:space="0" w:color="auto"/>
              <w:right w:val="single" w:sz="4" w:space="0" w:color="auto"/>
            </w:tcBorders>
            <w:noWrap/>
            <w:vAlign w:val="bottom"/>
          </w:tcPr>
          <w:p w14:paraId="77EE3B05" w14:textId="77777777" w:rsidR="0076357A" w:rsidRPr="00AA4C18" w:rsidRDefault="0076357A" w:rsidP="0076357A">
            <w:r w:rsidRPr="00AA4C18">
              <w:t> </w:t>
            </w:r>
          </w:p>
        </w:tc>
      </w:tr>
      <w:tr w:rsidR="0076357A" w:rsidRPr="00AA4C18" w14:paraId="6EA9E6B4" w14:textId="77777777" w:rsidTr="0076357A">
        <w:trPr>
          <w:trHeight w:val="255"/>
        </w:trPr>
        <w:tc>
          <w:tcPr>
            <w:tcW w:w="7070" w:type="dxa"/>
            <w:tcBorders>
              <w:top w:val="nil"/>
              <w:left w:val="single" w:sz="4" w:space="0" w:color="auto"/>
              <w:bottom w:val="single" w:sz="4" w:space="0" w:color="auto"/>
              <w:right w:val="single" w:sz="4" w:space="0" w:color="auto"/>
            </w:tcBorders>
          </w:tcPr>
          <w:p w14:paraId="09362F6E" w14:textId="77777777" w:rsidR="0076357A" w:rsidRPr="00AA4C18" w:rsidRDefault="0076357A" w:rsidP="0076357A">
            <w:pPr>
              <w:rPr>
                <w:sz w:val="20"/>
                <w:szCs w:val="20"/>
              </w:rPr>
            </w:pPr>
            <w:r w:rsidRPr="00AA4C18">
              <w:rPr>
                <w:sz w:val="20"/>
                <w:szCs w:val="20"/>
              </w:rPr>
              <w:t xml:space="preserve">  Kapitálové transfery (720)</w:t>
            </w:r>
            <w:r w:rsidRPr="00AA4C18">
              <w:rPr>
                <w:sz w:val="20"/>
                <w:szCs w:val="20"/>
                <w:vertAlign w:val="superscript"/>
              </w:rPr>
              <w:t>2</w:t>
            </w:r>
          </w:p>
        </w:tc>
        <w:tc>
          <w:tcPr>
            <w:tcW w:w="1540" w:type="dxa"/>
            <w:tcBorders>
              <w:top w:val="nil"/>
              <w:left w:val="nil"/>
              <w:bottom w:val="single" w:sz="4" w:space="0" w:color="auto"/>
              <w:right w:val="single" w:sz="4" w:space="0" w:color="auto"/>
            </w:tcBorders>
          </w:tcPr>
          <w:p w14:paraId="7EC649DA"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180C278F" w14:textId="77777777" w:rsidR="0076357A" w:rsidRPr="00AA4C18" w:rsidRDefault="0076357A" w:rsidP="0076357A">
            <w:pPr>
              <w:jc w:val="center"/>
              <w:rPr>
                <w:sz w:val="20"/>
                <w:szCs w:val="20"/>
              </w:rPr>
            </w:pPr>
            <w:r w:rsidRPr="00AA4C18">
              <w:rPr>
                <w:sz w:val="20"/>
                <w:szCs w:val="20"/>
              </w:rPr>
              <w:t>0</w:t>
            </w:r>
          </w:p>
        </w:tc>
        <w:tc>
          <w:tcPr>
            <w:tcW w:w="1540" w:type="dxa"/>
            <w:tcBorders>
              <w:top w:val="nil"/>
              <w:left w:val="nil"/>
              <w:bottom w:val="single" w:sz="4" w:space="0" w:color="auto"/>
              <w:right w:val="single" w:sz="4" w:space="0" w:color="auto"/>
            </w:tcBorders>
          </w:tcPr>
          <w:p w14:paraId="25565A10" w14:textId="77777777" w:rsidR="0076357A" w:rsidRPr="00AA4C18" w:rsidRDefault="0076357A" w:rsidP="0076357A">
            <w:pPr>
              <w:jc w:val="center"/>
              <w:rPr>
                <w:sz w:val="20"/>
                <w:szCs w:val="20"/>
              </w:rPr>
            </w:pPr>
          </w:p>
        </w:tc>
        <w:tc>
          <w:tcPr>
            <w:tcW w:w="1540" w:type="dxa"/>
            <w:tcBorders>
              <w:top w:val="nil"/>
              <w:left w:val="nil"/>
              <w:bottom w:val="single" w:sz="4" w:space="0" w:color="auto"/>
              <w:right w:val="single" w:sz="4" w:space="0" w:color="auto"/>
            </w:tcBorders>
          </w:tcPr>
          <w:p w14:paraId="7CC9EBBB" w14:textId="77777777" w:rsidR="0076357A" w:rsidRPr="00AA4C18" w:rsidRDefault="0076357A" w:rsidP="0076357A">
            <w:pPr>
              <w:jc w:val="center"/>
            </w:pPr>
          </w:p>
        </w:tc>
        <w:tc>
          <w:tcPr>
            <w:tcW w:w="2220" w:type="dxa"/>
            <w:tcBorders>
              <w:top w:val="nil"/>
              <w:left w:val="nil"/>
              <w:bottom w:val="single" w:sz="4" w:space="0" w:color="auto"/>
              <w:right w:val="single" w:sz="4" w:space="0" w:color="auto"/>
            </w:tcBorders>
            <w:noWrap/>
            <w:vAlign w:val="bottom"/>
          </w:tcPr>
          <w:p w14:paraId="69654F8E" w14:textId="77777777" w:rsidR="0076357A" w:rsidRPr="00AA4C18" w:rsidRDefault="0076357A" w:rsidP="0076357A">
            <w:r w:rsidRPr="00AA4C18">
              <w:t> </w:t>
            </w:r>
          </w:p>
        </w:tc>
      </w:tr>
      <w:tr w:rsidR="0076357A" w:rsidRPr="00AA4C18" w14:paraId="1DA99466" w14:textId="77777777" w:rsidTr="0076357A">
        <w:trPr>
          <w:trHeight w:val="255"/>
        </w:trPr>
        <w:tc>
          <w:tcPr>
            <w:tcW w:w="7070" w:type="dxa"/>
            <w:tcBorders>
              <w:top w:val="nil"/>
              <w:left w:val="single" w:sz="4" w:space="0" w:color="auto"/>
              <w:bottom w:val="single" w:sz="4" w:space="0" w:color="auto"/>
              <w:right w:val="single" w:sz="4" w:space="0" w:color="auto"/>
            </w:tcBorders>
          </w:tcPr>
          <w:p w14:paraId="07048BB8" w14:textId="77777777" w:rsidR="0076357A" w:rsidRPr="00AA4C18" w:rsidRDefault="0076357A" w:rsidP="0076357A">
            <w:pPr>
              <w:rPr>
                <w:b/>
                <w:bCs/>
                <w:sz w:val="20"/>
                <w:szCs w:val="20"/>
              </w:rPr>
            </w:pPr>
            <w:r w:rsidRPr="00AA4C1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5470BCED" w14:textId="77777777" w:rsidR="0076357A" w:rsidRPr="00AA4C18" w:rsidRDefault="0076357A" w:rsidP="0076357A">
            <w:pPr>
              <w:jc w:val="center"/>
              <w:rPr>
                <w:b/>
                <w:bCs/>
                <w:sz w:val="20"/>
                <w:szCs w:val="20"/>
              </w:rPr>
            </w:pPr>
            <w:r w:rsidRPr="00AA4C18">
              <w:rPr>
                <w:b/>
                <w:bCs/>
                <w:sz w:val="20"/>
                <w:szCs w:val="20"/>
              </w:rPr>
              <w:t> 0</w:t>
            </w:r>
          </w:p>
        </w:tc>
        <w:tc>
          <w:tcPr>
            <w:tcW w:w="1540" w:type="dxa"/>
            <w:tcBorders>
              <w:top w:val="nil"/>
              <w:left w:val="nil"/>
              <w:bottom w:val="single" w:sz="4" w:space="0" w:color="auto"/>
              <w:right w:val="single" w:sz="4" w:space="0" w:color="auto"/>
            </w:tcBorders>
            <w:shd w:val="clear" w:color="auto" w:fill="FFFF99"/>
          </w:tcPr>
          <w:p w14:paraId="040CBAF3" w14:textId="77777777" w:rsidR="0076357A" w:rsidRPr="00AA4C18" w:rsidRDefault="0076357A" w:rsidP="0076357A">
            <w:pPr>
              <w:jc w:val="center"/>
              <w:rPr>
                <w:b/>
                <w:bCs/>
                <w:sz w:val="20"/>
                <w:szCs w:val="20"/>
              </w:rPr>
            </w:pPr>
            <w:r w:rsidRPr="00AA4C18">
              <w:rPr>
                <w:b/>
                <w:bCs/>
                <w:sz w:val="20"/>
                <w:szCs w:val="20"/>
              </w:rPr>
              <w:t> 0</w:t>
            </w:r>
          </w:p>
        </w:tc>
        <w:tc>
          <w:tcPr>
            <w:tcW w:w="1540" w:type="dxa"/>
            <w:tcBorders>
              <w:top w:val="nil"/>
              <w:left w:val="nil"/>
              <w:bottom w:val="single" w:sz="4" w:space="0" w:color="auto"/>
              <w:right w:val="single" w:sz="4" w:space="0" w:color="auto"/>
            </w:tcBorders>
            <w:shd w:val="clear" w:color="auto" w:fill="FFFF99"/>
          </w:tcPr>
          <w:p w14:paraId="776CB080" w14:textId="77777777" w:rsidR="0076357A" w:rsidRPr="00AA4C18" w:rsidRDefault="0076357A" w:rsidP="0076357A">
            <w:pPr>
              <w:jc w:val="center"/>
              <w:rPr>
                <w:b/>
                <w:bCs/>
                <w:sz w:val="20"/>
                <w:szCs w:val="20"/>
              </w:rPr>
            </w:pPr>
          </w:p>
        </w:tc>
        <w:tc>
          <w:tcPr>
            <w:tcW w:w="1540" w:type="dxa"/>
            <w:tcBorders>
              <w:top w:val="nil"/>
              <w:left w:val="nil"/>
              <w:bottom w:val="single" w:sz="4" w:space="0" w:color="auto"/>
              <w:right w:val="single" w:sz="4" w:space="0" w:color="auto"/>
            </w:tcBorders>
            <w:shd w:val="clear" w:color="auto" w:fill="FFFF99"/>
          </w:tcPr>
          <w:p w14:paraId="1FBC0F7F" w14:textId="77777777" w:rsidR="0076357A" w:rsidRPr="00AA4C18" w:rsidRDefault="0076357A" w:rsidP="0076357A">
            <w:pPr>
              <w:jc w:val="center"/>
              <w:rPr>
                <w:b/>
                <w:bCs/>
              </w:rPr>
            </w:pPr>
          </w:p>
        </w:tc>
        <w:tc>
          <w:tcPr>
            <w:tcW w:w="2220" w:type="dxa"/>
            <w:tcBorders>
              <w:top w:val="nil"/>
              <w:left w:val="nil"/>
              <w:bottom w:val="single" w:sz="4" w:space="0" w:color="auto"/>
              <w:right w:val="single" w:sz="4" w:space="0" w:color="auto"/>
            </w:tcBorders>
            <w:noWrap/>
            <w:vAlign w:val="bottom"/>
          </w:tcPr>
          <w:p w14:paraId="0CAB2B52" w14:textId="77777777" w:rsidR="0076357A" w:rsidRPr="00AA4C18" w:rsidRDefault="0076357A" w:rsidP="0076357A">
            <w:r w:rsidRPr="00AA4C18">
              <w:t> </w:t>
            </w:r>
          </w:p>
        </w:tc>
      </w:tr>
      <w:tr w:rsidR="0076357A" w:rsidRPr="00AA4C18" w14:paraId="5CA50E0F" w14:textId="77777777" w:rsidTr="0076357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AEDBF5" w14:textId="77777777" w:rsidR="0076357A" w:rsidRPr="00AA4C18" w:rsidRDefault="0076357A" w:rsidP="0076357A">
            <w:pPr>
              <w:rPr>
                <w:b/>
                <w:bCs/>
                <w:sz w:val="20"/>
                <w:szCs w:val="20"/>
              </w:rPr>
            </w:pPr>
            <w:r w:rsidRPr="00AA4C1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83903C0" w14:textId="77777777" w:rsidR="0076357A" w:rsidRPr="00AA4C18" w:rsidRDefault="0076357A" w:rsidP="0076357A">
            <w:pPr>
              <w:jc w:val="center"/>
              <w:rPr>
                <w:b/>
                <w:bCs/>
                <w:sz w:val="20"/>
                <w:szCs w:val="20"/>
              </w:rPr>
            </w:pPr>
            <w:r w:rsidRPr="00AA4C18">
              <w:rPr>
                <w:b/>
                <w:bCs/>
                <w:sz w:val="20"/>
                <w:szCs w:val="20"/>
              </w:rPr>
              <w:t>2 382 578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E5183A4" w14:textId="77777777" w:rsidR="0076357A" w:rsidRPr="00AA4C18" w:rsidRDefault="0076357A" w:rsidP="0076357A">
            <w:pPr>
              <w:jc w:val="center"/>
              <w:rPr>
                <w:b/>
                <w:bCs/>
                <w:sz w:val="20"/>
                <w:szCs w:val="20"/>
              </w:rPr>
            </w:pPr>
            <w:r w:rsidRPr="00AA4C18">
              <w:rPr>
                <w:b/>
                <w:bCs/>
                <w:sz w:val="20"/>
                <w:szCs w:val="20"/>
              </w:rPr>
              <w:t>2 280 558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833E877" w14:textId="77777777" w:rsidR="0076357A" w:rsidRPr="00AA4C18" w:rsidRDefault="0076357A" w:rsidP="0076357A">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A6A1EC8" w14:textId="77777777" w:rsidR="0076357A" w:rsidRPr="00AA4C18" w:rsidRDefault="0076357A" w:rsidP="0076357A">
            <w:pPr>
              <w:jc w:val="center"/>
              <w:rPr>
                <w:b/>
                <w:bCs/>
              </w:rPr>
            </w:pP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42BBAAB" w14:textId="77777777" w:rsidR="0076357A" w:rsidRPr="00AA4C18" w:rsidRDefault="0076357A" w:rsidP="0076357A">
            <w:r w:rsidRPr="00AA4C18">
              <w:t> </w:t>
            </w:r>
          </w:p>
        </w:tc>
      </w:tr>
    </w:tbl>
    <w:p w14:paraId="43192A6B" w14:textId="77777777" w:rsidR="0076357A" w:rsidRPr="00AA4C18" w:rsidRDefault="0076357A" w:rsidP="0076357A">
      <w:pPr>
        <w:tabs>
          <w:tab w:val="num" w:pos="1080"/>
        </w:tabs>
        <w:jc w:val="both"/>
        <w:rPr>
          <w:bCs/>
          <w:sz w:val="20"/>
          <w:szCs w:val="20"/>
        </w:rPr>
      </w:pPr>
    </w:p>
    <w:p w14:paraId="377D23F6" w14:textId="77777777" w:rsidR="0076357A" w:rsidRPr="00AA4C18" w:rsidRDefault="0076357A" w:rsidP="0076357A">
      <w:pPr>
        <w:tabs>
          <w:tab w:val="num" w:pos="1080"/>
        </w:tabs>
        <w:jc w:val="both"/>
        <w:rPr>
          <w:bCs/>
          <w:sz w:val="20"/>
          <w:szCs w:val="20"/>
        </w:rPr>
      </w:pPr>
      <w:r w:rsidRPr="00AA4C18">
        <w:rPr>
          <w:bCs/>
          <w:sz w:val="20"/>
          <w:szCs w:val="20"/>
        </w:rPr>
        <w:t xml:space="preserve">Poznámka :* Súčasťou rozpočtovaných zdrojov sú aj zdroje pre obce v rámci preneseného výkonu štátnej správy / rok 2020  -  12 342 000 eur,  rok 2021 – 13 914 000 eur, rok </w:t>
      </w:r>
      <w:r w:rsidRPr="00AA4C18">
        <w:rPr>
          <w:bCs/>
          <w:sz w:val="20"/>
          <w:szCs w:val="20"/>
        </w:rPr>
        <w:lastRenderedPageBreak/>
        <w:t>2020  -  269 000 eur pre MV SR na pokrytie potrieb prípravy SODB a 10 962,50 eur pre ÚKGK</w:t>
      </w:r>
    </w:p>
    <w:p w14:paraId="56D96D15" w14:textId="77777777" w:rsidR="0076357A" w:rsidRPr="00AA4C18" w:rsidRDefault="0076357A" w:rsidP="0076357A">
      <w:pPr>
        <w:tabs>
          <w:tab w:val="num" w:pos="1080"/>
        </w:tabs>
        <w:ind w:left="-900"/>
        <w:jc w:val="both"/>
        <w:rPr>
          <w:bCs/>
          <w:sz w:val="20"/>
          <w:szCs w:val="20"/>
        </w:rPr>
      </w:pPr>
      <w:r w:rsidRPr="00AA4C18">
        <w:rPr>
          <w:bCs/>
          <w:sz w:val="20"/>
          <w:szCs w:val="20"/>
        </w:rPr>
        <w:t>Štatistický úrad SR</w:t>
      </w:r>
    </w:p>
    <w:p w14:paraId="6E3A9ADD" w14:textId="77777777" w:rsidR="0076357A" w:rsidRPr="00AA4C18" w:rsidRDefault="0076357A" w:rsidP="0076357A">
      <w:pPr>
        <w:tabs>
          <w:tab w:val="num" w:pos="1080"/>
        </w:tabs>
        <w:jc w:val="right"/>
        <w:rPr>
          <w:bCs/>
        </w:rPr>
      </w:pPr>
      <w:r w:rsidRPr="00AA4C18">
        <w:rPr>
          <w:bCs/>
        </w:rPr>
        <w:t xml:space="preserve">                 Tabuľka č. 5 </w:t>
      </w:r>
    </w:p>
    <w:p w14:paraId="59540120" w14:textId="77777777" w:rsidR="0076357A" w:rsidRPr="00AA4C18" w:rsidRDefault="0076357A" w:rsidP="0076357A">
      <w:pPr>
        <w:tabs>
          <w:tab w:val="num" w:pos="1080"/>
        </w:tabs>
        <w:jc w:val="both"/>
        <w:rPr>
          <w:bCs/>
          <w:szCs w:val="20"/>
        </w:rPr>
      </w:pPr>
    </w:p>
    <w:p w14:paraId="06BC17BF" w14:textId="77777777" w:rsidR="0076357A" w:rsidRPr="00AA4C18" w:rsidRDefault="0076357A" w:rsidP="0076357A">
      <w:pPr>
        <w:tabs>
          <w:tab w:val="num" w:pos="1080"/>
        </w:tabs>
        <w:jc w:val="both"/>
        <w:rPr>
          <w:bCs/>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6357A" w:rsidRPr="00AA4C18" w14:paraId="51A1FF97" w14:textId="77777777" w:rsidTr="0076357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E7BC2C" w14:textId="77777777" w:rsidR="0076357A" w:rsidRPr="00AA4C18" w:rsidRDefault="0076357A" w:rsidP="0076357A">
            <w:pPr>
              <w:jc w:val="center"/>
              <w:rPr>
                <w:b/>
                <w:bCs/>
              </w:rPr>
            </w:pPr>
            <w:r w:rsidRPr="00AA4C18">
              <w:rPr>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6D2AD041" w14:textId="77777777" w:rsidR="0076357A" w:rsidRPr="00AA4C18" w:rsidRDefault="0076357A" w:rsidP="0076357A">
            <w:pPr>
              <w:jc w:val="center"/>
              <w:rPr>
                <w:b/>
                <w:bCs/>
              </w:rPr>
            </w:pPr>
            <w:r w:rsidRPr="00AA4C18">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843996" w14:textId="77777777" w:rsidR="0076357A" w:rsidRPr="00AA4C18" w:rsidRDefault="0076357A" w:rsidP="0076357A">
            <w:pPr>
              <w:jc w:val="center"/>
              <w:rPr>
                <w:b/>
                <w:bCs/>
              </w:rPr>
            </w:pPr>
            <w:r w:rsidRPr="00AA4C18">
              <w:rPr>
                <w:b/>
                <w:bCs/>
              </w:rPr>
              <w:t>poznámka</w:t>
            </w:r>
          </w:p>
        </w:tc>
      </w:tr>
      <w:tr w:rsidR="0076357A" w:rsidRPr="00AA4C18" w14:paraId="36A65C60" w14:textId="77777777" w:rsidTr="0076357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7245D" w14:textId="77777777" w:rsidR="0076357A" w:rsidRPr="00AA4C18" w:rsidRDefault="0076357A" w:rsidP="0076357A">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14:paraId="2E9ADBD4" w14:textId="77777777" w:rsidR="0076357A" w:rsidRPr="00AA4C18" w:rsidRDefault="0076357A" w:rsidP="0076357A">
            <w:pPr>
              <w:jc w:val="center"/>
              <w:rPr>
                <w:b/>
                <w:bCs/>
              </w:rPr>
            </w:pPr>
            <w:r w:rsidRPr="00AA4C18">
              <w:rPr>
                <w:b/>
                <w:bCs/>
              </w:rPr>
              <w:t>2019</w:t>
            </w:r>
          </w:p>
        </w:tc>
        <w:tc>
          <w:tcPr>
            <w:tcW w:w="1788" w:type="dxa"/>
            <w:tcBorders>
              <w:top w:val="nil"/>
              <w:left w:val="nil"/>
              <w:bottom w:val="single" w:sz="4" w:space="0" w:color="auto"/>
              <w:right w:val="single" w:sz="4" w:space="0" w:color="auto"/>
            </w:tcBorders>
            <w:shd w:val="clear" w:color="auto" w:fill="BFBFBF" w:themeFill="background1" w:themeFillShade="BF"/>
          </w:tcPr>
          <w:p w14:paraId="05F017E8" w14:textId="77777777" w:rsidR="0076357A" w:rsidRPr="00AA4C18" w:rsidRDefault="0076357A" w:rsidP="0076357A">
            <w:pPr>
              <w:jc w:val="center"/>
              <w:rPr>
                <w:b/>
                <w:bCs/>
              </w:rPr>
            </w:pPr>
            <w:r w:rsidRPr="00AA4C18">
              <w:rPr>
                <w:b/>
                <w:bCs/>
              </w:rPr>
              <w:t>2020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66D1C21F" w14:textId="77777777" w:rsidR="0076357A" w:rsidRPr="00AA4C18" w:rsidRDefault="0076357A" w:rsidP="0076357A">
            <w:pPr>
              <w:jc w:val="center"/>
              <w:rPr>
                <w:b/>
                <w:bCs/>
              </w:rPr>
            </w:pPr>
            <w:r w:rsidRPr="00AA4C18">
              <w:rPr>
                <w:b/>
                <w:bCs/>
              </w:rPr>
              <w:t>2021</w:t>
            </w:r>
          </w:p>
        </w:tc>
        <w:tc>
          <w:tcPr>
            <w:tcW w:w="1722" w:type="dxa"/>
            <w:tcBorders>
              <w:top w:val="nil"/>
              <w:left w:val="nil"/>
              <w:bottom w:val="single" w:sz="4" w:space="0" w:color="auto"/>
              <w:right w:val="single" w:sz="4" w:space="0" w:color="auto"/>
            </w:tcBorders>
            <w:shd w:val="clear" w:color="auto" w:fill="BFBFBF" w:themeFill="background1" w:themeFillShade="BF"/>
          </w:tcPr>
          <w:p w14:paraId="18110ADD" w14:textId="77777777" w:rsidR="0076357A" w:rsidRPr="00AA4C18" w:rsidRDefault="0076357A" w:rsidP="0076357A">
            <w:pPr>
              <w:jc w:val="center"/>
              <w:rPr>
                <w:b/>
                <w:bCs/>
              </w:rPr>
            </w:pPr>
            <w:r w:rsidRPr="00AA4C18">
              <w:rPr>
                <w:b/>
                <w:bCs/>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DA6D77" w14:textId="77777777" w:rsidR="0076357A" w:rsidRPr="00AA4C18" w:rsidRDefault="0076357A" w:rsidP="0076357A">
            <w:pPr>
              <w:rPr>
                <w:b/>
                <w:bCs/>
              </w:rPr>
            </w:pPr>
          </w:p>
        </w:tc>
      </w:tr>
      <w:tr w:rsidR="0076357A" w:rsidRPr="00AA4C18" w14:paraId="0669B30C" w14:textId="77777777" w:rsidTr="0076357A">
        <w:trPr>
          <w:trHeight w:val="255"/>
        </w:trPr>
        <w:tc>
          <w:tcPr>
            <w:tcW w:w="6188" w:type="dxa"/>
            <w:tcBorders>
              <w:top w:val="nil"/>
              <w:left w:val="single" w:sz="4" w:space="0" w:color="auto"/>
              <w:bottom w:val="single" w:sz="4" w:space="0" w:color="auto"/>
              <w:right w:val="single" w:sz="4" w:space="0" w:color="auto"/>
            </w:tcBorders>
          </w:tcPr>
          <w:p w14:paraId="2732A92A" w14:textId="77777777" w:rsidR="0076357A" w:rsidRPr="00AA4C18" w:rsidRDefault="0076357A" w:rsidP="0076357A">
            <w:pPr>
              <w:rPr>
                <w:b/>
                <w:bCs/>
              </w:rPr>
            </w:pPr>
            <w:r w:rsidRPr="00AA4C18">
              <w:rPr>
                <w:b/>
                <w:bCs/>
              </w:rPr>
              <w:t>Počet zamestnancov celkom</w:t>
            </w:r>
          </w:p>
        </w:tc>
        <w:tc>
          <w:tcPr>
            <w:tcW w:w="1698" w:type="dxa"/>
            <w:tcBorders>
              <w:top w:val="nil"/>
              <w:left w:val="nil"/>
              <w:bottom w:val="single" w:sz="4" w:space="0" w:color="auto"/>
              <w:right w:val="single" w:sz="4" w:space="0" w:color="auto"/>
            </w:tcBorders>
          </w:tcPr>
          <w:p w14:paraId="5D908560" w14:textId="77777777" w:rsidR="0076357A" w:rsidRPr="00AA4C18" w:rsidRDefault="0076357A" w:rsidP="0076357A">
            <w:pPr>
              <w:jc w:val="center"/>
              <w:rPr>
                <w:b/>
                <w:bCs/>
              </w:rPr>
            </w:pPr>
            <w:r w:rsidRPr="00AA4C18">
              <w:rPr>
                <w:b/>
                <w:bCs/>
              </w:rPr>
              <w:t>36</w:t>
            </w:r>
          </w:p>
        </w:tc>
        <w:tc>
          <w:tcPr>
            <w:tcW w:w="1788" w:type="dxa"/>
            <w:tcBorders>
              <w:top w:val="nil"/>
              <w:left w:val="nil"/>
              <w:bottom w:val="single" w:sz="4" w:space="0" w:color="auto"/>
              <w:right w:val="single" w:sz="4" w:space="0" w:color="auto"/>
            </w:tcBorders>
          </w:tcPr>
          <w:p w14:paraId="0C599AE8" w14:textId="77777777" w:rsidR="0076357A" w:rsidRPr="00AA4C18" w:rsidRDefault="0076357A" w:rsidP="0076357A">
            <w:pPr>
              <w:jc w:val="center"/>
              <w:rPr>
                <w:b/>
                <w:bCs/>
              </w:rPr>
            </w:pPr>
            <w:r w:rsidRPr="00AA4C18">
              <w:rPr>
                <w:b/>
                <w:bCs/>
              </w:rPr>
              <w:t>37</w:t>
            </w:r>
          </w:p>
        </w:tc>
        <w:tc>
          <w:tcPr>
            <w:tcW w:w="2418" w:type="dxa"/>
            <w:gridSpan w:val="2"/>
            <w:tcBorders>
              <w:top w:val="nil"/>
              <w:left w:val="nil"/>
              <w:bottom w:val="single" w:sz="4" w:space="0" w:color="auto"/>
              <w:right w:val="single" w:sz="4" w:space="0" w:color="auto"/>
            </w:tcBorders>
          </w:tcPr>
          <w:p w14:paraId="64986064" w14:textId="77777777" w:rsidR="0076357A" w:rsidRPr="00AA4C18" w:rsidRDefault="0076357A" w:rsidP="0076357A">
            <w:pPr>
              <w:jc w:val="center"/>
              <w:rPr>
                <w:b/>
                <w:bCs/>
              </w:rPr>
            </w:pPr>
            <w:r w:rsidRPr="00AA4C18">
              <w:rPr>
                <w:b/>
                <w:bCs/>
              </w:rPr>
              <w:t>49</w:t>
            </w:r>
          </w:p>
        </w:tc>
        <w:tc>
          <w:tcPr>
            <w:tcW w:w="1722" w:type="dxa"/>
            <w:tcBorders>
              <w:top w:val="nil"/>
              <w:left w:val="nil"/>
              <w:bottom w:val="single" w:sz="4" w:space="0" w:color="auto"/>
              <w:right w:val="single" w:sz="4" w:space="0" w:color="auto"/>
            </w:tcBorders>
          </w:tcPr>
          <w:p w14:paraId="44B6B950" w14:textId="77777777" w:rsidR="0076357A" w:rsidRPr="00AA4C18" w:rsidRDefault="0076357A" w:rsidP="0076357A">
            <w:pPr>
              <w:jc w:val="center"/>
              <w:rPr>
                <w:b/>
                <w:bCs/>
              </w:rPr>
            </w:pPr>
            <w:r w:rsidRPr="00AA4C18">
              <w:rPr>
                <w:b/>
                <w:bCs/>
              </w:rPr>
              <w:t>24</w:t>
            </w:r>
          </w:p>
        </w:tc>
        <w:tc>
          <w:tcPr>
            <w:tcW w:w="1620" w:type="dxa"/>
            <w:gridSpan w:val="2"/>
            <w:tcBorders>
              <w:top w:val="nil"/>
              <w:left w:val="nil"/>
              <w:bottom w:val="single" w:sz="4" w:space="0" w:color="auto"/>
              <w:right w:val="single" w:sz="4" w:space="0" w:color="auto"/>
            </w:tcBorders>
            <w:noWrap/>
            <w:vAlign w:val="bottom"/>
          </w:tcPr>
          <w:p w14:paraId="30F01BDD" w14:textId="77777777" w:rsidR="0076357A" w:rsidRPr="00AA4C18" w:rsidRDefault="0076357A" w:rsidP="0076357A">
            <w:r w:rsidRPr="00AA4C18">
              <w:t> </w:t>
            </w:r>
          </w:p>
        </w:tc>
      </w:tr>
      <w:tr w:rsidR="0076357A" w:rsidRPr="00AA4C18" w14:paraId="20AD1B62" w14:textId="77777777" w:rsidTr="0076357A">
        <w:trPr>
          <w:trHeight w:val="255"/>
        </w:trPr>
        <w:tc>
          <w:tcPr>
            <w:tcW w:w="6188" w:type="dxa"/>
            <w:tcBorders>
              <w:top w:val="nil"/>
              <w:left w:val="single" w:sz="4" w:space="0" w:color="auto"/>
              <w:bottom w:val="single" w:sz="4" w:space="0" w:color="auto"/>
              <w:right w:val="single" w:sz="4" w:space="0" w:color="auto"/>
            </w:tcBorders>
          </w:tcPr>
          <w:p w14:paraId="20068AF5" w14:textId="77777777" w:rsidR="0076357A" w:rsidRPr="00AA4C18" w:rsidRDefault="0076357A" w:rsidP="0076357A">
            <w:pPr>
              <w:rPr>
                <w:b/>
                <w:bCs/>
              </w:rPr>
            </w:pPr>
            <w:r w:rsidRPr="00AA4C18">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360DAA4D" w14:textId="77777777" w:rsidR="0076357A" w:rsidRPr="00AA4C18" w:rsidRDefault="0076357A" w:rsidP="0076357A">
            <w:pPr>
              <w:jc w:val="center"/>
              <w:rPr>
                <w:b/>
                <w:bCs/>
              </w:rPr>
            </w:pPr>
            <w:r w:rsidRPr="00AA4C18">
              <w:rPr>
                <w:b/>
                <w:bCs/>
              </w:rPr>
              <w:t>36</w:t>
            </w:r>
          </w:p>
        </w:tc>
        <w:tc>
          <w:tcPr>
            <w:tcW w:w="1788" w:type="dxa"/>
            <w:tcBorders>
              <w:top w:val="single" w:sz="4" w:space="0" w:color="auto"/>
              <w:left w:val="nil"/>
              <w:bottom w:val="single" w:sz="4" w:space="0" w:color="auto"/>
              <w:right w:val="single" w:sz="4" w:space="0" w:color="auto"/>
            </w:tcBorders>
          </w:tcPr>
          <w:p w14:paraId="454B28E2" w14:textId="77777777" w:rsidR="0076357A" w:rsidRPr="00AA4C18" w:rsidRDefault="0076357A" w:rsidP="0076357A">
            <w:pPr>
              <w:jc w:val="center"/>
              <w:rPr>
                <w:b/>
                <w:bCs/>
              </w:rPr>
            </w:pPr>
            <w:r w:rsidRPr="00AA4C18">
              <w:rPr>
                <w:b/>
                <w:bCs/>
              </w:rPr>
              <w:t>37</w:t>
            </w:r>
          </w:p>
        </w:tc>
        <w:tc>
          <w:tcPr>
            <w:tcW w:w="2418" w:type="dxa"/>
            <w:gridSpan w:val="2"/>
            <w:tcBorders>
              <w:top w:val="single" w:sz="4" w:space="0" w:color="auto"/>
              <w:left w:val="nil"/>
              <w:bottom w:val="single" w:sz="4" w:space="0" w:color="auto"/>
              <w:right w:val="single" w:sz="4" w:space="0" w:color="auto"/>
            </w:tcBorders>
          </w:tcPr>
          <w:p w14:paraId="6F6C48EE" w14:textId="77777777" w:rsidR="0076357A" w:rsidRPr="00AA4C18" w:rsidRDefault="0076357A" w:rsidP="0076357A">
            <w:pPr>
              <w:jc w:val="center"/>
              <w:rPr>
                <w:b/>
                <w:bCs/>
              </w:rPr>
            </w:pPr>
            <w:r w:rsidRPr="00AA4C18">
              <w:rPr>
                <w:b/>
                <w:bCs/>
              </w:rPr>
              <w:t>49</w:t>
            </w:r>
          </w:p>
        </w:tc>
        <w:tc>
          <w:tcPr>
            <w:tcW w:w="1722" w:type="dxa"/>
            <w:tcBorders>
              <w:top w:val="single" w:sz="4" w:space="0" w:color="auto"/>
              <w:left w:val="nil"/>
              <w:bottom w:val="single" w:sz="4" w:space="0" w:color="auto"/>
              <w:right w:val="single" w:sz="4" w:space="0" w:color="auto"/>
            </w:tcBorders>
          </w:tcPr>
          <w:p w14:paraId="2836C2B5" w14:textId="77777777" w:rsidR="0076357A" w:rsidRPr="00AA4C18" w:rsidRDefault="0076357A" w:rsidP="0076357A">
            <w:pPr>
              <w:jc w:val="center"/>
              <w:rPr>
                <w:b/>
                <w:bCs/>
              </w:rPr>
            </w:pPr>
            <w:r w:rsidRPr="00AA4C18">
              <w:rPr>
                <w:b/>
                <w:bCs/>
              </w:rPr>
              <w:t>24</w:t>
            </w:r>
          </w:p>
        </w:tc>
        <w:tc>
          <w:tcPr>
            <w:tcW w:w="1620" w:type="dxa"/>
            <w:gridSpan w:val="2"/>
            <w:tcBorders>
              <w:top w:val="nil"/>
              <w:left w:val="nil"/>
              <w:bottom w:val="single" w:sz="4" w:space="0" w:color="auto"/>
              <w:right w:val="single" w:sz="4" w:space="0" w:color="auto"/>
            </w:tcBorders>
            <w:noWrap/>
            <w:vAlign w:val="bottom"/>
          </w:tcPr>
          <w:p w14:paraId="57D85120" w14:textId="77777777" w:rsidR="0076357A" w:rsidRPr="00AA4C18" w:rsidRDefault="0076357A" w:rsidP="0076357A"/>
        </w:tc>
      </w:tr>
      <w:tr w:rsidR="0076357A" w:rsidRPr="00AA4C18" w14:paraId="1F9ECC05" w14:textId="77777777" w:rsidTr="0076357A">
        <w:trPr>
          <w:trHeight w:val="255"/>
        </w:trPr>
        <w:tc>
          <w:tcPr>
            <w:tcW w:w="6188" w:type="dxa"/>
            <w:tcBorders>
              <w:top w:val="nil"/>
              <w:left w:val="single" w:sz="4" w:space="0" w:color="auto"/>
              <w:bottom w:val="single" w:sz="4" w:space="0" w:color="auto"/>
              <w:right w:val="single" w:sz="4" w:space="0" w:color="auto"/>
            </w:tcBorders>
          </w:tcPr>
          <w:p w14:paraId="2C004184" w14:textId="77777777" w:rsidR="0076357A" w:rsidRPr="00AA4C18" w:rsidRDefault="0076357A" w:rsidP="0076357A">
            <w:pPr>
              <w:rPr>
                <w:b/>
                <w:bCs/>
              </w:rPr>
            </w:pPr>
            <w:r w:rsidRPr="00AA4C18">
              <w:rPr>
                <w:b/>
                <w:bCs/>
              </w:rPr>
              <w:t>Priemerný mzdový výdavok (v eurách)</w:t>
            </w:r>
          </w:p>
        </w:tc>
        <w:tc>
          <w:tcPr>
            <w:tcW w:w="1698" w:type="dxa"/>
            <w:tcBorders>
              <w:top w:val="single" w:sz="4" w:space="0" w:color="auto"/>
              <w:left w:val="nil"/>
              <w:bottom w:val="single" w:sz="4" w:space="0" w:color="auto"/>
              <w:right w:val="single" w:sz="4" w:space="0" w:color="auto"/>
            </w:tcBorders>
          </w:tcPr>
          <w:p w14:paraId="20DE204C" w14:textId="77777777" w:rsidR="0076357A" w:rsidRPr="00AA4C18" w:rsidRDefault="0076357A" w:rsidP="0076357A">
            <w:pPr>
              <w:jc w:val="center"/>
              <w:rPr>
                <w:b/>
                <w:bCs/>
              </w:rPr>
            </w:pPr>
            <w:r w:rsidRPr="00AA4C18">
              <w:rPr>
                <w:b/>
                <w:bCs/>
              </w:rPr>
              <w:t>1 604*</w:t>
            </w:r>
          </w:p>
        </w:tc>
        <w:tc>
          <w:tcPr>
            <w:tcW w:w="1788" w:type="dxa"/>
            <w:tcBorders>
              <w:top w:val="single" w:sz="4" w:space="0" w:color="auto"/>
              <w:left w:val="nil"/>
              <w:bottom w:val="single" w:sz="4" w:space="0" w:color="auto"/>
              <w:right w:val="single" w:sz="4" w:space="0" w:color="auto"/>
            </w:tcBorders>
          </w:tcPr>
          <w:p w14:paraId="0489D80F" w14:textId="77777777" w:rsidR="0076357A" w:rsidRPr="00AA4C18" w:rsidRDefault="0076357A" w:rsidP="0076357A">
            <w:pPr>
              <w:jc w:val="center"/>
              <w:rPr>
                <w:b/>
                <w:bCs/>
              </w:rPr>
            </w:pPr>
            <w:r w:rsidRPr="00AA4C18">
              <w:rPr>
                <w:b/>
                <w:bCs/>
              </w:rPr>
              <w:t>1 606*</w:t>
            </w:r>
          </w:p>
        </w:tc>
        <w:tc>
          <w:tcPr>
            <w:tcW w:w="2418" w:type="dxa"/>
            <w:gridSpan w:val="2"/>
            <w:tcBorders>
              <w:top w:val="single" w:sz="4" w:space="0" w:color="auto"/>
              <w:left w:val="nil"/>
              <w:bottom w:val="single" w:sz="4" w:space="0" w:color="auto"/>
              <w:right w:val="single" w:sz="4" w:space="0" w:color="auto"/>
            </w:tcBorders>
          </w:tcPr>
          <w:p w14:paraId="37325FC3" w14:textId="77777777" w:rsidR="0076357A" w:rsidRPr="00AA4C18" w:rsidRDefault="0076357A" w:rsidP="0076357A">
            <w:pPr>
              <w:jc w:val="center"/>
              <w:rPr>
                <w:b/>
                <w:bCs/>
              </w:rPr>
            </w:pPr>
            <w:r w:rsidRPr="00AA4C18">
              <w:rPr>
                <w:b/>
                <w:bCs/>
              </w:rPr>
              <w:t>1 785*</w:t>
            </w:r>
          </w:p>
        </w:tc>
        <w:tc>
          <w:tcPr>
            <w:tcW w:w="1722" w:type="dxa"/>
            <w:tcBorders>
              <w:top w:val="single" w:sz="4" w:space="0" w:color="auto"/>
              <w:left w:val="nil"/>
              <w:bottom w:val="single" w:sz="4" w:space="0" w:color="auto"/>
              <w:right w:val="single" w:sz="4" w:space="0" w:color="auto"/>
            </w:tcBorders>
          </w:tcPr>
          <w:p w14:paraId="22908B0B" w14:textId="77777777" w:rsidR="0076357A" w:rsidRPr="00AA4C18" w:rsidRDefault="0076357A" w:rsidP="0076357A">
            <w:pPr>
              <w:jc w:val="center"/>
              <w:rPr>
                <w:b/>
                <w:bCs/>
              </w:rPr>
            </w:pPr>
            <w:r w:rsidRPr="00AA4C18">
              <w:rPr>
                <w:b/>
                <w:bCs/>
              </w:rPr>
              <w:t>1 920*</w:t>
            </w:r>
          </w:p>
        </w:tc>
        <w:tc>
          <w:tcPr>
            <w:tcW w:w="1620" w:type="dxa"/>
            <w:gridSpan w:val="2"/>
            <w:tcBorders>
              <w:top w:val="nil"/>
              <w:left w:val="nil"/>
              <w:bottom w:val="single" w:sz="4" w:space="0" w:color="auto"/>
              <w:right w:val="single" w:sz="4" w:space="0" w:color="auto"/>
            </w:tcBorders>
            <w:noWrap/>
            <w:vAlign w:val="bottom"/>
          </w:tcPr>
          <w:p w14:paraId="1E32D840" w14:textId="77777777" w:rsidR="0076357A" w:rsidRPr="00AA4C18" w:rsidRDefault="0076357A" w:rsidP="0076357A">
            <w:r w:rsidRPr="00AA4C18">
              <w:t> </w:t>
            </w:r>
          </w:p>
        </w:tc>
      </w:tr>
      <w:tr w:rsidR="0076357A" w:rsidRPr="00AA4C18" w14:paraId="72A54F20" w14:textId="77777777" w:rsidTr="0076357A">
        <w:trPr>
          <w:trHeight w:val="255"/>
        </w:trPr>
        <w:tc>
          <w:tcPr>
            <w:tcW w:w="6188" w:type="dxa"/>
            <w:tcBorders>
              <w:top w:val="nil"/>
              <w:left w:val="single" w:sz="4" w:space="0" w:color="auto"/>
              <w:bottom w:val="single" w:sz="4" w:space="0" w:color="auto"/>
              <w:right w:val="single" w:sz="4" w:space="0" w:color="auto"/>
            </w:tcBorders>
          </w:tcPr>
          <w:p w14:paraId="2A059B35" w14:textId="77777777" w:rsidR="0076357A" w:rsidRPr="00AA4C18" w:rsidRDefault="0076357A" w:rsidP="0076357A">
            <w:r w:rsidRPr="00AA4C18">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34200D5B" w14:textId="77777777" w:rsidR="0076357A" w:rsidRPr="00AA4C18" w:rsidRDefault="0076357A" w:rsidP="0076357A">
            <w:pPr>
              <w:jc w:val="center"/>
            </w:pPr>
            <w:r w:rsidRPr="00AA4C18">
              <w:t>1 604</w:t>
            </w:r>
          </w:p>
        </w:tc>
        <w:tc>
          <w:tcPr>
            <w:tcW w:w="1788" w:type="dxa"/>
            <w:tcBorders>
              <w:top w:val="single" w:sz="4" w:space="0" w:color="auto"/>
              <w:left w:val="nil"/>
              <w:bottom w:val="single" w:sz="4" w:space="0" w:color="auto"/>
              <w:right w:val="single" w:sz="4" w:space="0" w:color="auto"/>
            </w:tcBorders>
          </w:tcPr>
          <w:p w14:paraId="4CAD3260" w14:textId="77777777" w:rsidR="0076357A" w:rsidRPr="00AA4C18" w:rsidRDefault="0076357A" w:rsidP="0076357A">
            <w:pPr>
              <w:jc w:val="center"/>
            </w:pPr>
            <w:r w:rsidRPr="00AA4C18">
              <w:t> </w:t>
            </w:r>
            <w:r w:rsidRPr="00AA4C18">
              <w:rPr>
                <w:bCs/>
              </w:rPr>
              <w:t>1 606</w:t>
            </w:r>
          </w:p>
        </w:tc>
        <w:tc>
          <w:tcPr>
            <w:tcW w:w="2418" w:type="dxa"/>
            <w:gridSpan w:val="2"/>
            <w:tcBorders>
              <w:top w:val="single" w:sz="4" w:space="0" w:color="auto"/>
              <w:left w:val="nil"/>
              <w:bottom w:val="single" w:sz="4" w:space="0" w:color="auto"/>
              <w:right w:val="single" w:sz="4" w:space="0" w:color="auto"/>
            </w:tcBorders>
          </w:tcPr>
          <w:p w14:paraId="2B72704E" w14:textId="77777777" w:rsidR="0076357A" w:rsidRPr="00AA4C18" w:rsidRDefault="0076357A" w:rsidP="0076357A">
            <w:pPr>
              <w:jc w:val="center"/>
            </w:pPr>
            <w:r w:rsidRPr="00AA4C18">
              <w:t xml:space="preserve"> 1 785 </w:t>
            </w:r>
          </w:p>
        </w:tc>
        <w:tc>
          <w:tcPr>
            <w:tcW w:w="1722" w:type="dxa"/>
            <w:tcBorders>
              <w:top w:val="single" w:sz="4" w:space="0" w:color="auto"/>
              <w:left w:val="nil"/>
              <w:bottom w:val="single" w:sz="4" w:space="0" w:color="auto"/>
              <w:right w:val="single" w:sz="4" w:space="0" w:color="auto"/>
            </w:tcBorders>
          </w:tcPr>
          <w:p w14:paraId="604B3B99" w14:textId="77777777" w:rsidR="0076357A" w:rsidRPr="00AA4C18" w:rsidRDefault="0076357A" w:rsidP="0076357A">
            <w:pPr>
              <w:jc w:val="center"/>
            </w:pPr>
            <w:r w:rsidRPr="00AA4C18">
              <w:t>1 920 </w:t>
            </w:r>
          </w:p>
        </w:tc>
        <w:tc>
          <w:tcPr>
            <w:tcW w:w="1620" w:type="dxa"/>
            <w:gridSpan w:val="2"/>
            <w:tcBorders>
              <w:top w:val="nil"/>
              <w:left w:val="nil"/>
              <w:bottom w:val="single" w:sz="4" w:space="0" w:color="auto"/>
              <w:right w:val="single" w:sz="4" w:space="0" w:color="auto"/>
            </w:tcBorders>
            <w:noWrap/>
            <w:vAlign w:val="bottom"/>
          </w:tcPr>
          <w:p w14:paraId="413A3F90" w14:textId="77777777" w:rsidR="0076357A" w:rsidRPr="00AA4C18" w:rsidRDefault="0076357A" w:rsidP="0076357A">
            <w:r w:rsidRPr="00AA4C18">
              <w:t> </w:t>
            </w:r>
          </w:p>
        </w:tc>
      </w:tr>
      <w:tr w:rsidR="0076357A" w:rsidRPr="00AA4C18" w14:paraId="75C9E496" w14:textId="77777777" w:rsidTr="0076357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4AD97A55" w14:textId="77777777" w:rsidR="0076357A" w:rsidRPr="00AA4C18" w:rsidRDefault="0076357A" w:rsidP="0076357A">
            <w:pPr>
              <w:rPr>
                <w:b/>
                <w:bCs/>
              </w:rPr>
            </w:pPr>
            <w:r w:rsidRPr="00AA4C18">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1436E486" w14:textId="77777777" w:rsidR="0076357A" w:rsidRPr="00AA4C18" w:rsidRDefault="0076357A" w:rsidP="0076357A">
            <w:pPr>
              <w:jc w:val="center"/>
              <w:rPr>
                <w:b/>
                <w:bCs/>
              </w:rPr>
            </w:pPr>
            <w:r w:rsidRPr="00AA4C18">
              <w:rPr>
                <w:b/>
                <w:bCs/>
              </w:rPr>
              <w:t>936 000</w:t>
            </w:r>
          </w:p>
        </w:tc>
        <w:tc>
          <w:tcPr>
            <w:tcW w:w="1788" w:type="dxa"/>
            <w:tcBorders>
              <w:top w:val="nil"/>
              <w:left w:val="nil"/>
              <w:bottom w:val="single" w:sz="4" w:space="0" w:color="auto"/>
              <w:right w:val="single" w:sz="4" w:space="0" w:color="auto"/>
            </w:tcBorders>
            <w:shd w:val="clear" w:color="auto" w:fill="BFBFBF" w:themeFill="background1" w:themeFillShade="BF"/>
          </w:tcPr>
          <w:p w14:paraId="18E9B3C3" w14:textId="77777777" w:rsidR="0076357A" w:rsidRPr="00AA4C18" w:rsidRDefault="0076357A" w:rsidP="0076357A">
            <w:pPr>
              <w:jc w:val="center"/>
              <w:rPr>
                <w:b/>
                <w:bCs/>
              </w:rPr>
            </w:pPr>
            <w:r w:rsidRPr="00AA4C18">
              <w:rPr>
                <w:b/>
                <w:bCs/>
              </w:rPr>
              <w:t>962 290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58A1F377" w14:textId="77777777" w:rsidR="0076357A" w:rsidRPr="00AA4C18" w:rsidRDefault="0076357A" w:rsidP="0076357A">
            <w:pPr>
              <w:jc w:val="center"/>
              <w:rPr>
                <w:b/>
                <w:bCs/>
              </w:rPr>
            </w:pPr>
            <w:r w:rsidRPr="00AA4C18">
              <w:rPr>
                <w:b/>
                <w:bCs/>
              </w:rPr>
              <w:t>1 416 362</w:t>
            </w:r>
          </w:p>
        </w:tc>
        <w:tc>
          <w:tcPr>
            <w:tcW w:w="1722" w:type="dxa"/>
            <w:tcBorders>
              <w:top w:val="nil"/>
              <w:left w:val="nil"/>
              <w:bottom w:val="single" w:sz="4" w:space="0" w:color="auto"/>
              <w:right w:val="single" w:sz="4" w:space="0" w:color="auto"/>
            </w:tcBorders>
            <w:shd w:val="clear" w:color="auto" w:fill="BFBFBF" w:themeFill="background1" w:themeFillShade="BF"/>
          </w:tcPr>
          <w:p w14:paraId="5805FBD6" w14:textId="77777777" w:rsidR="0076357A" w:rsidRPr="00AA4C18" w:rsidRDefault="0076357A" w:rsidP="0076357A">
            <w:pPr>
              <w:jc w:val="center"/>
              <w:rPr>
                <w:b/>
                <w:bCs/>
              </w:rPr>
            </w:pPr>
            <w:r w:rsidRPr="00AA4C18">
              <w:rPr>
                <w:b/>
                <w:bCs/>
              </w:rPr>
              <w:t>746 372</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789B3840" w14:textId="77777777" w:rsidR="0076357A" w:rsidRPr="00AA4C18" w:rsidRDefault="0076357A" w:rsidP="0076357A">
            <w:pPr>
              <w:rPr>
                <w:b/>
                <w:bCs/>
              </w:rPr>
            </w:pPr>
            <w:r w:rsidRPr="00AA4C18">
              <w:rPr>
                <w:b/>
                <w:bCs/>
              </w:rPr>
              <w:t> </w:t>
            </w:r>
          </w:p>
        </w:tc>
      </w:tr>
      <w:tr w:rsidR="0076357A" w:rsidRPr="00AA4C18" w14:paraId="5D146F5C" w14:textId="77777777" w:rsidTr="0076357A">
        <w:trPr>
          <w:trHeight w:val="255"/>
        </w:trPr>
        <w:tc>
          <w:tcPr>
            <w:tcW w:w="6188" w:type="dxa"/>
            <w:tcBorders>
              <w:top w:val="nil"/>
              <w:left w:val="single" w:sz="4" w:space="0" w:color="auto"/>
              <w:bottom w:val="single" w:sz="4" w:space="0" w:color="auto"/>
              <w:right w:val="single" w:sz="4" w:space="0" w:color="auto"/>
            </w:tcBorders>
          </w:tcPr>
          <w:p w14:paraId="5D5339B7" w14:textId="77777777" w:rsidR="0076357A" w:rsidRPr="00AA4C18" w:rsidRDefault="0076357A" w:rsidP="0076357A">
            <w:pPr>
              <w:rPr>
                <w:b/>
                <w:bCs/>
              </w:rPr>
            </w:pPr>
            <w:r w:rsidRPr="00AA4C18">
              <w:rPr>
                <w:b/>
                <w:bCs/>
              </w:rPr>
              <w:t>Mzdy, platy, služobné príjmy a ostatné osobné vyrovnania (610)</w:t>
            </w:r>
          </w:p>
        </w:tc>
        <w:tc>
          <w:tcPr>
            <w:tcW w:w="1698" w:type="dxa"/>
            <w:tcBorders>
              <w:top w:val="nil"/>
              <w:left w:val="nil"/>
              <w:bottom w:val="single" w:sz="4" w:space="0" w:color="auto"/>
              <w:right w:val="single" w:sz="4" w:space="0" w:color="auto"/>
            </w:tcBorders>
          </w:tcPr>
          <w:p w14:paraId="5CD9F89F" w14:textId="77777777" w:rsidR="0076357A" w:rsidRPr="00AA4C18" w:rsidRDefault="0076357A" w:rsidP="0076357A">
            <w:pPr>
              <w:jc w:val="center"/>
              <w:rPr>
                <w:b/>
                <w:bCs/>
              </w:rPr>
            </w:pPr>
            <w:r w:rsidRPr="00AA4C18">
              <w:rPr>
                <w:b/>
                <w:bCs/>
              </w:rPr>
              <w:t>693 000</w:t>
            </w:r>
          </w:p>
        </w:tc>
        <w:tc>
          <w:tcPr>
            <w:tcW w:w="1788" w:type="dxa"/>
            <w:tcBorders>
              <w:top w:val="nil"/>
              <w:left w:val="nil"/>
              <w:bottom w:val="single" w:sz="4" w:space="0" w:color="auto"/>
              <w:right w:val="single" w:sz="4" w:space="0" w:color="auto"/>
            </w:tcBorders>
          </w:tcPr>
          <w:p w14:paraId="3123CF1E" w14:textId="77777777" w:rsidR="0076357A" w:rsidRPr="00AA4C18" w:rsidRDefault="0076357A" w:rsidP="0076357A">
            <w:pPr>
              <w:jc w:val="center"/>
              <w:rPr>
                <w:b/>
                <w:bCs/>
              </w:rPr>
            </w:pPr>
            <w:r w:rsidRPr="00AA4C18">
              <w:rPr>
                <w:b/>
                <w:bCs/>
              </w:rPr>
              <w:t>713 072</w:t>
            </w:r>
          </w:p>
        </w:tc>
        <w:tc>
          <w:tcPr>
            <w:tcW w:w="2418" w:type="dxa"/>
            <w:gridSpan w:val="2"/>
            <w:tcBorders>
              <w:top w:val="nil"/>
              <w:left w:val="nil"/>
              <w:bottom w:val="single" w:sz="4" w:space="0" w:color="auto"/>
              <w:right w:val="single" w:sz="4" w:space="0" w:color="auto"/>
            </w:tcBorders>
          </w:tcPr>
          <w:p w14:paraId="45CD8631" w14:textId="77777777" w:rsidR="0076357A" w:rsidRPr="00AA4C18" w:rsidRDefault="0076357A" w:rsidP="0076357A">
            <w:pPr>
              <w:jc w:val="center"/>
              <w:rPr>
                <w:b/>
                <w:bCs/>
              </w:rPr>
            </w:pPr>
            <w:r w:rsidRPr="00AA4C18">
              <w:rPr>
                <w:b/>
                <w:bCs/>
              </w:rPr>
              <w:t>1 049 546</w:t>
            </w:r>
          </w:p>
        </w:tc>
        <w:tc>
          <w:tcPr>
            <w:tcW w:w="1722" w:type="dxa"/>
            <w:tcBorders>
              <w:top w:val="nil"/>
              <w:left w:val="nil"/>
              <w:bottom w:val="single" w:sz="4" w:space="0" w:color="auto"/>
              <w:right w:val="single" w:sz="4" w:space="0" w:color="auto"/>
            </w:tcBorders>
          </w:tcPr>
          <w:p w14:paraId="78A1ECE6" w14:textId="77777777" w:rsidR="0076357A" w:rsidRPr="00AA4C18" w:rsidRDefault="0076357A" w:rsidP="0076357A">
            <w:pPr>
              <w:jc w:val="center"/>
              <w:rPr>
                <w:b/>
                <w:bCs/>
              </w:rPr>
            </w:pPr>
            <w:r w:rsidRPr="00AA4C18">
              <w:rPr>
                <w:b/>
                <w:bCs/>
              </w:rPr>
              <w:t>553 073</w:t>
            </w:r>
          </w:p>
        </w:tc>
        <w:tc>
          <w:tcPr>
            <w:tcW w:w="1620" w:type="dxa"/>
            <w:gridSpan w:val="2"/>
            <w:tcBorders>
              <w:top w:val="nil"/>
              <w:left w:val="nil"/>
              <w:bottom w:val="single" w:sz="4" w:space="0" w:color="auto"/>
              <w:right w:val="single" w:sz="4" w:space="0" w:color="auto"/>
            </w:tcBorders>
            <w:noWrap/>
            <w:vAlign w:val="bottom"/>
          </w:tcPr>
          <w:p w14:paraId="770A315B" w14:textId="77777777" w:rsidR="0076357A" w:rsidRPr="00AA4C18" w:rsidRDefault="0076357A" w:rsidP="0076357A">
            <w:pPr>
              <w:rPr>
                <w:b/>
                <w:bCs/>
              </w:rPr>
            </w:pPr>
            <w:r w:rsidRPr="00AA4C18">
              <w:rPr>
                <w:b/>
                <w:bCs/>
              </w:rPr>
              <w:t> </w:t>
            </w:r>
          </w:p>
        </w:tc>
      </w:tr>
      <w:tr w:rsidR="0076357A" w:rsidRPr="00AA4C18" w14:paraId="2B5F4397" w14:textId="77777777" w:rsidTr="0076357A">
        <w:trPr>
          <w:trHeight w:val="255"/>
        </w:trPr>
        <w:tc>
          <w:tcPr>
            <w:tcW w:w="6188" w:type="dxa"/>
            <w:tcBorders>
              <w:top w:val="nil"/>
              <w:left w:val="single" w:sz="4" w:space="0" w:color="auto"/>
              <w:bottom w:val="single" w:sz="4" w:space="0" w:color="auto"/>
              <w:right w:val="single" w:sz="4" w:space="0" w:color="auto"/>
            </w:tcBorders>
          </w:tcPr>
          <w:p w14:paraId="74010DA3" w14:textId="77777777" w:rsidR="0076357A" w:rsidRPr="00AA4C18" w:rsidRDefault="0076357A" w:rsidP="0076357A">
            <w:r w:rsidRPr="00AA4C18">
              <w:rPr>
                <w:b/>
                <w:bCs/>
              </w:rPr>
              <w:t xml:space="preserve">   z toho vplyv na ŠR</w:t>
            </w:r>
          </w:p>
        </w:tc>
        <w:tc>
          <w:tcPr>
            <w:tcW w:w="1698" w:type="dxa"/>
            <w:tcBorders>
              <w:top w:val="nil"/>
              <w:left w:val="nil"/>
              <w:bottom w:val="single" w:sz="4" w:space="0" w:color="auto"/>
              <w:right w:val="single" w:sz="4" w:space="0" w:color="auto"/>
            </w:tcBorders>
          </w:tcPr>
          <w:p w14:paraId="677511A9" w14:textId="77777777" w:rsidR="0076357A" w:rsidRPr="00AA4C18" w:rsidRDefault="0076357A" w:rsidP="0076357A">
            <w:pPr>
              <w:jc w:val="center"/>
            </w:pPr>
            <w:r w:rsidRPr="00AA4C18">
              <w:t>693 000</w:t>
            </w:r>
          </w:p>
        </w:tc>
        <w:tc>
          <w:tcPr>
            <w:tcW w:w="1788" w:type="dxa"/>
            <w:tcBorders>
              <w:top w:val="nil"/>
              <w:left w:val="nil"/>
              <w:bottom w:val="single" w:sz="4" w:space="0" w:color="auto"/>
              <w:right w:val="single" w:sz="4" w:space="0" w:color="auto"/>
            </w:tcBorders>
          </w:tcPr>
          <w:p w14:paraId="11336C85" w14:textId="77777777" w:rsidR="0076357A" w:rsidRPr="00AA4C18" w:rsidRDefault="0076357A" w:rsidP="0076357A">
            <w:pPr>
              <w:jc w:val="center"/>
            </w:pPr>
            <w:r w:rsidRPr="00AA4C18">
              <w:t>713 072</w:t>
            </w:r>
          </w:p>
        </w:tc>
        <w:tc>
          <w:tcPr>
            <w:tcW w:w="2418" w:type="dxa"/>
            <w:gridSpan w:val="2"/>
            <w:tcBorders>
              <w:top w:val="nil"/>
              <w:left w:val="nil"/>
              <w:bottom w:val="single" w:sz="4" w:space="0" w:color="auto"/>
              <w:right w:val="single" w:sz="4" w:space="0" w:color="auto"/>
            </w:tcBorders>
          </w:tcPr>
          <w:p w14:paraId="7CD6E1E9" w14:textId="77777777" w:rsidR="0076357A" w:rsidRPr="00AA4C18" w:rsidRDefault="0076357A" w:rsidP="0076357A">
            <w:pPr>
              <w:jc w:val="center"/>
            </w:pPr>
            <w:r w:rsidRPr="00AA4C18">
              <w:rPr>
                <w:bCs/>
              </w:rPr>
              <w:t>1 049 546</w:t>
            </w:r>
          </w:p>
        </w:tc>
        <w:tc>
          <w:tcPr>
            <w:tcW w:w="1722" w:type="dxa"/>
            <w:tcBorders>
              <w:top w:val="nil"/>
              <w:left w:val="nil"/>
              <w:bottom w:val="single" w:sz="4" w:space="0" w:color="auto"/>
              <w:right w:val="single" w:sz="4" w:space="0" w:color="auto"/>
            </w:tcBorders>
          </w:tcPr>
          <w:p w14:paraId="5AA59F4E" w14:textId="77777777" w:rsidR="0076357A" w:rsidRPr="00AA4C18" w:rsidRDefault="0076357A" w:rsidP="0076357A">
            <w:pPr>
              <w:jc w:val="center"/>
            </w:pPr>
            <w:r w:rsidRPr="00AA4C18">
              <w:rPr>
                <w:bCs/>
              </w:rPr>
              <w:t>553 073</w:t>
            </w:r>
          </w:p>
        </w:tc>
        <w:tc>
          <w:tcPr>
            <w:tcW w:w="1620" w:type="dxa"/>
            <w:gridSpan w:val="2"/>
            <w:tcBorders>
              <w:top w:val="nil"/>
              <w:left w:val="nil"/>
              <w:bottom w:val="single" w:sz="4" w:space="0" w:color="auto"/>
              <w:right w:val="single" w:sz="4" w:space="0" w:color="auto"/>
            </w:tcBorders>
            <w:noWrap/>
            <w:vAlign w:val="bottom"/>
          </w:tcPr>
          <w:p w14:paraId="1EDD5053" w14:textId="77777777" w:rsidR="0076357A" w:rsidRPr="00AA4C18" w:rsidRDefault="0076357A" w:rsidP="0076357A">
            <w:r w:rsidRPr="00AA4C18">
              <w:t> </w:t>
            </w:r>
          </w:p>
        </w:tc>
      </w:tr>
      <w:tr w:rsidR="0076357A" w:rsidRPr="00AA4C18" w14:paraId="5A57DB69" w14:textId="77777777" w:rsidTr="0076357A">
        <w:trPr>
          <w:trHeight w:val="255"/>
        </w:trPr>
        <w:tc>
          <w:tcPr>
            <w:tcW w:w="6188" w:type="dxa"/>
            <w:tcBorders>
              <w:top w:val="nil"/>
              <w:left w:val="single" w:sz="4" w:space="0" w:color="auto"/>
              <w:bottom w:val="single" w:sz="4" w:space="0" w:color="auto"/>
              <w:right w:val="single" w:sz="4" w:space="0" w:color="auto"/>
            </w:tcBorders>
          </w:tcPr>
          <w:p w14:paraId="00B0BD9E" w14:textId="77777777" w:rsidR="0076357A" w:rsidRPr="00AA4C18" w:rsidRDefault="0076357A" w:rsidP="0076357A">
            <w:pPr>
              <w:rPr>
                <w:b/>
                <w:bCs/>
              </w:rPr>
            </w:pPr>
            <w:r w:rsidRPr="00AA4C18">
              <w:rPr>
                <w:b/>
                <w:bCs/>
              </w:rPr>
              <w:t>Poistné a príspevok do poisťovní (620)</w:t>
            </w:r>
          </w:p>
        </w:tc>
        <w:tc>
          <w:tcPr>
            <w:tcW w:w="1698" w:type="dxa"/>
            <w:tcBorders>
              <w:top w:val="nil"/>
              <w:left w:val="nil"/>
              <w:bottom w:val="single" w:sz="4" w:space="0" w:color="auto"/>
              <w:right w:val="single" w:sz="4" w:space="0" w:color="auto"/>
            </w:tcBorders>
          </w:tcPr>
          <w:p w14:paraId="17670DFF" w14:textId="77777777" w:rsidR="0076357A" w:rsidRPr="00AA4C18" w:rsidRDefault="0076357A" w:rsidP="0076357A">
            <w:pPr>
              <w:jc w:val="center"/>
              <w:rPr>
                <w:b/>
                <w:bCs/>
              </w:rPr>
            </w:pPr>
            <w:r w:rsidRPr="00AA4C18">
              <w:rPr>
                <w:b/>
                <w:bCs/>
              </w:rPr>
              <w:t>243 000</w:t>
            </w:r>
          </w:p>
        </w:tc>
        <w:tc>
          <w:tcPr>
            <w:tcW w:w="1788" w:type="dxa"/>
            <w:tcBorders>
              <w:top w:val="nil"/>
              <w:left w:val="nil"/>
              <w:bottom w:val="single" w:sz="4" w:space="0" w:color="auto"/>
              <w:right w:val="single" w:sz="4" w:space="0" w:color="auto"/>
            </w:tcBorders>
          </w:tcPr>
          <w:p w14:paraId="6790C0EF" w14:textId="77777777" w:rsidR="0076357A" w:rsidRPr="00AA4C18" w:rsidRDefault="0076357A" w:rsidP="0076357A">
            <w:pPr>
              <w:jc w:val="center"/>
              <w:rPr>
                <w:b/>
                <w:bCs/>
              </w:rPr>
            </w:pPr>
            <w:r w:rsidRPr="00AA4C18">
              <w:rPr>
                <w:b/>
              </w:rPr>
              <w:t>249 218</w:t>
            </w:r>
            <w:r w:rsidRPr="00AA4C18">
              <w:rPr>
                <w:b/>
                <w:bCs/>
              </w:rPr>
              <w:t xml:space="preserve">      </w:t>
            </w:r>
          </w:p>
        </w:tc>
        <w:tc>
          <w:tcPr>
            <w:tcW w:w="2418" w:type="dxa"/>
            <w:gridSpan w:val="2"/>
            <w:tcBorders>
              <w:top w:val="nil"/>
              <w:left w:val="nil"/>
              <w:bottom w:val="single" w:sz="4" w:space="0" w:color="auto"/>
              <w:right w:val="single" w:sz="4" w:space="0" w:color="auto"/>
            </w:tcBorders>
          </w:tcPr>
          <w:p w14:paraId="3746793D" w14:textId="77777777" w:rsidR="0076357A" w:rsidRPr="00AA4C18" w:rsidRDefault="0076357A" w:rsidP="0076357A">
            <w:pPr>
              <w:jc w:val="center"/>
              <w:rPr>
                <w:b/>
                <w:bCs/>
              </w:rPr>
            </w:pPr>
            <w:r w:rsidRPr="00AA4C18">
              <w:rPr>
                <w:b/>
              </w:rPr>
              <w:t>366 816</w:t>
            </w:r>
          </w:p>
        </w:tc>
        <w:tc>
          <w:tcPr>
            <w:tcW w:w="1722" w:type="dxa"/>
            <w:tcBorders>
              <w:top w:val="nil"/>
              <w:left w:val="nil"/>
              <w:bottom w:val="single" w:sz="4" w:space="0" w:color="auto"/>
              <w:right w:val="single" w:sz="4" w:space="0" w:color="auto"/>
            </w:tcBorders>
          </w:tcPr>
          <w:p w14:paraId="25A5E43E" w14:textId="77777777" w:rsidR="0076357A" w:rsidRPr="00AA4C18" w:rsidRDefault="0076357A" w:rsidP="0076357A">
            <w:pPr>
              <w:jc w:val="center"/>
              <w:rPr>
                <w:b/>
                <w:bCs/>
              </w:rPr>
            </w:pPr>
            <w:r w:rsidRPr="00AA4C18">
              <w:rPr>
                <w:b/>
              </w:rPr>
              <w:t>193 299</w:t>
            </w:r>
          </w:p>
        </w:tc>
        <w:tc>
          <w:tcPr>
            <w:tcW w:w="1620" w:type="dxa"/>
            <w:gridSpan w:val="2"/>
            <w:tcBorders>
              <w:top w:val="nil"/>
              <w:left w:val="nil"/>
              <w:bottom w:val="single" w:sz="4" w:space="0" w:color="auto"/>
              <w:right w:val="single" w:sz="4" w:space="0" w:color="auto"/>
            </w:tcBorders>
            <w:noWrap/>
            <w:vAlign w:val="bottom"/>
          </w:tcPr>
          <w:p w14:paraId="6831D226" w14:textId="77777777" w:rsidR="0076357A" w:rsidRPr="00AA4C18" w:rsidRDefault="0076357A" w:rsidP="0076357A">
            <w:pPr>
              <w:rPr>
                <w:b/>
                <w:bCs/>
              </w:rPr>
            </w:pPr>
            <w:r w:rsidRPr="00AA4C18">
              <w:rPr>
                <w:b/>
                <w:bCs/>
              </w:rPr>
              <w:t> </w:t>
            </w:r>
          </w:p>
        </w:tc>
      </w:tr>
      <w:tr w:rsidR="0076357A" w:rsidRPr="00AA4C18" w14:paraId="3E8B50C2" w14:textId="77777777" w:rsidTr="0076357A">
        <w:trPr>
          <w:trHeight w:val="255"/>
        </w:trPr>
        <w:tc>
          <w:tcPr>
            <w:tcW w:w="6188" w:type="dxa"/>
            <w:tcBorders>
              <w:top w:val="nil"/>
              <w:left w:val="single" w:sz="4" w:space="0" w:color="auto"/>
              <w:bottom w:val="single" w:sz="4" w:space="0" w:color="auto"/>
              <w:right w:val="single" w:sz="4" w:space="0" w:color="auto"/>
            </w:tcBorders>
          </w:tcPr>
          <w:p w14:paraId="778942A7" w14:textId="77777777" w:rsidR="0076357A" w:rsidRPr="00AA4C18" w:rsidRDefault="0076357A" w:rsidP="0076357A">
            <w:r w:rsidRPr="00AA4C18">
              <w:rPr>
                <w:b/>
                <w:bCs/>
              </w:rPr>
              <w:t xml:space="preserve">   z toho vplyv na ŠR</w:t>
            </w:r>
          </w:p>
        </w:tc>
        <w:tc>
          <w:tcPr>
            <w:tcW w:w="1698" w:type="dxa"/>
            <w:tcBorders>
              <w:top w:val="nil"/>
              <w:left w:val="nil"/>
              <w:bottom w:val="single" w:sz="4" w:space="0" w:color="auto"/>
              <w:right w:val="single" w:sz="4" w:space="0" w:color="auto"/>
            </w:tcBorders>
          </w:tcPr>
          <w:p w14:paraId="67CEF601" w14:textId="77777777" w:rsidR="0076357A" w:rsidRPr="00AA4C18" w:rsidRDefault="0076357A" w:rsidP="0076357A">
            <w:pPr>
              <w:jc w:val="center"/>
            </w:pPr>
            <w:r w:rsidRPr="00AA4C18">
              <w:t>243 000</w:t>
            </w:r>
          </w:p>
        </w:tc>
        <w:tc>
          <w:tcPr>
            <w:tcW w:w="1788" w:type="dxa"/>
            <w:tcBorders>
              <w:top w:val="nil"/>
              <w:left w:val="nil"/>
              <w:bottom w:val="single" w:sz="4" w:space="0" w:color="auto"/>
              <w:right w:val="single" w:sz="4" w:space="0" w:color="auto"/>
            </w:tcBorders>
          </w:tcPr>
          <w:p w14:paraId="09C06F97" w14:textId="77777777" w:rsidR="0076357A" w:rsidRPr="00AA4C18" w:rsidRDefault="0076357A" w:rsidP="0076357A">
            <w:pPr>
              <w:jc w:val="center"/>
            </w:pPr>
            <w:r w:rsidRPr="00AA4C18">
              <w:t>249 218</w:t>
            </w:r>
          </w:p>
        </w:tc>
        <w:tc>
          <w:tcPr>
            <w:tcW w:w="2418" w:type="dxa"/>
            <w:gridSpan w:val="2"/>
            <w:tcBorders>
              <w:top w:val="nil"/>
              <w:left w:val="nil"/>
              <w:bottom w:val="single" w:sz="4" w:space="0" w:color="auto"/>
              <w:right w:val="single" w:sz="4" w:space="0" w:color="auto"/>
            </w:tcBorders>
          </w:tcPr>
          <w:p w14:paraId="3685A48F" w14:textId="77777777" w:rsidR="0076357A" w:rsidRPr="00AA4C18" w:rsidRDefault="0076357A" w:rsidP="0076357A">
            <w:pPr>
              <w:jc w:val="center"/>
            </w:pPr>
            <w:r w:rsidRPr="00AA4C18">
              <w:t>366 816</w:t>
            </w:r>
          </w:p>
        </w:tc>
        <w:tc>
          <w:tcPr>
            <w:tcW w:w="1722" w:type="dxa"/>
            <w:tcBorders>
              <w:top w:val="nil"/>
              <w:left w:val="nil"/>
              <w:bottom w:val="single" w:sz="4" w:space="0" w:color="auto"/>
              <w:right w:val="single" w:sz="4" w:space="0" w:color="auto"/>
            </w:tcBorders>
          </w:tcPr>
          <w:p w14:paraId="4006DE56" w14:textId="77777777" w:rsidR="0076357A" w:rsidRPr="00AA4C18" w:rsidRDefault="0076357A" w:rsidP="0076357A">
            <w:pPr>
              <w:jc w:val="center"/>
            </w:pPr>
            <w:r w:rsidRPr="00AA4C18">
              <w:t>193 299</w:t>
            </w:r>
          </w:p>
        </w:tc>
        <w:tc>
          <w:tcPr>
            <w:tcW w:w="1620" w:type="dxa"/>
            <w:gridSpan w:val="2"/>
            <w:tcBorders>
              <w:top w:val="nil"/>
              <w:left w:val="nil"/>
              <w:bottom w:val="single" w:sz="4" w:space="0" w:color="auto"/>
              <w:right w:val="single" w:sz="4" w:space="0" w:color="auto"/>
            </w:tcBorders>
            <w:noWrap/>
            <w:vAlign w:val="bottom"/>
          </w:tcPr>
          <w:p w14:paraId="628C61A8" w14:textId="77777777" w:rsidR="0076357A" w:rsidRPr="00AA4C18" w:rsidRDefault="0076357A" w:rsidP="0076357A">
            <w:r w:rsidRPr="00AA4C18">
              <w:t> </w:t>
            </w:r>
          </w:p>
        </w:tc>
      </w:tr>
      <w:tr w:rsidR="0076357A" w:rsidRPr="00AA4C18" w14:paraId="1CFF2F5C" w14:textId="77777777" w:rsidTr="0076357A">
        <w:trPr>
          <w:trHeight w:val="255"/>
        </w:trPr>
        <w:tc>
          <w:tcPr>
            <w:tcW w:w="6188" w:type="dxa"/>
            <w:tcBorders>
              <w:top w:val="nil"/>
              <w:left w:val="nil"/>
              <w:bottom w:val="nil"/>
              <w:right w:val="nil"/>
            </w:tcBorders>
            <w:noWrap/>
            <w:vAlign w:val="bottom"/>
          </w:tcPr>
          <w:p w14:paraId="01A5FD72" w14:textId="77777777" w:rsidR="0076357A" w:rsidRPr="00AA4C18" w:rsidRDefault="0076357A" w:rsidP="0076357A"/>
          <w:p w14:paraId="57F89F28" w14:textId="77777777" w:rsidR="0076357A" w:rsidRPr="00AA4C18" w:rsidRDefault="0076357A" w:rsidP="0076357A">
            <w:pPr>
              <w:rPr>
                <w:b/>
              </w:rPr>
            </w:pPr>
            <w:r w:rsidRPr="00AA4C18">
              <w:t xml:space="preserve">*reálna priemerná mzda zamestnanca úradu  bude nižšia, nakoľko v objeme požadovaných mzdových prostriedkov sú zahrnuté aj prostriedky určené na odmeňovanie zamestnancov, ktorí budú pracovať na zabezpečení SODB 2021 nad rámec svojich pracovných povinností. </w:t>
            </w:r>
            <w:r w:rsidRPr="00AA4C18">
              <w:rPr>
                <w:b/>
              </w:rPr>
              <w:t>V návrhu sú taktiež započítaní vysokokvalifikovaní zamestnanci pripravovaného analytického centra / r. 2021 – 3, 2022 – 5, 2023 – 5, 2024 – 5 / s predpokladanými vyššími priemernými príjmami.</w:t>
            </w:r>
          </w:p>
          <w:p w14:paraId="77FEA9D4" w14:textId="77777777" w:rsidR="0076357A" w:rsidRPr="00AA4C18" w:rsidRDefault="0076357A" w:rsidP="0076357A"/>
          <w:p w14:paraId="7FC62FAF" w14:textId="77777777" w:rsidR="0076357A" w:rsidRPr="00AA4C18" w:rsidRDefault="0076357A" w:rsidP="0076357A"/>
          <w:p w14:paraId="71204E92" w14:textId="77777777" w:rsidR="0076357A" w:rsidRPr="00AA4C18" w:rsidRDefault="0076357A" w:rsidP="0076357A"/>
          <w:p w14:paraId="7F733CEF" w14:textId="77777777" w:rsidR="0076357A" w:rsidRPr="00AA4C18" w:rsidRDefault="0076357A" w:rsidP="0076357A"/>
          <w:p w14:paraId="02F58D72" w14:textId="77777777" w:rsidR="0076357A" w:rsidRPr="00AA4C18" w:rsidRDefault="0076357A" w:rsidP="0076357A"/>
          <w:p w14:paraId="6DCCEFBF" w14:textId="77777777" w:rsidR="0076357A" w:rsidRPr="00AA4C18" w:rsidRDefault="0076357A" w:rsidP="0076357A">
            <w:pPr>
              <w:rPr>
                <w:b/>
                <w:u w:val="single"/>
              </w:rPr>
            </w:pPr>
            <w:r w:rsidRPr="00AA4C18">
              <w:rPr>
                <w:b/>
                <w:u w:val="single"/>
              </w:rPr>
              <w:lastRenderedPageBreak/>
              <w:t>Požiadavky Štatistického úradu SR na roky 2023 a 2024 :</w:t>
            </w:r>
          </w:p>
          <w:p w14:paraId="6A165EF5" w14:textId="77777777" w:rsidR="0076357A" w:rsidRPr="00AA4C18" w:rsidRDefault="0076357A" w:rsidP="0076357A">
            <w:pPr>
              <w:rPr>
                <w:b/>
                <w:u w:val="single"/>
              </w:rPr>
            </w:pPr>
          </w:p>
          <w:p w14:paraId="7745BE7C" w14:textId="77777777" w:rsidR="0076357A" w:rsidRPr="00AA4C18" w:rsidRDefault="0076357A" w:rsidP="0076357A">
            <w:pPr>
              <w:rPr>
                <w:b/>
              </w:rPr>
            </w:pPr>
            <w:r w:rsidRPr="00AA4C18">
              <w:rPr>
                <w:b/>
              </w:rPr>
              <w:t>Rok 2023 :</w:t>
            </w:r>
          </w:p>
          <w:p w14:paraId="49A980F3" w14:textId="77777777" w:rsidR="0076357A" w:rsidRPr="00AA4C18" w:rsidRDefault="0076357A" w:rsidP="0076357A">
            <w:pPr>
              <w:pStyle w:val="Odsekzoznamu"/>
              <w:widowControl/>
              <w:numPr>
                <w:ilvl w:val="0"/>
                <w:numId w:val="15"/>
              </w:numPr>
              <w:autoSpaceDE/>
              <w:autoSpaceDN/>
              <w:adjustRightInd/>
            </w:pPr>
            <w:r w:rsidRPr="00AA4C18">
              <w:t>Počet zamestnancov                                           19</w:t>
            </w:r>
          </w:p>
          <w:p w14:paraId="06C4C552" w14:textId="77777777" w:rsidR="0076357A" w:rsidRPr="00AA4C18" w:rsidRDefault="0076357A" w:rsidP="0076357A">
            <w:pPr>
              <w:pStyle w:val="Odsekzoznamu"/>
              <w:widowControl/>
              <w:numPr>
                <w:ilvl w:val="0"/>
                <w:numId w:val="15"/>
              </w:numPr>
              <w:autoSpaceDE/>
              <w:autoSpaceDN/>
              <w:adjustRightInd/>
            </w:pPr>
            <w:r w:rsidRPr="00AA4C18">
              <w:t>Mzdové výdavky                                                456 541  eur</w:t>
            </w:r>
          </w:p>
          <w:p w14:paraId="45D28280" w14:textId="77777777" w:rsidR="0076357A" w:rsidRPr="00AA4C18" w:rsidRDefault="0076357A" w:rsidP="0076357A">
            <w:pPr>
              <w:pStyle w:val="Odsekzoznamu"/>
              <w:widowControl/>
              <w:numPr>
                <w:ilvl w:val="0"/>
                <w:numId w:val="15"/>
              </w:numPr>
              <w:autoSpaceDE/>
              <w:autoSpaceDN/>
              <w:adjustRightInd/>
            </w:pPr>
            <w:r w:rsidRPr="00AA4C18">
              <w:t>Poistné                                                                159 561  eur</w:t>
            </w:r>
          </w:p>
          <w:p w14:paraId="37E54CAE" w14:textId="77777777" w:rsidR="0076357A" w:rsidRPr="00AA4C18" w:rsidRDefault="0076357A" w:rsidP="0076357A">
            <w:pPr>
              <w:pStyle w:val="Odsekzoznamu"/>
              <w:widowControl/>
              <w:numPr>
                <w:ilvl w:val="0"/>
                <w:numId w:val="15"/>
              </w:numPr>
              <w:autoSpaceDE/>
              <w:autoSpaceDN/>
              <w:adjustRightInd/>
            </w:pPr>
            <w:r w:rsidRPr="00AA4C18">
              <w:t>------------------------------------------------------------------------</w:t>
            </w:r>
          </w:p>
          <w:p w14:paraId="72BB836D" w14:textId="77777777" w:rsidR="0076357A" w:rsidRPr="00AA4C18" w:rsidRDefault="0076357A" w:rsidP="0076357A">
            <w:pPr>
              <w:pStyle w:val="Odsekzoznamu"/>
              <w:widowControl/>
              <w:numPr>
                <w:ilvl w:val="0"/>
                <w:numId w:val="15"/>
              </w:numPr>
              <w:autoSpaceDE/>
              <w:autoSpaceDN/>
              <w:adjustRightInd/>
              <w:rPr>
                <w:b/>
              </w:rPr>
            </w:pPr>
            <w:r w:rsidRPr="00AA4C18">
              <w:rPr>
                <w:b/>
              </w:rPr>
              <w:t>Osobné výdavky celkom                                    616 102  eur</w:t>
            </w:r>
          </w:p>
          <w:p w14:paraId="1EADF319" w14:textId="77777777" w:rsidR="0076357A" w:rsidRPr="00AA4C18" w:rsidRDefault="0076357A" w:rsidP="0076357A">
            <w:pPr>
              <w:pStyle w:val="Odsekzoznamu"/>
            </w:pPr>
          </w:p>
          <w:p w14:paraId="1253BB5C" w14:textId="77777777" w:rsidR="0076357A" w:rsidRPr="00AA4C18" w:rsidRDefault="0076357A" w:rsidP="0076357A">
            <w:r w:rsidRPr="00AA4C18">
              <w:rPr>
                <w:b/>
              </w:rPr>
              <w:t>Rok 2024</w:t>
            </w:r>
            <w:r w:rsidRPr="00AA4C18">
              <w:t xml:space="preserve"> :</w:t>
            </w:r>
          </w:p>
          <w:p w14:paraId="31477185" w14:textId="77777777" w:rsidR="0076357A" w:rsidRPr="00AA4C18" w:rsidRDefault="0076357A" w:rsidP="0076357A">
            <w:pPr>
              <w:pStyle w:val="Odsekzoznamu"/>
              <w:widowControl/>
              <w:numPr>
                <w:ilvl w:val="0"/>
                <w:numId w:val="15"/>
              </w:numPr>
              <w:autoSpaceDE/>
              <w:autoSpaceDN/>
              <w:adjustRightInd/>
            </w:pPr>
            <w:r w:rsidRPr="00AA4C18">
              <w:t>Počet zamestnancov                                           17</w:t>
            </w:r>
          </w:p>
          <w:p w14:paraId="1CDABE88" w14:textId="77777777" w:rsidR="0076357A" w:rsidRPr="00AA4C18" w:rsidRDefault="0076357A" w:rsidP="0076357A">
            <w:pPr>
              <w:pStyle w:val="Odsekzoznamu"/>
              <w:widowControl/>
              <w:numPr>
                <w:ilvl w:val="0"/>
                <w:numId w:val="15"/>
              </w:numPr>
              <w:autoSpaceDE/>
              <w:autoSpaceDN/>
              <w:adjustRightInd/>
            </w:pPr>
            <w:r w:rsidRPr="00AA4C18">
              <w:t>Mzdové výdavky                                                417 994  eur</w:t>
            </w:r>
          </w:p>
          <w:p w14:paraId="0ECC1843" w14:textId="77777777" w:rsidR="0076357A" w:rsidRPr="00AA4C18" w:rsidRDefault="0076357A" w:rsidP="0076357A">
            <w:pPr>
              <w:pStyle w:val="Odsekzoznamu"/>
              <w:widowControl/>
              <w:numPr>
                <w:ilvl w:val="0"/>
                <w:numId w:val="15"/>
              </w:numPr>
              <w:autoSpaceDE/>
              <w:autoSpaceDN/>
              <w:adjustRightInd/>
            </w:pPr>
            <w:r w:rsidRPr="00AA4C18">
              <w:t xml:space="preserve">Poistné                                                                146 089  eur   </w:t>
            </w:r>
          </w:p>
          <w:p w14:paraId="46CB864D" w14:textId="77777777" w:rsidR="0076357A" w:rsidRPr="00AA4C18" w:rsidRDefault="0076357A" w:rsidP="0076357A">
            <w:pPr>
              <w:pStyle w:val="Odsekzoznamu"/>
              <w:widowControl/>
              <w:numPr>
                <w:ilvl w:val="0"/>
                <w:numId w:val="15"/>
              </w:numPr>
              <w:autoSpaceDE/>
              <w:autoSpaceDN/>
              <w:adjustRightInd/>
            </w:pPr>
            <w:r w:rsidRPr="00AA4C18">
              <w:t>------------------------------------------------------------------------</w:t>
            </w:r>
          </w:p>
          <w:p w14:paraId="08EC0826" w14:textId="77777777" w:rsidR="0076357A" w:rsidRPr="00AA4C18" w:rsidRDefault="0076357A" w:rsidP="0076357A">
            <w:pPr>
              <w:pStyle w:val="Odsekzoznamu"/>
              <w:widowControl/>
              <w:numPr>
                <w:ilvl w:val="0"/>
                <w:numId w:val="15"/>
              </w:numPr>
              <w:autoSpaceDE/>
              <w:autoSpaceDN/>
              <w:adjustRightInd/>
              <w:rPr>
                <w:b/>
              </w:rPr>
            </w:pPr>
            <w:r w:rsidRPr="00AA4C18">
              <w:rPr>
                <w:b/>
              </w:rPr>
              <w:t>Osobné výdavky celkom                                    564 083  eur</w:t>
            </w:r>
          </w:p>
          <w:p w14:paraId="62015AEA" w14:textId="77777777" w:rsidR="0076357A" w:rsidRPr="00AA4C18" w:rsidRDefault="0076357A" w:rsidP="0076357A">
            <w:pPr>
              <w:rPr>
                <w:b/>
              </w:rPr>
            </w:pPr>
          </w:p>
          <w:p w14:paraId="6909BD4A" w14:textId="77777777" w:rsidR="0076357A" w:rsidRPr="00AA4C18" w:rsidRDefault="0076357A" w:rsidP="0076357A"/>
          <w:p w14:paraId="35AFAA82" w14:textId="77777777" w:rsidR="0076357A" w:rsidRPr="00AA4C18" w:rsidRDefault="0076357A" w:rsidP="0076357A"/>
          <w:p w14:paraId="2F2D02E9" w14:textId="77777777" w:rsidR="0076357A" w:rsidRPr="00AA4C18" w:rsidRDefault="0076357A" w:rsidP="0076357A"/>
        </w:tc>
        <w:tc>
          <w:tcPr>
            <w:tcW w:w="1698" w:type="dxa"/>
            <w:tcBorders>
              <w:top w:val="nil"/>
              <w:left w:val="nil"/>
              <w:bottom w:val="nil"/>
              <w:right w:val="nil"/>
            </w:tcBorders>
            <w:noWrap/>
            <w:vAlign w:val="bottom"/>
          </w:tcPr>
          <w:p w14:paraId="6CD57BA2" w14:textId="77777777" w:rsidR="0076357A" w:rsidRPr="00AA4C18" w:rsidRDefault="0076357A" w:rsidP="0076357A"/>
        </w:tc>
        <w:tc>
          <w:tcPr>
            <w:tcW w:w="1788" w:type="dxa"/>
            <w:tcBorders>
              <w:top w:val="nil"/>
              <w:left w:val="nil"/>
              <w:bottom w:val="nil"/>
              <w:right w:val="nil"/>
            </w:tcBorders>
            <w:noWrap/>
            <w:vAlign w:val="bottom"/>
          </w:tcPr>
          <w:p w14:paraId="54F4F1A2" w14:textId="77777777" w:rsidR="0076357A" w:rsidRPr="00AA4C18" w:rsidRDefault="0076357A" w:rsidP="0076357A"/>
        </w:tc>
        <w:tc>
          <w:tcPr>
            <w:tcW w:w="2418" w:type="dxa"/>
            <w:gridSpan w:val="2"/>
            <w:tcBorders>
              <w:top w:val="nil"/>
              <w:left w:val="nil"/>
              <w:bottom w:val="nil"/>
              <w:right w:val="nil"/>
            </w:tcBorders>
            <w:noWrap/>
            <w:vAlign w:val="bottom"/>
          </w:tcPr>
          <w:p w14:paraId="53E6B063" w14:textId="77777777" w:rsidR="0076357A" w:rsidRPr="00AA4C18" w:rsidRDefault="0076357A" w:rsidP="0076357A"/>
        </w:tc>
        <w:tc>
          <w:tcPr>
            <w:tcW w:w="1722" w:type="dxa"/>
            <w:tcBorders>
              <w:top w:val="nil"/>
              <w:left w:val="nil"/>
              <w:bottom w:val="nil"/>
              <w:right w:val="nil"/>
            </w:tcBorders>
            <w:noWrap/>
            <w:vAlign w:val="bottom"/>
          </w:tcPr>
          <w:p w14:paraId="5409AC51" w14:textId="77777777" w:rsidR="0076357A" w:rsidRPr="00AA4C18" w:rsidRDefault="0076357A" w:rsidP="0076357A"/>
        </w:tc>
        <w:tc>
          <w:tcPr>
            <w:tcW w:w="1620" w:type="dxa"/>
            <w:gridSpan w:val="2"/>
            <w:tcBorders>
              <w:top w:val="nil"/>
              <w:left w:val="nil"/>
              <w:bottom w:val="nil"/>
              <w:right w:val="nil"/>
            </w:tcBorders>
            <w:noWrap/>
            <w:vAlign w:val="bottom"/>
          </w:tcPr>
          <w:p w14:paraId="12247DEA" w14:textId="77777777" w:rsidR="0076357A" w:rsidRPr="00AA4C18" w:rsidRDefault="0076357A" w:rsidP="0076357A"/>
        </w:tc>
      </w:tr>
      <w:tr w:rsidR="0076357A" w:rsidRPr="00AA4C18" w14:paraId="68700FA7" w14:textId="77777777" w:rsidTr="0076357A">
        <w:trPr>
          <w:trHeight w:val="255"/>
        </w:trPr>
        <w:tc>
          <w:tcPr>
            <w:tcW w:w="6188" w:type="dxa"/>
            <w:tcBorders>
              <w:top w:val="nil"/>
              <w:left w:val="nil"/>
              <w:bottom w:val="nil"/>
              <w:right w:val="nil"/>
            </w:tcBorders>
          </w:tcPr>
          <w:p w14:paraId="04C89C7D" w14:textId="77777777" w:rsidR="0076357A" w:rsidRPr="00AA4C18" w:rsidRDefault="0076357A" w:rsidP="0076357A">
            <w:pPr>
              <w:rPr>
                <w:b/>
                <w:bCs/>
              </w:rPr>
            </w:pPr>
            <w:r w:rsidRPr="00AA4C18">
              <w:rPr>
                <w:b/>
                <w:bCs/>
              </w:rPr>
              <w:t>Poznámky:</w:t>
            </w:r>
          </w:p>
        </w:tc>
        <w:tc>
          <w:tcPr>
            <w:tcW w:w="1698" w:type="dxa"/>
            <w:tcBorders>
              <w:top w:val="nil"/>
              <w:left w:val="nil"/>
              <w:bottom w:val="nil"/>
              <w:right w:val="nil"/>
            </w:tcBorders>
            <w:noWrap/>
            <w:vAlign w:val="bottom"/>
          </w:tcPr>
          <w:p w14:paraId="1F282681" w14:textId="77777777" w:rsidR="0076357A" w:rsidRPr="00AA4C18" w:rsidRDefault="0076357A" w:rsidP="0076357A"/>
        </w:tc>
        <w:tc>
          <w:tcPr>
            <w:tcW w:w="1788" w:type="dxa"/>
            <w:tcBorders>
              <w:top w:val="nil"/>
              <w:left w:val="nil"/>
              <w:bottom w:val="nil"/>
              <w:right w:val="nil"/>
            </w:tcBorders>
            <w:noWrap/>
            <w:vAlign w:val="bottom"/>
          </w:tcPr>
          <w:p w14:paraId="6259D417" w14:textId="77777777" w:rsidR="0076357A" w:rsidRPr="00AA4C18" w:rsidRDefault="0076357A" w:rsidP="0076357A"/>
        </w:tc>
        <w:tc>
          <w:tcPr>
            <w:tcW w:w="2418" w:type="dxa"/>
            <w:gridSpan w:val="2"/>
            <w:tcBorders>
              <w:top w:val="nil"/>
              <w:left w:val="nil"/>
              <w:bottom w:val="nil"/>
              <w:right w:val="nil"/>
            </w:tcBorders>
            <w:noWrap/>
            <w:vAlign w:val="bottom"/>
          </w:tcPr>
          <w:p w14:paraId="2B2A5D29" w14:textId="77777777" w:rsidR="0076357A" w:rsidRPr="00AA4C18" w:rsidRDefault="0076357A" w:rsidP="0076357A"/>
        </w:tc>
        <w:tc>
          <w:tcPr>
            <w:tcW w:w="1722" w:type="dxa"/>
            <w:tcBorders>
              <w:top w:val="nil"/>
              <w:left w:val="nil"/>
              <w:bottom w:val="nil"/>
              <w:right w:val="nil"/>
            </w:tcBorders>
            <w:noWrap/>
            <w:vAlign w:val="bottom"/>
          </w:tcPr>
          <w:p w14:paraId="1344A977" w14:textId="77777777" w:rsidR="0076357A" w:rsidRPr="00AA4C18" w:rsidRDefault="0076357A" w:rsidP="0076357A"/>
        </w:tc>
        <w:tc>
          <w:tcPr>
            <w:tcW w:w="1620" w:type="dxa"/>
            <w:gridSpan w:val="2"/>
            <w:tcBorders>
              <w:top w:val="nil"/>
              <w:left w:val="nil"/>
              <w:bottom w:val="nil"/>
              <w:right w:val="nil"/>
            </w:tcBorders>
            <w:noWrap/>
            <w:vAlign w:val="bottom"/>
          </w:tcPr>
          <w:p w14:paraId="4C25FD37" w14:textId="77777777" w:rsidR="0076357A" w:rsidRPr="00AA4C18" w:rsidRDefault="0076357A" w:rsidP="0076357A"/>
        </w:tc>
      </w:tr>
      <w:tr w:rsidR="0076357A" w:rsidRPr="00AA4C18" w14:paraId="47C00B34" w14:textId="77777777" w:rsidTr="0076357A">
        <w:trPr>
          <w:trHeight w:val="255"/>
        </w:trPr>
        <w:tc>
          <w:tcPr>
            <w:tcW w:w="13814" w:type="dxa"/>
            <w:gridSpan w:val="6"/>
            <w:tcBorders>
              <w:top w:val="nil"/>
              <w:left w:val="nil"/>
              <w:bottom w:val="nil"/>
              <w:right w:val="nil"/>
            </w:tcBorders>
            <w:noWrap/>
          </w:tcPr>
          <w:p w14:paraId="2E15705B" w14:textId="77777777" w:rsidR="0076357A" w:rsidRPr="00AA4C18" w:rsidRDefault="0076357A" w:rsidP="0076357A">
            <w:pPr>
              <w:tabs>
                <w:tab w:val="num" w:pos="1080"/>
              </w:tabs>
              <w:jc w:val="both"/>
              <w:rPr>
                <w:bCs/>
                <w:szCs w:val="20"/>
              </w:rPr>
            </w:pPr>
            <w:r w:rsidRPr="00AA4C18">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784221D" w14:textId="77777777" w:rsidR="0076357A" w:rsidRPr="00AA4C18" w:rsidRDefault="0076357A" w:rsidP="0076357A">
            <w:r w:rsidRPr="00AA4C18">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731D57D9" w14:textId="77777777" w:rsidR="0076357A" w:rsidRPr="00AA4C18" w:rsidRDefault="0076357A" w:rsidP="0076357A"/>
        </w:tc>
      </w:tr>
      <w:tr w:rsidR="0076357A" w:rsidRPr="00AA4C18" w14:paraId="587268B7" w14:textId="77777777" w:rsidTr="0076357A">
        <w:trPr>
          <w:trHeight w:val="255"/>
        </w:trPr>
        <w:tc>
          <w:tcPr>
            <w:tcW w:w="10394" w:type="dxa"/>
            <w:gridSpan w:val="4"/>
            <w:tcBorders>
              <w:top w:val="nil"/>
              <w:left w:val="nil"/>
              <w:bottom w:val="nil"/>
              <w:right w:val="nil"/>
            </w:tcBorders>
            <w:noWrap/>
            <w:vAlign w:val="bottom"/>
          </w:tcPr>
          <w:p w14:paraId="2D7AAEF8" w14:textId="77777777" w:rsidR="0076357A" w:rsidRPr="00AA4C18" w:rsidRDefault="0076357A" w:rsidP="0076357A">
            <w:r w:rsidRPr="00AA4C18">
              <w:t>Kategórie 610 a 620 sú z tejto prílohy prenášané do príslušných kategórií prílohy „výdavky“.</w:t>
            </w:r>
          </w:p>
        </w:tc>
        <w:tc>
          <w:tcPr>
            <w:tcW w:w="1698" w:type="dxa"/>
            <w:tcBorders>
              <w:top w:val="nil"/>
              <w:left w:val="nil"/>
              <w:bottom w:val="nil"/>
              <w:right w:val="nil"/>
            </w:tcBorders>
            <w:noWrap/>
            <w:vAlign w:val="bottom"/>
          </w:tcPr>
          <w:p w14:paraId="56973B35" w14:textId="77777777" w:rsidR="0076357A" w:rsidRPr="00AA4C18" w:rsidRDefault="0076357A" w:rsidP="0076357A"/>
        </w:tc>
        <w:tc>
          <w:tcPr>
            <w:tcW w:w="2352" w:type="dxa"/>
            <w:gridSpan w:val="2"/>
            <w:tcBorders>
              <w:top w:val="nil"/>
              <w:left w:val="nil"/>
              <w:bottom w:val="nil"/>
              <w:right w:val="nil"/>
            </w:tcBorders>
            <w:noWrap/>
            <w:vAlign w:val="bottom"/>
          </w:tcPr>
          <w:p w14:paraId="02C7354D" w14:textId="77777777" w:rsidR="0076357A" w:rsidRPr="00AA4C18" w:rsidRDefault="0076357A" w:rsidP="0076357A"/>
        </w:tc>
        <w:tc>
          <w:tcPr>
            <w:tcW w:w="990" w:type="dxa"/>
            <w:tcBorders>
              <w:top w:val="nil"/>
              <w:left w:val="nil"/>
              <w:bottom w:val="nil"/>
              <w:right w:val="nil"/>
            </w:tcBorders>
            <w:noWrap/>
            <w:vAlign w:val="bottom"/>
          </w:tcPr>
          <w:p w14:paraId="2F5484AB" w14:textId="77777777" w:rsidR="0076357A" w:rsidRPr="00AA4C18" w:rsidRDefault="0076357A" w:rsidP="0076357A"/>
        </w:tc>
      </w:tr>
    </w:tbl>
    <w:p w14:paraId="38282818" w14:textId="77777777" w:rsidR="0076357A" w:rsidRPr="00AA4C18" w:rsidRDefault="0076357A" w:rsidP="0076357A">
      <w:pPr>
        <w:rPr>
          <w:b/>
          <w:bCs/>
        </w:rPr>
        <w:sectPr w:rsidR="0076357A" w:rsidRPr="00AA4C18">
          <w:pgSz w:w="16838" w:h="11906" w:orient="landscape"/>
          <w:pgMar w:top="1418" w:right="1418" w:bottom="1418" w:left="1418" w:header="709" w:footer="709" w:gutter="0"/>
          <w:cols w:space="708"/>
          <w:docGrid w:linePitch="360"/>
        </w:sectPr>
      </w:pPr>
    </w:p>
    <w:tbl>
      <w:tblPr>
        <w:tblStyle w:val="Mriekatabuky"/>
        <w:tblW w:w="0" w:type="auto"/>
        <w:tblLook w:val="04A0" w:firstRow="1" w:lastRow="0" w:firstColumn="1" w:lastColumn="0" w:noHBand="0" w:noVBand="1"/>
      </w:tblPr>
      <w:tblGrid>
        <w:gridCol w:w="9062"/>
      </w:tblGrid>
      <w:tr w:rsidR="00AA4C18" w:rsidRPr="00AA4C18" w14:paraId="2B4F9DA1" w14:textId="77777777" w:rsidTr="00792C52">
        <w:trPr>
          <w:trHeight w:val="567"/>
        </w:trPr>
        <w:tc>
          <w:tcPr>
            <w:tcW w:w="9062" w:type="dxa"/>
            <w:shd w:val="clear" w:color="auto" w:fill="D9D9D9" w:themeFill="background1" w:themeFillShade="D9"/>
          </w:tcPr>
          <w:p w14:paraId="01E1E643" w14:textId="77777777" w:rsidR="00AA4C18" w:rsidRPr="00AA4C18" w:rsidRDefault="00AA4C18" w:rsidP="00792C52">
            <w:pPr>
              <w:jc w:val="center"/>
              <w:rPr>
                <w:b/>
              </w:rPr>
            </w:pPr>
            <w:r w:rsidRPr="00AA4C18">
              <w:rPr>
                <w:b/>
                <w:sz w:val="28"/>
              </w:rPr>
              <w:lastRenderedPageBreak/>
              <w:t xml:space="preserve">Analýza vplyvov na podnikateľské prostredie </w:t>
            </w:r>
          </w:p>
          <w:p w14:paraId="524B3C28" w14:textId="77777777" w:rsidR="00AA4C18" w:rsidRPr="00AA4C18" w:rsidRDefault="00AA4C18" w:rsidP="00792C52">
            <w:pPr>
              <w:jc w:val="center"/>
              <w:rPr>
                <w:b/>
              </w:rPr>
            </w:pPr>
            <w:r w:rsidRPr="00AA4C18">
              <w:rPr>
                <w:b/>
              </w:rPr>
              <w:t>(vrátane testu MSP)</w:t>
            </w:r>
          </w:p>
        </w:tc>
      </w:tr>
      <w:tr w:rsidR="00AA4C18" w:rsidRPr="00AA4C18" w14:paraId="6048FC99" w14:textId="77777777" w:rsidTr="00792C52">
        <w:trPr>
          <w:trHeight w:val="567"/>
        </w:trPr>
        <w:tc>
          <w:tcPr>
            <w:tcW w:w="9062" w:type="dxa"/>
            <w:shd w:val="clear" w:color="auto" w:fill="D9D9D9" w:themeFill="background1" w:themeFillShade="D9"/>
          </w:tcPr>
          <w:p w14:paraId="285F04D4" w14:textId="77777777" w:rsidR="00AA4C18" w:rsidRPr="00AA4C18" w:rsidRDefault="00AA4C18" w:rsidP="00792C52">
            <w:pPr>
              <w:rPr>
                <w:b/>
              </w:rPr>
            </w:pPr>
            <w:r w:rsidRPr="00AA4C18">
              <w:rPr>
                <w:b/>
              </w:rPr>
              <w:t>Materiál bude mať vplyv s ohľadom na veľkostnú kategóriu podnikov:</w:t>
            </w:r>
          </w:p>
        </w:tc>
      </w:tr>
      <w:tr w:rsidR="00AA4C18" w:rsidRPr="00AA4C18" w14:paraId="69CD96B7" w14:textId="77777777" w:rsidTr="00792C52">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90"/>
            </w:tblGrid>
            <w:tr w:rsidR="00AA4C18" w:rsidRPr="00AA4C18" w14:paraId="494DA5A8" w14:textId="77777777" w:rsidTr="00792C52">
              <w:sdt>
                <w:sdtPr>
                  <w:id w:val="43339831"/>
                  <w:showingPlcHdr/>
                </w:sdtPr>
                <w:sdtEndPr/>
                <w:sdtContent>
                  <w:tc>
                    <w:tcPr>
                      <w:tcW w:w="436" w:type="dxa"/>
                    </w:tcPr>
                    <w:p w14:paraId="6B0F73A3" w14:textId="77777777" w:rsidR="00AA4C18" w:rsidRPr="00AA4C18" w:rsidRDefault="00AA4C18" w:rsidP="00792C52">
                      <w:pPr>
                        <w:jc w:val="center"/>
                      </w:pPr>
                      <w:r w:rsidRPr="00AA4C18">
                        <w:t xml:space="preserve">     </w:t>
                      </w:r>
                    </w:p>
                  </w:tc>
                </w:sdtContent>
              </w:sdt>
              <w:tc>
                <w:tcPr>
                  <w:tcW w:w="8545" w:type="dxa"/>
                </w:tcPr>
                <w:p w14:paraId="4AD4304C" w14:textId="77777777" w:rsidR="00AA4C18" w:rsidRPr="00AA4C18" w:rsidRDefault="00AA4C18" w:rsidP="00792C52">
                  <w:pPr>
                    <w:rPr>
                      <w:b/>
                    </w:rPr>
                  </w:pPr>
                  <w:r w:rsidRPr="00AA4C18">
                    <w:rPr>
                      <w:b/>
                    </w:rPr>
                    <w:t xml:space="preserve">iba na MSP (0 - 249 zamestnancov) </w:t>
                  </w:r>
                </w:p>
              </w:tc>
            </w:tr>
            <w:tr w:rsidR="00AA4C18" w:rsidRPr="00AA4C18" w14:paraId="76FBE1C1" w14:textId="77777777" w:rsidTr="00792C52">
              <w:sdt>
                <w:sdtPr>
                  <w:id w:val="-79453833"/>
                </w:sdtPr>
                <w:sdtEndPr/>
                <w:sdtContent>
                  <w:tc>
                    <w:tcPr>
                      <w:tcW w:w="436" w:type="dxa"/>
                    </w:tcPr>
                    <w:p w14:paraId="42D8F3E6" w14:textId="77777777" w:rsidR="00AA4C18" w:rsidRPr="00AA4C18" w:rsidRDefault="00AA4C18" w:rsidP="00792C52">
                      <w:pPr>
                        <w:jc w:val="center"/>
                      </w:pPr>
                      <w:r w:rsidRPr="00AA4C18">
                        <w:rPr>
                          <w:rFonts w:eastAsia="MS Mincho" w:hAnsi="MS Mincho"/>
                        </w:rPr>
                        <w:t>☐</w:t>
                      </w:r>
                    </w:p>
                  </w:tc>
                </w:sdtContent>
              </w:sdt>
              <w:tc>
                <w:tcPr>
                  <w:tcW w:w="8545" w:type="dxa"/>
                </w:tcPr>
                <w:p w14:paraId="18119E8A" w14:textId="77777777" w:rsidR="00AA4C18" w:rsidRPr="00AA4C18" w:rsidRDefault="00AA4C18" w:rsidP="00792C52">
                  <w:pPr>
                    <w:rPr>
                      <w:b/>
                    </w:rPr>
                  </w:pPr>
                  <w:r w:rsidRPr="00AA4C18">
                    <w:rPr>
                      <w:b/>
                    </w:rPr>
                    <w:t>iba na veľké podniky (250 a viac zamestnancov)</w:t>
                  </w:r>
                </w:p>
              </w:tc>
            </w:tr>
            <w:tr w:rsidR="00AA4C18" w:rsidRPr="00AA4C18" w14:paraId="31AA3849" w14:textId="77777777" w:rsidTr="00792C52">
              <w:sdt>
                <w:sdtPr>
                  <w:id w:val="1290634502"/>
                </w:sdtPr>
                <w:sdtEndPr/>
                <w:sdtContent>
                  <w:tc>
                    <w:tcPr>
                      <w:tcW w:w="436" w:type="dxa"/>
                    </w:tcPr>
                    <w:p w14:paraId="3810B036" w14:textId="77777777" w:rsidR="00AA4C18" w:rsidRPr="00AA4C18" w:rsidRDefault="00AA4C18" w:rsidP="00792C52">
                      <w:pPr>
                        <w:jc w:val="center"/>
                      </w:pPr>
                      <w:r w:rsidRPr="00AA4C18">
                        <w:rPr>
                          <w:rFonts w:eastAsia="MS Mincho"/>
                        </w:rPr>
                        <w:t>x</w:t>
                      </w:r>
                    </w:p>
                  </w:tc>
                </w:sdtContent>
              </w:sdt>
              <w:tc>
                <w:tcPr>
                  <w:tcW w:w="8545" w:type="dxa"/>
                </w:tcPr>
                <w:p w14:paraId="7344CE46" w14:textId="77777777" w:rsidR="00AA4C18" w:rsidRPr="00AA4C18" w:rsidRDefault="00AA4C18" w:rsidP="00792C52">
                  <w:r w:rsidRPr="00AA4C18">
                    <w:rPr>
                      <w:b/>
                    </w:rPr>
                    <w:t>na všetky kategórie podnikov</w:t>
                  </w:r>
                </w:p>
              </w:tc>
            </w:tr>
          </w:tbl>
          <w:p w14:paraId="6A3E0EE0" w14:textId="77777777" w:rsidR="00AA4C18" w:rsidRPr="00AA4C18" w:rsidRDefault="00AA4C18" w:rsidP="00792C52">
            <w:pPr>
              <w:rPr>
                <w:b/>
              </w:rPr>
            </w:pPr>
          </w:p>
        </w:tc>
      </w:tr>
      <w:tr w:rsidR="00AA4C18" w:rsidRPr="00AA4C18" w14:paraId="3B06A3DE" w14:textId="77777777" w:rsidTr="00792C52">
        <w:tc>
          <w:tcPr>
            <w:tcW w:w="9062" w:type="dxa"/>
            <w:shd w:val="clear" w:color="auto" w:fill="D9D9D9" w:themeFill="background1" w:themeFillShade="D9"/>
          </w:tcPr>
          <w:p w14:paraId="0F1BE78A" w14:textId="77777777" w:rsidR="00AA4C18" w:rsidRPr="00AA4C18" w:rsidRDefault="00AA4C18" w:rsidP="00792C52">
            <w:pPr>
              <w:rPr>
                <w:b/>
              </w:rPr>
            </w:pPr>
            <w:r w:rsidRPr="00AA4C18">
              <w:rPr>
                <w:b/>
              </w:rPr>
              <w:t>3.1 Dotknuté podnikateľské subjekty</w:t>
            </w:r>
          </w:p>
          <w:p w14:paraId="3C8E52AE" w14:textId="77777777" w:rsidR="00AA4C18" w:rsidRPr="00AA4C18" w:rsidRDefault="00AA4C18" w:rsidP="00792C52">
            <w:pPr>
              <w:ind w:left="284"/>
              <w:rPr>
                <w:b/>
              </w:rPr>
            </w:pPr>
            <w:r w:rsidRPr="00AA4C18">
              <w:t xml:space="preserve"> - </w:t>
            </w:r>
            <w:r w:rsidRPr="00AA4C18">
              <w:rPr>
                <w:b/>
              </w:rPr>
              <w:t>z toho MSP</w:t>
            </w:r>
          </w:p>
        </w:tc>
      </w:tr>
      <w:tr w:rsidR="00AA4C18" w:rsidRPr="00AA4C18" w14:paraId="6BB7C2F2" w14:textId="77777777" w:rsidTr="00792C52">
        <w:tc>
          <w:tcPr>
            <w:tcW w:w="9062" w:type="dxa"/>
            <w:tcBorders>
              <w:bottom w:val="single" w:sz="4" w:space="0" w:color="auto"/>
            </w:tcBorders>
          </w:tcPr>
          <w:p w14:paraId="08C96081" w14:textId="77777777" w:rsidR="00AA4C18" w:rsidRPr="00AA4C18" w:rsidRDefault="00AA4C18" w:rsidP="00792C52">
            <w:pPr>
              <w:jc w:val="both"/>
              <w:rPr>
                <w:i/>
              </w:rPr>
            </w:pPr>
            <w:r w:rsidRPr="00AA4C18">
              <w:rPr>
                <w:i/>
              </w:rPr>
              <w:t>Uveďte, aké podnikateľské subjekty budú predkladaným návrhom ovplyvnené.</w:t>
            </w:r>
          </w:p>
          <w:p w14:paraId="3087FB13" w14:textId="77777777" w:rsidR="00AA4C18" w:rsidRPr="00AA4C18" w:rsidRDefault="00AA4C18" w:rsidP="00792C52">
            <w:pPr>
              <w:jc w:val="both"/>
              <w:rPr>
                <w:i/>
              </w:rPr>
            </w:pPr>
            <w:r w:rsidRPr="00AA4C18">
              <w:rPr>
                <w:i/>
              </w:rPr>
              <w:t>Aký je ich počet?</w:t>
            </w:r>
          </w:p>
        </w:tc>
      </w:tr>
      <w:tr w:rsidR="00AA4C18" w:rsidRPr="00AA4C18" w14:paraId="3438CBB0" w14:textId="77777777" w:rsidTr="00792C52">
        <w:trPr>
          <w:trHeight w:val="1440"/>
        </w:trPr>
        <w:tc>
          <w:tcPr>
            <w:tcW w:w="9062" w:type="dxa"/>
            <w:tcBorders>
              <w:bottom w:val="single" w:sz="4" w:space="0" w:color="auto"/>
            </w:tcBorders>
          </w:tcPr>
          <w:p w14:paraId="03BE9CDA" w14:textId="77777777" w:rsidR="00AA4C18" w:rsidRPr="00AA4C18" w:rsidRDefault="00AA4C18" w:rsidP="00792C52">
            <w:pPr>
              <w:pStyle w:val="Odsekzoznamu"/>
              <w:ind w:left="0"/>
              <w:jc w:val="both"/>
              <w:rPr>
                <w:sz w:val="20"/>
                <w:szCs w:val="20"/>
              </w:rPr>
            </w:pPr>
            <w:r w:rsidRPr="00AA4C18">
              <w:rPr>
                <w:sz w:val="20"/>
                <w:szCs w:val="20"/>
              </w:rPr>
              <w:t>Negatívne vplyvy bude mať navrhovaný zákon iba na MSP, a to na tieto konkrétne subjekty:</w:t>
            </w:r>
          </w:p>
          <w:p w14:paraId="42941011" w14:textId="77777777" w:rsidR="00AA4C18" w:rsidRPr="00AA4C18" w:rsidRDefault="00AA4C18" w:rsidP="00AA4C18">
            <w:pPr>
              <w:pStyle w:val="Odsekzoznamu"/>
              <w:widowControl/>
              <w:numPr>
                <w:ilvl w:val="0"/>
                <w:numId w:val="18"/>
              </w:numPr>
              <w:autoSpaceDE/>
              <w:autoSpaceDN/>
              <w:adjustRightInd/>
              <w:spacing w:after="200" w:line="276" w:lineRule="auto"/>
              <w:jc w:val="both"/>
              <w:rPr>
                <w:sz w:val="20"/>
                <w:szCs w:val="20"/>
              </w:rPr>
            </w:pPr>
            <w:r w:rsidRPr="00AA4C18">
              <w:rPr>
                <w:sz w:val="20"/>
                <w:szCs w:val="20"/>
              </w:rPr>
              <w:t>správcovia podľa zákona Národnej rady Slovenskej republiky č. 182/1993 Zb. o vlastníctve bytov a nebytových priestorov v znení neskorších predpisov -  ich počet je podľa Zoznamu správcov bytových domov vedenom Ministerstvom dopravy a výstavby Slovenskej republiky 613,</w:t>
            </w:r>
          </w:p>
          <w:p w14:paraId="453930D8" w14:textId="77777777" w:rsidR="00AA4C18" w:rsidRPr="00AA4C18" w:rsidRDefault="00AA4C18" w:rsidP="00AA4C18">
            <w:pPr>
              <w:pStyle w:val="Odsekzoznamu"/>
              <w:widowControl/>
              <w:numPr>
                <w:ilvl w:val="0"/>
                <w:numId w:val="18"/>
              </w:numPr>
              <w:autoSpaceDE/>
              <w:autoSpaceDN/>
              <w:adjustRightInd/>
              <w:spacing w:after="200" w:line="276" w:lineRule="auto"/>
              <w:jc w:val="both"/>
              <w:rPr>
                <w:sz w:val="20"/>
                <w:szCs w:val="20"/>
              </w:rPr>
            </w:pPr>
            <w:r w:rsidRPr="00AA4C18">
              <w:rPr>
                <w:sz w:val="20"/>
                <w:szCs w:val="20"/>
              </w:rPr>
              <w:t>zariadenia, podľa § 3 písm. j) návrhu zákona, ak jeho zakladateľom alebo zriaďovateľom je podnikateľ – ide o minimálny počet zariadení, keďže zriaďovateľom väčšiny z nich je štát, obec, vyšší územný celok, nezisková organizácia alebo nadácia, konkrétne z celkového počtu zariadení je zriadených podnikateľom (fyzickou osobou alebo právnickou osobou) 45 zariadení z celkového počtu 1795 zariadení (podľa údajov poskytnutých z Centrálneho registra sociálnych služieb).</w:t>
            </w:r>
          </w:p>
          <w:p w14:paraId="3E13B20D" w14:textId="77777777" w:rsidR="00AA4C18" w:rsidRPr="00AA4C18" w:rsidRDefault="00AA4C18" w:rsidP="00792C52">
            <w:pPr>
              <w:pStyle w:val="Odsekzoznamu"/>
              <w:ind w:left="1080"/>
              <w:jc w:val="both"/>
              <w:rPr>
                <w:sz w:val="20"/>
                <w:szCs w:val="20"/>
              </w:rPr>
            </w:pPr>
          </w:p>
          <w:p w14:paraId="14A25F90" w14:textId="77777777" w:rsidR="00AA4C18" w:rsidRPr="00AA4C18" w:rsidRDefault="00AA4C18" w:rsidP="00792C52">
            <w:pPr>
              <w:pStyle w:val="Odsekzoznamu"/>
              <w:ind w:left="0"/>
              <w:jc w:val="both"/>
            </w:pPr>
            <w:r w:rsidRPr="00AA4C18">
              <w:rPr>
                <w:sz w:val="20"/>
                <w:szCs w:val="20"/>
              </w:rPr>
              <w:t>Pozitívne vplyvy bude mať návrh zákona na všetky kategórie podnikov, keďže na jeho základe získajú nenahraditeľný a cenný zdroj údajov, ktoré môžu využiť vo svojej podnikateľskej činnosti. Pôjde jednak o výsledky sčítania, ktoré sa zverejnia na webovom sídle Štatistického úradu Slovenskej republiky (ďalej len „úrad“), ale zákon zavádza aj možnosť uzatvoriť dohodu s úradom, na základe ktorej môže úrad poskytnúť tretej osobe aj ďalšie výstupy zo sčítania, ktoré úrad získal vytvorením, spracovaním alebo sumarizáciou údajov získaných sčítaním, s výnimkou dôverných štatistických údajov, za dohodnutú cenu.  Spoľahlivá a dôveryhodná štátna štatistika má nezastupiteľné miesto pri tvorbe, realizácii a aktualizácii programov zabezpečujúcich rozvoj štátneho ale aj súkromného sektora. Prostredníctvom sčítania získajú podnikatelia vzájomne prepojené, spoľahlivé, porovnateľné, unikátne údaje a informácie o stave spoločnosti, o jej demografických, sociálno-ekonomických a kultúrnych štruktúrach, o životných podmienkach obyvateľov a bývaní a mnohé ďalšie.</w:t>
            </w:r>
          </w:p>
        </w:tc>
      </w:tr>
      <w:tr w:rsidR="00AA4C18" w:rsidRPr="00AA4C18" w14:paraId="7DC8C3FA" w14:textId="77777777" w:rsidTr="00792C52">
        <w:trPr>
          <w:trHeight w:val="339"/>
        </w:trPr>
        <w:tc>
          <w:tcPr>
            <w:tcW w:w="9062" w:type="dxa"/>
            <w:tcBorders>
              <w:bottom w:val="single" w:sz="4" w:space="0" w:color="auto"/>
            </w:tcBorders>
            <w:shd w:val="clear" w:color="auto" w:fill="D9D9D9" w:themeFill="background1" w:themeFillShade="D9"/>
          </w:tcPr>
          <w:p w14:paraId="01EAF782" w14:textId="77777777" w:rsidR="00AA4C18" w:rsidRPr="00AA4C18" w:rsidRDefault="00AA4C18" w:rsidP="00792C52">
            <w:pPr>
              <w:rPr>
                <w:b/>
              </w:rPr>
            </w:pPr>
            <w:r w:rsidRPr="00AA4C18">
              <w:rPr>
                <w:b/>
              </w:rPr>
              <w:t>3.2 Vyhodnotenie konzultácií</w:t>
            </w:r>
          </w:p>
          <w:p w14:paraId="2E25DE2A" w14:textId="77777777" w:rsidR="00AA4C18" w:rsidRPr="00AA4C18" w:rsidRDefault="00AA4C18" w:rsidP="00792C52">
            <w:pPr>
              <w:rPr>
                <w:b/>
              </w:rPr>
            </w:pPr>
            <w:r w:rsidRPr="00AA4C18">
              <w:t xml:space="preserve">       - </w:t>
            </w:r>
            <w:r w:rsidRPr="00AA4C18">
              <w:rPr>
                <w:b/>
              </w:rPr>
              <w:t>z toho MSP</w:t>
            </w:r>
          </w:p>
        </w:tc>
      </w:tr>
      <w:tr w:rsidR="00AA4C18" w:rsidRPr="00AA4C18" w14:paraId="3DFA433C" w14:textId="77777777" w:rsidTr="00792C52">
        <w:trPr>
          <w:trHeight w:val="557"/>
        </w:trPr>
        <w:tc>
          <w:tcPr>
            <w:tcW w:w="9062" w:type="dxa"/>
            <w:tcBorders>
              <w:bottom w:val="single" w:sz="4" w:space="0" w:color="auto"/>
            </w:tcBorders>
          </w:tcPr>
          <w:p w14:paraId="1A13530C" w14:textId="77777777" w:rsidR="00AA4C18" w:rsidRPr="00AA4C18" w:rsidRDefault="00AA4C18" w:rsidP="00792C52">
            <w:pPr>
              <w:rPr>
                <w:i/>
              </w:rPr>
            </w:pPr>
            <w:r w:rsidRPr="00AA4C18">
              <w:rPr>
                <w:i/>
              </w:rPr>
              <w:t>Uveďte, akou formou (verejné alebo cielené konzultácie a prečo) a s kým bol návrh konzultovaný.</w:t>
            </w:r>
          </w:p>
          <w:p w14:paraId="7265A555" w14:textId="77777777" w:rsidR="00AA4C18" w:rsidRPr="00AA4C18" w:rsidRDefault="00AA4C18" w:rsidP="00792C52">
            <w:pPr>
              <w:rPr>
                <w:i/>
              </w:rPr>
            </w:pPr>
            <w:r w:rsidRPr="00AA4C18">
              <w:rPr>
                <w:i/>
              </w:rPr>
              <w:t>Ako dlho trvali konzultácie?</w:t>
            </w:r>
          </w:p>
          <w:p w14:paraId="4084B400" w14:textId="77777777" w:rsidR="00AA4C18" w:rsidRPr="00AA4C18" w:rsidRDefault="00AA4C18" w:rsidP="00792C52">
            <w:pPr>
              <w:rPr>
                <w:i/>
              </w:rPr>
            </w:pPr>
            <w:r w:rsidRPr="00AA4C18">
              <w:rPr>
                <w:i/>
              </w:rPr>
              <w:t xml:space="preserve">Uveďte hlavné body konzultácií a výsledky konzultácií. </w:t>
            </w:r>
          </w:p>
        </w:tc>
      </w:tr>
      <w:tr w:rsidR="00AA4C18" w:rsidRPr="00AA4C18" w14:paraId="060BF767" w14:textId="77777777" w:rsidTr="00792C52">
        <w:trPr>
          <w:trHeight w:val="1440"/>
        </w:trPr>
        <w:tc>
          <w:tcPr>
            <w:tcW w:w="9062" w:type="dxa"/>
            <w:tcBorders>
              <w:bottom w:val="single" w:sz="4" w:space="0" w:color="auto"/>
            </w:tcBorders>
          </w:tcPr>
          <w:p w14:paraId="44F22977" w14:textId="77777777" w:rsidR="00AA4C18" w:rsidRPr="00AA4C18" w:rsidRDefault="00AA4C18" w:rsidP="00792C52">
            <w:pPr>
              <w:rPr>
                <w:i/>
              </w:rPr>
            </w:pPr>
          </w:p>
          <w:p w14:paraId="192D9DD0" w14:textId="77777777" w:rsidR="00AA4C18" w:rsidRPr="00AA4C18" w:rsidRDefault="00AA4C18" w:rsidP="00792C52">
            <w:r w:rsidRPr="00AA4C18">
              <w:t>Vzhľadom na to, že žiaden z podnikateľských subjektov, ktoré boli zo strany MH SR oslovené neprejavil záujem zúčastniť sa konzultácií, MH SR rozhodlo, že nie je potrebné vykonať konzultácie k predmetným materiálom.</w:t>
            </w:r>
          </w:p>
        </w:tc>
      </w:tr>
      <w:tr w:rsidR="00AA4C18" w:rsidRPr="00AA4C18" w14:paraId="1E0ACD5D" w14:textId="77777777" w:rsidTr="00792C52">
        <w:tc>
          <w:tcPr>
            <w:tcW w:w="9062" w:type="dxa"/>
            <w:shd w:val="clear" w:color="auto" w:fill="D9D9D9" w:themeFill="background1" w:themeFillShade="D9"/>
          </w:tcPr>
          <w:p w14:paraId="141EDECC" w14:textId="77777777" w:rsidR="00AA4C18" w:rsidRPr="00AA4C18" w:rsidRDefault="00AA4C18" w:rsidP="00792C52">
            <w:pPr>
              <w:rPr>
                <w:b/>
              </w:rPr>
            </w:pPr>
            <w:r w:rsidRPr="00AA4C18">
              <w:rPr>
                <w:b/>
              </w:rPr>
              <w:t>3.3 Náklady regulácie</w:t>
            </w:r>
          </w:p>
          <w:p w14:paraId="7F55EA4F" w14:textId="77777777" w:rsidR="00AA4C18" w:rsidRPr="00AA4C18" w:rsidRDefault="00AA4C18" w:rsidP="00792C52">
            <w:pPr>
              <w:rPr>
                <w:b/>
              </w:rPr>
            </w:pPr>
            <w:r w:rsidRPr="00AA4C18">
              <w:t xml:space="preserve">      - </w:t>
            </w:r>
            <w:r w:rsidRPr="00AA4C18">
              <w:rPr>
                <w:b/>
              </w:rPr>
              <w:t>z toho MSP</w:t>
            </w:r>
          </w:p>
        </w:tc>
      </w:tr>
      <w:tr w:rsidR="00AA4C18" w:rsidRPr="00AA4C18" w14:paraId="729B1AC6" w14:textId="77777777" w:rsidTr="00792C52">
        <w:tc>
          <w:tcPr>
            <w:tcW w:w="9062" w:type="dxa"/>
            <w:tcBorders>
              <w:bottom w:val="single" w:sz="4" w:space="0" w:color="auto"/>
            </w:tcBorders>
          </w:tcPr>
          <w:p w14:paraId="1F753B95" w14:textId="77777777" w:rsidR="00AA4C18" w:rsidRPr="00AA4C18" w:rsidRDefault="00AA4C18" w:rsidP="00792C52">
            <w:pPr>
              <w:rPr>
                <w:b/>
                <w:i/>
              </w:rPr>
            </w:pPr>
            <w:r w:rsidRPr="00AA4C18">
              <w:rPr>
                <w:b/>
                <w:i/>
              </w:rPr>
              <w:t>3.3.1 Priame finančné náklady</w:t>
            </w:r>
          </w:p>
          <w:p w14:paraId="6F7B91F3" w14:textId="77777777" w:rsidR="00AA4C18" w:rsidRPr="00AA4C18" w:rsidRDefault="00AA4C18" w:rsidP="00792C52">
            <w:pPr>
              <w:rPr>
                <w:i/>
              </w:rPr>
            </w:pPr>
            <w:r w:rsidRPr="00AA4C18">
              <w:rPr>
                <w:i/>
              </w:rPr>
              <w:t xml:space="preserve">Dochádza k zvýšeniu/zníženiu priamych finančných nákladov (poplatky, odvody, dane clá...)? Ak áno, popíšte a vyčíslite ich. Uveďte tiež spôsob ich výpočtu. </w:t>
            </w:r>
          </w:p>
        </w:tc>
      </w:tr>
      <w:tr w:rsidR="00AA4C18" w:rsidRPr="00AA4C18" w14:paraId="0849AD56" w14:textId="77777777" w:rsidTr="00792C52">
        <w:tc>
          <w:tcPr>
            <w:tcW w:w="9062" w:type="dxa"/>
            <w:tcBorders>
              <w:bottom w:val="single" w:sz="4" w:space="0" w:color="auto"/>
            </w:tcBorders>
          </w:tcPr>
          <w:p w14:paraId="435F15BD" w14:textId="77777777" w:rsidR="00AA4C18" w:rsidRPr="00AA4C18" w:rsidRDefault="00AA4C18" w:rsidP="00792C52"/>
          <w:p w14:paraId="31D1DE96" w14:textId="77777777" w:rsidR="00AA4C18" w:rsidRPr="00AA4C18" w:rsidRDefault="00AA4C18" w:rsidP="00792C52"/>
          <w:p w14:paraId="5B54DBAF" w14:textId="77777777" w:rsidR="00AA4C18" w:rsidRPr="00AA4C18" w:rsidRDefault="00AA4C18" w:rsidP="00792C52">
            <w:r w:rsidRPr="00AA4C18">
              <w:t>Návrh zákona nepredpokladá vznik priamych finančných nákladov pre podnikateľov.</w:t>
            </w:r>
          </w:p>
          <w:p w14:paraId="617CB571" w14:textId="77777777" w:rsidR="00AA4C18" w:rsidRPr="00AA4C18" w:rsidRDefault="00AA4C18" w:rsidP="00792C52"/>
        </w:tc>
      </w:tr>
    </w:tbl>
    <w:p w14:paraId="0D8B6455" w14:textId="77777777" w:rsidR="00AA4C18" w:rsidRPr="00AA4C18" w:rsidRDefault="00AA4C18" w:rsidP="00AA4C18"/>
    <w:p w14:paraId="3794CB2D" w14:textId="77777777" w:rsidR="00AA4C18" w:rsidRPr="00AA4C18" w:rsidRDefault="00AA4C18" w:rsidP="00AA4C18"/>
    <w:tbl>
      <w:tblPr>
        <w:tblStyle w:val="Mriekatabuky"/>
        <w:tblW w:w="0" w:type="auto"/>
        <w:tblLook w:val="04A0" w:firstRow="1" w:lastRow="0" w:firstColumn="1" w:lastColumn="0" w:noHBand="0" w:noVBand="1"/>
      </w:tblPr>
      <w:tblGrid>
        <w:gridCol w:w="9062"/>
      </w:tblGrid>
      <w:tr w:rsidR="00AA4C18" w:rsidRPr="00AA4C18" w14:paraId="6C9DABD4" w14:textId="77777777" w:rsidTr="00792C52">
        <w:tc>
          <w:tcPr>
            <w:tcW w:w="9062" w:type="dxa"/>
            <w:tcBorders>
              <w:bottom w:val="single" w:sz="4" w:space="0" w:color="auto"/>
            </w:tcBorders>
          </w:tcPr>
          <w:p w14:paraId="62433CF6" w14:textId="77777777" w:rsidR="00AA4C18" w:rsidRPr="00AA4C18" w:rsidRDefault="00AA4C18" w:rsidP="00792C52">
            <w:pPr>
              <w:rPr>
                <w:b/>
                <w:i/>
              </w:rPr>
            </w:pPr>
            <w:r w:rsidRPr="00AA4C18">
              <w:rPr>
                <w:b/>
                <w:i/>
              </w:rPr>
              <w:t>3.3.2 Nepriame finančné náklady</w:t>
            </w:r>
          </w:p>
          <w:p w14:paraId="48868B60" w14:textId="77777777" w:rsidR="00AA4C18" w:rsidRPr="00AA4C18" w:rsidRDefault="00AA4C18" w:rsidP="00792C52">
            <w:pPr>
              <w:rPr>
                <w:i/>
              </w:rPr>
            </w:pPr>
            <w:r w:rsidRPr="00AA4C18">
              <w:rPr>
                <w:i/>
              </w:rPr>
              <w:t>Vyžaduje si predkladaný návrh dodatočné náklady na nákup tovarov alebo služieb? Zvyšuje predkladaný návrh náklady súvisiace so zamestnávaním? Ak áno, popíšte a vyčíslite ich. Uveďte tiež spôsob ich výpočtu.</w:t>
            </w:r>
          </w:p>
        </w:tc>
      </w:tr>
      <w:tr w:rsidR="00AA4C18" w:rsidRPr="00AA4C18" w14:paraId="6D30EB4F" w14:textId="77777777" w:rsidTr="00792C52">
        <w:tc>
          <w:tcPr>
            <w:tcW w:w="9062" w:type="dxa"/>
            <w:tcBorders>
              <w:bottom w:val="single" w:sz="4" w:space="0" w:color="auto"/>
            </w:tcBorders>
          </w:tcPr>
          <w:p w14:paraId="77D5C891" w14:textId="77777777" w:rsidR="00AA4C18" w:rsidRPr="00AA4C18" w:rsidRDefault="00AA4C18" w:rsidP="00792C52">
            <w:pPr>
              <w:rPr>
                <w:b/>
                <w:i/>
              </w:rPr>
            </w:pPr>
          </w:p>
          <w:p w14:paraId="5F7C59E3" w14:textId="77777777" w:rsidR="00AA4C18" w:rsidRPr="00AA4C18" w:rsidRDefault="00AA4C18" w:rsidP="00792C52">
            <w:r w:rsidRPr="00AA4C18">
              <w:t>Návrh zákona nepredpokladá vznik nepriamych finančných nákladov pre podnikateľov.</w:t>
            </w:r>
          </w:p>
          <w:p w14:paraId="40913301" w14:textId="77777777" w:rsidR="00AA4C18" w:rsidRPr="00AA4C18" w:rsidRDefault="00AA4C18" w:rsidP="00792C52">
            <w:pPr>
              <w:rPr>
                <w:b/>
                <w:i/>
              </w:rPr>
            </w:pPr>
          </w:p>
          <w:p w14:paraId="1D5E8987" w14:textId="77777777" w:rsidR="00AA4C18" w:rsidRPr="00AA4C18" w:rsidRDefault="00AA4C18" w:rsidP="00792C52">
            <w:pPr>
              <w:rPr>
                <w:b/>
                <w:i/>
              </w:rPr>
            </w:pPr>
          </w:p>
          <w:p w14:paraId="4ECEC38E" w14:textId="77777777" w:rsidR="00AA4C18" w:rsidRPr="00AA4C18" w:rsidRDefault="00AA4C18" w:rsidP="00792C52">
            <w:pPr>
              <w:rPr>
                <w:b/>
                <w:i/>
              </w:rPr>
            </w:pPr>
          </w:p>
        </w:tc>
      </w:tr>
      <w:tr w:rsidR="00AA4C18" w:rsidRPr="00AA4C18" w14:paraId="56E64A1D" w14:textId="77777777" w:rsidTr="00792C52">
        <w:tc>
          <w:tcPr>
            <w:tcW w:w="9062" w:type="dxa"/>
            <w:tcBorders>
              <w:bottom w:val="single" w:sz="4" w:space="0" w:color="auto"/>
            </w:tcBorders>
          </w:tcPr>
          <w:p w14:paraId="08C035E8" w14:textId="77777777" w:rsidR="00AA4C18" w:rsidRPr="00AA4C18" w:rsidRDefault="00AA4C18" w:rsidP="00792C52">
            <w:pPr>
              <w:rPr>
                <w:b/>
                <w:i/>
              </w:rPr>
            </w:pPr>
            <w:r w:rsidRPr="00AA4C18">
              <w:rPr>
                <w:b/>
                <w:i/>
              </w:rPr>
              <w:t>3.3.3 Administratívne náklady</w:t>
            </w:r>
          </w:p>
          <w:p w14:paraId="50E0B0AA" w14:textId="77777777" w:rsidR="00AA4C18" w:rsidRPr="00AA4C18" w:rsidRDefault="00AA4C18" w:rsidP="00792C52">
            <w:pPr>
              <w:rPr>
                <w:i/>
              </w:rPr>
            </w:pPr>
            <w:r w:rsidRPr="00AA4C18">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A4C18" w:rsidRPr="00AA4C18" w14:paraId="1A8616DD" w14:textId="77777777" w:rsidTr="00792C52">
        <w:tc>
          <w:tcPr>
            <w:tcW w:w="9062" w:type="dxa"/>
            <w:tcBorders>
              <w:bottom w:val="single" w:sz="4" w:space="0" w:color="auto"/>
            </w:tcBorders>
          </w:tcPr>
          <w:p w14:paraId="5BB62B00" w14:textId="77777777" w:rsidR="00AA4C18" w:rsidRPr="00AA4C18" w:rsidRDefault="00AA4C18" w:rsidP="00792C52">
            <w:pPr>
              <w:rPr>
                <w:b/>
                <w:i/>
              </w:rPr>
            </w:pPr>
          </w:p>
          <w:p w14:paraId="769C917D" w14:textId="77777777" w:rsidR="00AA4C18" w:rsidRPr="00AA4C18" w:rsidRDefault="00AA4C18" w:rsidP="00792C52">
            <w:pPr>
              <w:jc w:val="both"/>
            </w:pPr>
            <w:r w:rsidRPr="00AA4C18">
              <w:t xml:space="preserve">Zavádza sa povinnosť správcov poskytnúť obci údaje o domoch a bytoch, ktoré spravujú, za účelom sčítania domov a bytov, no iba v tých prípadoch, ak obec nedisponuje všetkými údajmi potrebnými pre sčítanie domov a bytov z inej svojej činnosti. Správca si túto povinnosť splní na základe žiadosti obce do 60 dní od jej doručenia. </w:t>
            </w:r>
          </w:p>
          <w:p w14:paraId="6F86573A" w14:textId="77777777" w:rsidR="00AA4C18" w:rsidRPr="00AA4C18" w:rsidRDefault="00AA4C18" w:rsidP="00792C52">
            <w:pPr>
              <w:jc w:val="both"/>
            </w:pPr>
          </w:p>
          <w:p w14:paraId="0FCD3ECA" w14:textId="77777777" w:rsidR="00AA4C18" w:rsidRPr="00AA4C18" w:rsidRDefault="00AA4C18" w:rsidP="00792C52">
            <w:pPr>
              <w:jc w:val="both"/>
            </w:pPr>
            <w:r w:rsidRPr="00AA4C18">
              <w:t xml:space="preserve">Kvantifikovať celkové administratívne náklady nie je presne možné. Podľa zoznamu správcov bytových domov vedenom Ministerstvom dopravy a výstavby Slovenskej republiky pôsobí na Slovensku 613 správcov (v čase predkladania materiálu), avšak register neuvádza, koľko bytových domov títo správcovia spravujú a koľko bytov sa v nich nachádza. Zároveň treba vziať do úvahy, že údaje nebudú vyžadované od každého podnikateľského subjektu vykonávajúceho správu bytového domu a nebudú vyžadované všetky údaje potrebné pre sčítanie domov a bytov, pretože  pôjde len o prípady, ak obec nedisponuje potrebnými údajmi. Vo väčšine prípadov sa predpokladá, že obec údajmi disponuje napr. z dôvodu vyrubenia dane z nehnuteľnosti. Odhadovaný čas na vyplnenie jedného úplného formuláru pre sčítanie domov a bytov je 25 minút. </w:t>
            </w:r>
          </w:p>
          <w:p w14:paraId="4FEE8274" w14:textId="77777777" w:rsidR="00AA4C18" w:rsidRPr="00AA4C18" w:rsidRDefault="00AA4C18" w:rsidP="00792C52">
            <w:pPr>
              <w:jc w:val="both"/>
            </w:pPr>
          </w:p>
          <w:p w14:paraId="0C0F8964" w14:textId="77777777" w:rsidR="00AA4C18" w:rsidRPr="00AA4C18" w:rsidRDefault="00AA4C18" w:rsidP="00792C52">
            <w:pPr>
              <w:jc w:val="both"/>
            </w:pPr>
            <w:r w:rsidRPr="00AA4C18">
              <w:t>Za porušenie povinnosti poskytnúť údaje o domoch a bytoch, ktoré správca spravuje bude možné uložiť správcovi pokutu. Sadzba pokuty sa navrhuje od 250 do 1500 EUR.</w:t>
            </w:r>
          </w:p>
          <w:p w14:paraId="4B166E5C" w14:textId="77777777" w:rsidR="00AA4C18" w:rsidRPr="00AA4C18" w:rsidRDefault="00AA4C18" w:rsidP="00792C52">
            <w:pPr>
              <w:jc w:val="both"/>
            </w:pPr>
          </w:p>
          <w:p w14:paraId="36949FA1" w14:textId="77777777" w:rsidR="00AA4C18" w:rsidRPr="00AA4C18" w:rsidRDefault="00AA4C18" w:rsidP="00792C52">
            <w:pPr>
              <w:pStyle w:val="Standard"/>
              <w:jc w:val="both"/>
              <w:rPr>
                <w:rFonts w:ascii="Times New Roman" w:hAnsi="Times New Roman" w:cs="Times New Roman"/>
                <w:sz w:val="20"/>
                <w:szCs w:val="20"/>
              </w:rPr>
            </w:pPr>
            <w:r w:rsidRPr="00AA4C18">
              <w:rPr>
                <w:rFonts w:ascii="Times New Roman" w:hAnsi="Times New Roman" w:cs="Times New Roman"/>
                <w:sz w:val="20"/>
                <w:szCs w:val="20"/>
              </w:rPr>
              <w:t xml:space="preserve">Zavádzajú sa taktiež povinnosti pre zakladateľa zariadenia, zriaďovateľa zariadenia alebo štatutárny orgán zariadenia (ďalej aj ako „osoba zodpovedná za zariadenie“) za účelom sčítania obyvateľov. Osoba zodpovedná za zariadenie je povinná osoby ubytované v zariadení počas doby sčítania informovať o tom, že prebieha sčítanie a že majú povinnosť vyplniť formulár pre sčítanie obyvateľov, zároveň je povinná vytvoriť im v rámci ich denného programu na to časový priestor a umožniť, aby im v prípade potreby pomohol asistent sčítania. Taktiež je osoba zodpovedná za zariadenie sama povinná poskytnúť potrebné údaje asistentovi sčítania a tiež poskytnúť údaje o tých obyvateľoch, ktorí sami nie sú schopní splniť si svoju povinnosť sčítať sa, samozrejme povinnosť sa vzťahuje len na tie zo zisťovaných údajov, ktoré má osoba zodpovedná za zariadenie počas doby sčítania k dispozícii, t. z. poskytol mu ich samotný obyvateľ alebo jeho zákonný zástupca. Osoba zodpovedná za zariadenie má tiež povinnosť uchovávať údaje o obyvateľoch, ktorí boli v zariadení ubytovaní k rozhodujúcemu okamihu sčítania, </w:t>
            </w:r>
            <w:proofErr w:type="spellStart"/>
            <w:r w:rsidRPr="00AA4C18">
              <w:rPr>
                <w:rFonts w:ascii="Times New Roman" w:hAnsi="Times New Roman" w:cs="Times New Roman"/>
                <w:sz w:val="20"/>
                <w:szCs w:val="20"/>
              </w:rPr>
              <w:t>t.j</w:t>
            </w:r>
            <w:proofErr w:type="spellEnd"/>
            <w:r w:rsidRPr="00AA4C18">
              <w:rPr>
                <w:rFonts w:ascii="Times New Roman" w:hAnsi="Times New Roman" w:cs="Times New Roman"/>
                <w:sz w:val="20"/>
                <w:szCs w:val="20"/>
              </w:rPr>
              <w:t xml:space="preserve">. k polnoci z 31. decembra 2020 na 1. januára 2021 až do vykonania sčítania (ktoré prebehne medzi 15. februárom a 31. marcom 2021). Táto povinnosť sa vzťahuje len na údaje, ktoré sa zisťujú podľa formulára pre sčítanie obyvateľov. </w:t>
            </w:r>
          </w:p>
          <w:p w14:paraId="7EBCC604" w14:textId="77777777" w:rsidR="00AA4C18" w:rsidRPr="00AA4C18" w:rsidRDefault="00AA4C18" w:rsidP="00792C52">
            <w:pPr>
              <w:pStyle w:val="Standard"/>
              <w:jc w:val="both"/>
              <w:rPr>
                <w:rFonts w:ascii="Times New Roman" w:hAnsi="Times New Roman" w:cs="Times New Roman"/>
                <w:sz w:val="20"/>
                <w:szCs w:val="20"/>
              </w:rPr>
            </w:pPr>
            <w:r w:rsidRPr="00AA4C18">
              <w:rPr>
                <w:rFonts w:ascii="Times New Roman" w:hAnsi="Times New Roman" w:cs="Times New Roman"/>
                <w:sz w:val="20"/>
                <w:szCs w:val="20"/>
              </w:rPr>
              <w:t xml:space="preserve">Aj v prípade týchto subjektov je obtiažne presne kvantifikovať administratívnu záťaž, ktorá im vznikne v súvislosti s plnením ich povinností pri sčítaní obyvateľov. Nie je totiž známe za koľkých obyvateľov budú tieto údaje v dobe sčítania podľa stavu k rozhodujúcemu okamihu sčítania poskytnuté, resp. či bude potrebné poskytovať aj údaje o osobách, ktoré sa v dobe sčítania v zariadení nachádzajú. Ako je však uvedené vyššie, </w:t>
            </w:r>
            <w:r w:rsidRPr="00AA4C18">
              <w:rPr>
                <w:rFonts w:ascii="Times New Roman" w:hAnsi="Times New Roman" w:cs="Times New Roman"/>
                <w:sz w:val="20"/>
                <w:szCs w:val="20"/>
              </w:rPr>
              <w:lastRenderedPageBreak/>
              <w:t xml:space="preserve">minimum osôb zodpovedných za zariadenie sú podnikateľmi (45 z celkového počtu 1795 zariadení). V prípade modelovej situácie, kedy by malo zariadenie zriadené podnikateľom vyplniť formulár pre sčítanie 100 obyvateľov s predpokladom vyplnenia formulára pre sčítanie obyvateľov za 20 minút, sú administratívne náklady na jedného podnikateľa určené na základe malej kalkulačky regulácie nákladov v sume 19,08 EUR. Pri počte 45 subjektov ide v prípade vyplnenia formulárov za 100 obyvateľov v každom zariadení o administratívne náklady vo výške 8587,50 EUR. </w:t>
            </w:r>
          </w:p>
          <w:p w14:paraId="2B058230" w14:textId="77777777" w:rsidR="00AA4C18" w:rsidRPr="00AA4C18" w:rsidRDefault="00AA4C18" w:rsidP="00792C52">
            <w:pPr>
              <w:pStyle w:val="Standard"/>
              <w:jc w:val="both"/>
              <w:rPr>
                <w:rFonts w:ascii="Times New Roman" w:hAnsi="Times New Roman" w:cs="Times New Roman"/>
                <w:sz w:val="20"/>
                <w:szCs w:val="20"/>
              </w:rPr>
            </w:pPr>
            <w:r w:rsidRPr="00AA4C18">
              <w:rPr>
                <w:rFonts w:ascii="Times New Roman" w:hAnsi="Times New Roman" w:cs="Times New Roman"/>
                <w:sz w:val="20"/>
                <w:szCs w:val="20"/>
              </w:rPr>
              <w:t>Za nesplnenie povinností možno osobe zodpovednej za zariadenie uložiť pokutu od 1000 do 5000 EUR.</w:t>
            </w:r>
          </w:p>
          <w:p w14:paraId="0D60334C" w14:textId="77777777" w:rsidR="00AA4C18" w:rsidRPr="00AA4C18" w:rsidRDefault="00AA4C18" w:rsidP="00792C52">
            <w:pPr>
              <w:pStyle w:val="Standard"/>
              <w:jc w:val="both"/>
              <w:rPr>
                <w:b/>
                <w:i/>
              </w:rPr>
            </w:pPr>
            <w:r w:rsidRPr="00AA4C18">
              <w:rPr>
                <w:rFonts w:ascii="Times New Roman" w:hAnsi="Times New Roman" w:cs="Times New Roman"/>
                <w:sz w:val="20"/>
                <w:szCs w:val="20"/>
              </w:rPr>
              <w:t>V súvislosti s negatívnymi vplyvmi návrhu zákona na podnikateľské prostredie považujeme za potrebné uviesť, že ide iba o marginálny vplyv na podnikateľské prostredie ako celok spočívajúce v administratívnej záťaži presne špecifikovaných subjektov, pričom ide o povinnosť vyplývajúcu zo sčítania, ktoré sa vykonáva raz za 10 rokov. Aj samotné povinné subjekty však sčítaním môžu získať cenné údaje potrebné k vykonávaniu ich ďalšej podnikateľskej činnosti (predovšetkým v prípade správcov bytových domov). Tejto povinnosti sa nemožno vyhnúť, keďže sčítanie v roku 2021 bude súčasťou celosvetového programu populačných, domových a bytových cenzov, ktorý sa uskutočňuje pod záštitou EÚ a OSN.</w:t>
            </w:r>
          </w:p>
          <w:p w14:paraId="3E9CA581" w14:textId="77777777" w:rsidR="00AA4C18" w:rsidRPr="00AA4C18" w:rsidRDefault="00AA4C18" w:rsidP="00792C52">
            <w:pPr>
              <w:rPr>
                <w:b/>
                <w:i/>
              </w:rPr>
            </w:pPr>
          </w:p>
        </w:tc>
      </w:tr>
      <w:tr w:rsidR="00AA4C18" w:rsidRPr="00AA4C18" w14:paraId="7D245B1C" w14:textId="77777777" w:rsidTr="00792C52">
        <w:trPr>
          <w:trHeight w:val="2318"/>
        </w:trPr>
        <w:tc>
          <w:tcPr>
            <w:tcW w:w="9062" w:type="dxa"/>
            <w:tcBorders>
              <w:bottom w:val="single" w:sz="4" w:space="0" w:color="auto"/>
            </w:tcBorders>
          </w:tcPr>
          <w:p w14:paraId="2527DD53" w14:textId="77777777" w:rsidR="00AA4C18" w:rsidRPr="00AA4C18" w:rsidRDefault="00AA4C18" w:rsidP="00792C52">
            <w:pPr>
              <w:rPr>
                <w:i/>
              </w:rPr>
            </w:pPr>
            <w:r w:rsidRPr="00AA4C18">
              <w:rPr>
                <w:b/>
                <w:i/>
              </w:rPr>
              <w:lastRenderedPageBreak/>
              <w:t>3.3.4 Súhrnná tabuľka nákladov regulácie</w:t>
            </w:r>
          </w:p>
          <w:p w14:paraId="0562861C" w14:textId="77777777" w:rsidR="00AA4C18" w:rsidRPr="00AA4C18" w:rsidRDefault="00AA4C18" w:rsidP="00792C52">
            <w:pPr>
              <w:rPr>
                <w:i/>
              </w:rPr>
            </w:pPr>
          </w:p>
          <w:tbl>
            <w:tblPr>
              <w:tblStyle w:val="Mriekatabuky"/>
              <w:tblW w:w="0" w:type="auto"/>
              <w:tblLook w:val="04A0" w:firstRow="1" w:lastRow="0" w:firstColumn="1" w:lastColumn="0" w:noHBand="0" w:noVBand="1"/>
            </w:tblPr>
            <w:tblGrid>
              <w:gridCol w:w="2951"/>
              <w:gridCol w:w="2939"/>
              <w:gridCol w:w="2946"/>
            </w:tblGrid>
            <w:tr w:rsidR="00AA4C18" w:rsidRPr="00AA4C18" w14:paraId="69A1CE98" w14:textId="77777777" w:rsidTr="00792C52">
              <w:tc>
                <w:tcPr>
                  <w:tcW w:w="2993" w:type="dxa"/>
                </w:tcPr>
                <w:p w14:paraId="2FBF8231" w14:textId="77777777" w:rsidR="00AA4C18" w:rsidRPr="00AA4C18" w:rsidRDefault="00AA4C18" w:rsidP="00792C52">
                  <w:pPr>
                    <w:rPr>
                      <w:i/>
                    </w:rPr>
                  </w:pPr>
                </w:p>
              </w:tc>
              <w:tc>
                <w:tcPr>
                  <w:tcW w:w="2994" w:type="dxa"/>
                </w:tcPr>
                <w:p w14:paraId="60F2571C" w14:textId="77777777" w:rsidR="00AA4C18" w:rsidRPr="00AA4C18" w:rsidRDefault="00AA4C18" w:rsidP="00792C52">
                  <w:pPr>
                    <w:jc w:val="center"/>
                    <w:rPr>
                      <w:i/>
                    </w:rPr>
                  </w:pPr>
                  <w:r w:rsidRPr="00AA4C18">
                    <w:rPr>
                      <w:i/>
                    </w:rPr>
                    <w:t>Náklady na 1 podnikateľa</w:t>
                  </w:r>
                </w:p>
              </w:tc>
              <w:tc>
                <w:tcPr>
                  <w:tcW w:w="2994" w:type="dxa"/>
                </w:tcPr>
                <w:p w14:paraId="4C04A7AF" w14:textId="77777777" w:rsidR="00AA4C18" w:rsidRPr="00AA4C18" w:rsidRDefault="00AA4C18" w:rsidP="00792C52">
                  <w:pPr>
                    <w:jc w:val="center"/>
                    <w:rPr>
                      <w:i/>
                    </w:rPr>
                  </w:pPr>
                  <w:r w:rsidRPr="00AA4C18">
                    <w:rPr>
                      <w:i/>
                    </w:rPr>
                    <w:t>Náklady na celé podnikateľské prostredie</w:t>
                  </w:r>
                </w:p>
              </w:tc>
            </w:tr>
            <w:tr w:rsidR="00AA4C18" w:rsidRPr="00AA4C18" w14:paraId="7AF600CF" w14:textId="77777777" w:rsidTr="00792C52">
              <w:tc>
                <w:tcPr>
                  <w:tcW w:w="2993" w:type="dxa"/>
                </w:tcPr>
                <w:p w14:paraId="7F7F9E3E" w14:textId="77777777" w:rsidR="00AA4C18" w:rsidRPr="00AA4C18" w:rsidRDefault="00AA4C18" w:rsidP="00792C52">
                  <w:pPr>
                    <w:rPr>
                      <w:i/>
                    </w:rPr>
                  </w:pPr>
                  <w:r w:rsidRPr="00AA4C18">
                    <w:rPr>
                      <w:i/>
                    </w:rPr>
                    <w:t>Priame finančné náklady</w:t>
                  </w:r>
                </w:p>
              </w:tc>
              <w:tc>
                <w:tcPr>
                  <w:tcW w:w="2994" w:type="dxa"/>
                </w:tcPr>
                <w:p w14:paraId="5DE6A87B" w14:textId="77777777" w:rsidR="00AA4C18" w:rsidRPr="00AA4C18" w:rsidRDefault="00AA4C18" w:rsidP="00792C52">
                  <w:pPr>
                    <w:jc w:val="center"/>
                    <w:rPr>
                      <w:i/>
                    </w:rPr>
                  </w:pPr>
                  <w:r w:rsidRPr="00AA4C18">
                    <w:rPr>
                      <w:i/>
                    </w:rPr>
                    <w:t>0</w:t>
                  </w:r>
                </w:p>
              </w:tc>
              <w:tc>
                <w:tcPr>
                  <w:tcW w:w="2994" w:type="dxa"/>
                </w:tcPr>
                <w:p w14:paraId="74DA6F8A" w14:textId="77777777" w:rsidR="00AA4C18" w:rsidRPr="00AA4C18" w:rsidRDefault="00AA4C18" w:rsidP="00792C52">
                  <w:pPr>
                    <w:jc w:val="center"/>
                    <w:rPr>
                      <w:i/>
                    </w:rPr>
                  </w:pPr>
                  <w:r w:rsidRPr="00AA4C18">
                    <w:rPr>
                      <w:i/>
                    </w:rPr>
                    <w:t>0</w:t>
                  </w:r>
                </w:p>
              </w:tc>
            </w:tr>
            <w:tr w:rsidR="00AA4C18" w:rsidRPr="00AA4C18" w14:paraId="23558638" w14:textId="77777777" w:rsidTr="00792C52">
              <w:tc>
                <w:tcPr>
                  <w:tcW w:w="2993" w:type="dxa"/>
                </w:tcPr>
                <w:p w14:paraId="4A89F2D2" w14:textId="77777777" w:rsidR="00AA4C18" w:rsidRPr="00AA4C18" w:rsidRDefault="00AA4C18" w:rsidP="00792C52">
                  <w:pPr>
                    <w:rPr>
                      <w:i/>
                    </w:rPr>
                  </w:pPr>
                  <w:r w:rsidRPr="00AA4C18">
                    <w:rPr>
                      <w:i/>
                    </w:rPr>
                    <w:t>Nepriame finančné náklady</w:t>
                  </w:r>
                </w:p>
              </w:tc>
              <w:tc>
                <w:tcPr>
                  <w:tcW w:w="2994" w:type="dxa"/>
                </w:tcPr>
                <w:p w14:paraId="2935323D" w14:textId="77777777" w:rsidR="00AA4C18" w:rsidRPr="00AA4C18" w:rsidRDefault="00AA4C18" w:rsidP="00792C52">
                  <w:pPr>
                    <w:jc w:val="center"/>
                    <w:rPr>
                      <w:i/>
                    </w:rPr>
                  </w:pPr>
                  <w:r w:rsidRPr="00AA4C18">
                    <w:rPr>
                      <w:i/>
                    </w:rPr>
                    <w:t>0</w:t>
                  </w:r>
                </w:p>
              </w:tc>
              <w:tc>
                <w:tcPr>
                  <w:tcW w:w="2994" w:type="dxa"/>
                </w:tcPr>
                <w:p w14:paraId="78D520BA" w14:textId="77777777" w:rsidR="00AA4C18" w:rsidRPr="00AA4C18" w:rsidRDefault="00AA4C18" w:rsidP="00792C52">
                  <w:pPr>
                    <w:jc w:val="center"/>
                    <w:rPr>
                      <w:i/>
                    </w:rPr>
                  </w:pPr>
                  <w:r w:rsidRPr="00AA4C18">
                    <w:rPr>
                      <w:i/>
                    </w:rPr>
                    <w:t>0</w:t>
                  </w:r>
                </w:p>
              </w:tc>
            </w:tr>
            <w:tr w:rsidR="00AA4C18" w:rsidRPr="00AA4C18" w14:paraId="089EF35C" w14:textId="77777777" w:rsidTr="00792C52">
              <w:tc>
                <w:tcPr>
                  <w:tcW w:w="2993" w:type="dxa"/>
                </w:tcPr>
                <w:p w14:paraId="230AD58E" w14:textId="77777777" w:rsidR="00AA4C18" w:rsidRPr="00AA4C18" w:rsidRDefault="00AA4C18" w:rsidP="00792C52">
                  <w:pPr>
                    <w:rPr>
                      <w:i/>
                    </w:rPr>
                  </w:pPr>
                  <w:r w:rsidRPr="00AA4C18">
                    <w:rPr>
                      <w:i/>
                    </w:rPr>
                    <w:t>Administratívne náklady</w:t>
                  </w:r>
                </w:p>
              </w:tc>
              <w:tc>
                <w:tcPr>
                  <w:tcW w:w="2994" w:type="dxa"/>
                </w:tcPr>
                <w:p w14:paraId="71AF7FCD" w14:textId="77777777" w:rsidR="00AA4C18" w:rsidRPr="00AA4C18" w:rsidRDefault="00AA4C18" w:rsidP="00792C52">
                  <w:pPr>
                    <w:jc w:val="center"/>
                    <w:rPr>
                      <w:i/>
                    </w:rPr>
                  </w:pPr>
                  <w:r w:rsidRPr="00AA4C18">
                    <w:rPr>
                      <w:i/>
                    </w:rPr>
                    <w:t>19,08</w:t>
                  </w:r>
                </w:p>
              </w:tc>
              <w:tc>
                <w:tcPr>
                  <w:tcW w:w="2994" w:type="dxa"/>
                </w:tcPr>
                <w:p w14:paraId="74C6C5CB" w14:textId="77777777" w:rsidR="00AA4C18" w:rsidRPr="00AA4C18" w:rsidRDefault="00AA4C18" w:rsidP="00792C52">
                  <w:pPr>
                    <w:jc w:val="center"/>
                    <w:rPr>
                      <w:i/>
                    </w:rPr>
                  </w:pPr>
                  <w:r w:rsidRPr="00AA4C18">
                    <w:rPr>
                      <w:i/>
                    </w:rPr>
                    <w:t>858,75</w:t>
                  </w:r>
                </w:p>
              </w:tc>
            </w:tr>
            <w:tr w:rsidR="00AA4C18" w:rsidRPr="00AA4C18" w14:paraId="34A7370F" w14:textId="77777777" w:rsidTr="00792C52">
              <w:tc>
                <w:tcPr>
                  <w:tcW w:w="2993" w:type="dxa"/>
                </w:tcPr>
                <w:p w14:paraId="54EAD894" w14:textId="77777777" w:rsidR="00AA4C18" w:rsidRPr="00AA4C18" w:rsidRDefault="00AA4C18" w:rsidP="00792C52">
                  <w:pPr>
                    <w:rPr>
                      <w:b/>
                      <w:i/>
                    </w:rPr>
                  </w:pPr>
                  <w:r w:rsidRPr="00AA4C18">
                    <w:rPr>
                      <w:b/>
                      <w:i/>
                    </w:rPr>
                    <w:t>Celkové náklady regulácie</w:t>
                  </w:r>
                </w:p>
              </w:tc>
              <w:tc>
                <w:tcPr>
                  <w:tcW w:w="2994" w:type="dxa"/>
                </w:tcPr>
                <w:p w14:paraId="50837C88" w14:textId="77777777" w:rsidR="00AA4C18" w:rsidRPr="00AA4C18" w:rsidRDefault="00AA4C18" w:rsidP="00792C52">
                  <w:pPr>
                    <w:jc w:val="center"/>
                    <w:rPr>
                      <w:b/>
                      <w:i/>
                    </w:rPr>
                  </w:pPr>
                  <w:r w:rsidRPr="00AA4C18">
                    <w:rPr>
                      <w:i/>
                    </w:rPr>
                    <w:t>19,08</w:t>
                  </w:r>
                </w:p>
              </w:tc>
              <w:tc>
                <w:tcPr>
                  <w:tcW w:w="2994" w:type="dxa"/>
                </w:tcPr>
                <w:p w14:paraId="5F4D5448" w14:textId="77777777" w:rsidR="00AA4C18" w:rsidRPr="00AA4C18" w:rsidRDefault="00AA4C18" w:rsidP="00792C52">
                  <w:pPr>
                    <w:jc w:val="center"/>
                    <w:rPr>
                      <w:b/>
                      <w:i/>
                    </w:rPr>
                  </w:pPr>
                  <w:r w:rsidRPr="00AA4C18">
                    <w:rPr>
                      <w:i/>
                    </w:rPr>
                    <w:t>858,75</w:t>
                  </w:r>
                </w:p>
              </w:tc>
            </w:tr>
          </w:tbl>
          <w:p w14:paraId="0DF7F951" w14:textId="77777777" w:rsidR="00AA4C18" w:rsidRPr="00AA4C18" w:rsidRDefault="00AA4C18" w:rsidP="00792C52">
            <w:pPr>
              <w:rPr>
                <w:i/>
              </w:rPr>
            </w:pPr>
          </w:p>
        </w:tc>
      </w:tr>
      <w:tr w:rsidR="00AA4C18" w:rsidRPr="00AA4C18" w14:paraId="241AA839" w14:textId="77777777" w:rsidTr="00792C52">
        <w:tc>
          <w:tcPr>
            <w:tcW w:w="9062" w:type="dxa"/>
            <w:shd w:val="clear" w:color="auto" w:fill="D9D9D9" w:themeFill="background1" w:themeFillShade="D9"/>
          </w:tcPr>
          <w:p w14:paraId="76C83455" w14:textId="77777777" w:rsidR="00AA4C18" w:rsidRPr="00AA4C18" w:rsidRDefault="00AA4C18" w:rsidP="00792C52">
            <w:pPr>
              <w:rPr>
                <w:b/>
              </w:rPr>
            </w:pPr>
            <w:r w:rsidRPr="00AA4C18">
              <w:rPr>
                <w:b/>
              </w:rPr>
              <w:t>3.4 Konkurencieschopnosť a správanie sa podnikov na trhu</w:t>
            </w:r>
          </w:p>
          <w:p w14:paraId="798CA81F" w14:textId="77777777" w:rsidR="00AA4C18" w:rsidRPr="00AA4C18" w:rsidRDefault="00AA4C18" w:rsidP="00792C52">
            <w:r w:rsidRPr="00AA4C18">
              <w:rPr>
                <w:b/>
              </w:rPr>
              <w:t xml:space="preserve">       </w:t>
            </w:r>
            <w:r w:rsidRPr="00AA4C18">
              <w:t xml:space="preserve">- </w:t>
            </w:r>
            <w:r w:rsidRPr="00AA4C18">
              <w:rPr>
                <w:b/>
              </w:rPr>
              <w:t>z toho MSP</w:t>
            </w:r>
          </w:p>
        </w:tc>
      </w:tr>
      <w:tr w:rsidR="00AA4C18" w:rsidRPr="00AA4C18" w14:paraId="3A015C09" w14:textId="77777777" w:rsidTr="00792C52">
        <w:tc>
          <w:tcPr>
            <w:tcW w:w="9062" w:type="dxa"/>
            <w:tcBorders>
              <w:bottom w:val="single" w:sz="4" w:space="0" w:color="auto"/>
            </w:tcBorders>
          </w:tcPr>
          <w:p w14:paraId="2DB44908" w14:textId="77777777" w:rsidR="00AA4C18" w:rsidRPr="00AA4C18" w:rsidRDefault="00AA4C18" w:rsidP="00792C52">
            <w:pPr>
              <w:rPr>
                <w:i/>
              </w:rPr>
            </w:pPr>
            <w:r w:rsidRPr="00AA4C18">
              <w:rPr>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AA4C18">
              <w:rPr>
                <w:i/>
              </w:rPr>
              <w:t>mikro</w:t>
            </w:r>
            <w:proofErr w:type="spellEnd"/>
            <w:r w:rsidRPr="00AA4C18">
              <w:rPr>
                <w:i/>
              </w:rPr>
              <w:t>, malé a stredné podniky tzv. MSP)? Ak áno, popíšte.</w:t>
            </w:r>
          </w:p>
          <w:p w14:paraId="786285D4" w14:textId="77777777" w:rsidR="00AA4C18" w:rsidRPr="00AA4C18" w:rsidRDefault="00AA4C18" w:rsidP="00792C52">
            <w:pPr>
              <w:rPr>
                <w:i/>
              </w:rPr>
            </w:pPr>
            <w:r w:rsidRPr="00AA4C18">
              <w:rPr>
                <w:i/>
              </w:rPr>
              <w:t>Aký vplyv bude mať navrhovaná zmena na obchodné bariéry? Bude mať vplyv na vyvolanie cezhraničných investícií (príliv /odliv zahraničných investícií resp. uplatnenie slovenských podnikov na zahraničných trhoch)? Ak áno, popíšte.</w:t>
            </w:r>
          </w:p>
          <w:p w14:paraId="76B5129E" w14:textId="77777777" w:rsidR="00AA4C18" w:rsidRPr="00AA4C18" w:rsidRDefault="00AA4C18" w:rsidP="00792C52">
            <w:pPr>
              <w:rPr>
                <w:i/>
              </w:rPr>
            </w:pPr>
            <w:r w:rsidRPr="00AA4C18">
              <w:rPr>
                <w:i/>
              </w:rPr>
              <w:t>Ako ovplyvní cenu alebo dostupnosť základných zdrojov (suroviny, mechanizmy, pracovná sila, energie atď.)?</w:t>
            </w:r>
          </w:p>
          <w:p w14:paraId="1B983A4D" w14:textId="77777777" w:rsidR="00AA4C18" w:rsidRPr="00AA4C18" w:rsidRDefault="00AA4C18" w:rsidP="00792C52">
            <w:pPr>
              <w:rPr>
                <w:i/>
              </w:rPr>
            </w:pPr>
            <w:r w:rsidRPr="00AA4C18">
              <w:rPr>
                <w:i/>
              </w:rPr>
              <w:t>Ovplyvňuje prístup k financiám? Ak áno, ako?</w:t>
            </w:r>
          </w:p>
        </w:tc>
      </w:tr>
      <w:tr w:rsidR="00AA4C18" w:rsidRPr="00AA4C18" w14:paraId="082342EA" w14:textId="77777777" w:rsidTr="00792C52">
        <w:trPr>
          <w:trHeight w:val="1282"/>
        </w:trPr>
        <w:tc>
          <w:tcPr>
            <w:tcW w:w="9062" w:type="dxa"/>
            <w:tcBorders>
              <w:bottom w:val="single" w:sz="4" w:space="0" w:color="auto"/>
            </w:tcBorders>
          </w:tcPr>
          <w:p w14:paraId="6134AAB9" w14:textId="77777777" w:rsidR="00AA4C18" w:rsidRPr="00AA4C18" w:rsidRDefault="00AA4C18" w:rsidP="00792C52">
            <w:pPr>
              <w:rPr>
                <w:i/>
              </w:rPr>
            </w:pPr>
          </w:p>
          <w:p w14:paraId="3C8652CC" w14:textId="77777777" w:rsidR="00AA4C18" w:rsidRPr="00AA4C18" w:rsidRDefault="00AA4C18" w:rsidP="00792C52">
            <w:r w:rsidRPr="00AA4C18">
              <w:t>Návrh zákona nebude mať vplyv na konkurencieschopnosť a správanie sa podnikov na trhu.</w:t>
            </w:r>
          </w:p>
        </w:tc>
      </w:tr>
      <w:tr w:rsidR="00AA4C18" w:rsidRPr="00AA4C18" w14:paraId="16DE546D" w14:textId="77777777" w:rsidTr="00792C52">
        <w:tc>
          <w:tcPr>
            <w:tcW w:w="9062" w:type="dxa"/>
            <w:shd w:val="clear" w:color="auto" w:fill="D9D9D9" w:themeFill="background1" w:themeFillShade="D9"/>
          </w:tcPr>
          <w:p w14:paraId="4BCAC693" w14:textId="77777777" w:rsidR="00AA4C18" w:rsidRPr="00AA4C18" w:rsidRDefault="00AA4C18" w:rsidP="00792C52">
            <w:pPr>
              <w:rPr>
                <w:b/>
              </w:rPr>
            </w:pPr>
            <w:r w:rsidRPr="00AA4C18">
              <w:rPr>
                <w:b/>
              </w:rPr>
              <w:t xml:space="preserve">3.5 Inovácie </w:t>
            </w:r>
          </w:p>
          <w:p w14:paraId="3D30DEC1" w14:textId="77777777" w:rsidR="00AA4C18" w:rsidRPr="00AA4C18" w:rsidRDefault="00AA4C18" w:rsidP="00792C52">
            <w:pPr>
              <w:rPr>
                <w:b/>
              </w:rPr>
            </w:pPr>
            <w:r w:rsidRPr="00AA4C18">
              <w:t xml:space="preserve">       - </w:t>
            </w:r>
            <w:r w:rsidRPr="00AA4C18">
              <w:rPr>
                <w:b/>
              </w:rPr>
              <w:t>z toho MSP</w:t>
            </w:r>
          </w:p>
        </w:tc>
      </w:tr>
      <w:tr w:rsidR="00AA4C18" w:rsidRPr="00AA4C18" w14:paraId="2D950273" w14:textId="77777777" w:rsidTr="00792C52">
        <w:tc>
          <w:tcPr>
            <w:tcW w:w="9062" w:type="dxa"/>
          </w:tcPr>
          <w:p w14:paraId="6A59A9EB" w14:textId="77777777" w:rsidR="00AA4C18" w:rsidRPr="00AA4C18" w:rsidRDefault="00AA4C18" w:rsidP="00792C52">
            <w:pPr>
              <w:rPr>
                <w:i/>
              </w:rPr>
            </w:pPr>
            <w:r w:rsidRPr="00AA4C18">
              <w:rPr>
                <w:i/>
              </w:rPr>
              <w:t>Uveďte, ako podporuje navrhovaná zmena inovácie.</w:t>
            </w:r>
          </w:p>
          <w:p w14:paraId="0CD891CA" w14:textId="77777777" w:rsidR="00AA4C18" w:rsidRPr="00AA4C18" w:rsidRDefault="00AA4C18" w:rsidP="00792C52">
            <w:pPr>
              <w:rPr>
                <w:i/>
              </w:rPr>
            </w:pPr>
            <w:r w:rsidRPr="00AA4C18">
              <w:rPr>
                <w:i/>
              </w:rPr>
              <w:t>Zjednodušuje uvedenie alebo rozšírenie nových výrobných metód, technológií a výrobkov na trh?</w:t>
            </w:r>
          </w:p>
          <w:p w14:paraId="6B5D97B2" w14:textId="77777777" w:rsidR="00AA4C18" w:rsidRPr="00AA4C18" w:rsidRDefault="00AA4C18" w:rsidP="00792C52">
            <w:pPr>
              <w:rPr>
                <w:i/>
              </w:rPr>
            </w:pPr>
            <w:r w:rsidRPr="00AA4C18">
              <w:rPr>
                <w:i/>
              </w:rPr>
              <w:t>Uveďte, ako vplýva navrhovaná zmena na jednotlivé práva duševného vlastníctva (napr. patenty, ochranné známky, autorské práva, vlastníctvo know-how).</w:t>
            </w:r>
          </w:p>
          <w:p w14:paraId="0091730A" w14:textId="77777777" w:rsidR="00AA4C18" w:rsidRPr="00AA4C18" w:rsidRDefault="00AA4C18" w:rsidP="00792C52">
            <w:pPr>
              <w:rPr>
                <w:i/>
              </w:rPr>
            </w:pPr>
            <w:r w:rsidRPr="00AA4C18">
              <w:rPr>
                <w:i/>
              </w:rPr>
              <w:t>Podporuje vyššiu efektivitu výroby/využívania zdrojov? Ak áno, ako?</w:t>
            </w:r>
          </w:p>
          <w:p w14:paraId="66F70559" w14:textId="77777777" w:rsidR="00AA4C18" w:rsidRPr="00AA4C18" w:rsidRDefault="00AA4C18" w:rsidP="00792C52">
            <w:r w:rsidRPr="00AA4C18">
              <w:rPr>
                <w:i/>
              </w:rPr>
              <w:t>Vytvorí zmena nové pracovné miesta pre zamestnancov výskumu a vývoja v SR?</w:t>
            </w:r>
          </w:p>
        </w:tc>
      </w:tr>
      <w:tr w:rsidR="00AA4C18" w:rsidRPr="00AA4C18" w14:paraId="4A6B3E2D" w14:textId="77777777" w:rsidTr="00792C52">
        <w:trPr>
          <w:trHeight w:val="1747"/>
        </w:trPr>
        <w:tc>
          <w:tcPr>
            <w:tcW w:w="9062" w:type="dxa"/>
          </w:tcPr>
          <w:p w14:paraId="488BAFEC" w14:textId="77777777" w:rsidR="00AA4C18" w:rsidRPr="00AA4C18" w:rsidRDefault="00AA4C18" w:rsidP="00792C52">
            <w:pPr>
              <w:rPr>
                <w:i/>
              </w:rPr>
            </w:pPr>
          </w:p>
          <w:p w14:paraId="31E8C8C7" w14:textId="77777777" w:rsidR="00AA4C18" w:rsidRPr="00AA4C18" w:rsidRDefault="00AA4C18" w:rsidP="00792C52">
            <w:pPr>
              <w:jc w:val="both"/>
            </w:pPr>
            <w:r w:rsidRPr="00AA4C18">
              <w:t xml:space="preserve">Návrh zákona nemá vplyv na inovácie v zmysle vytvorenia nových výrobných metód, technológií a výrobkov. Napriek tomu je predkladateľ toho názoru, že celý systém tzv. integrovaného sčítania v roku 2021, kedy budú údaje získane výlučne elektronickou formou od obyvateľov a ďalších povinných osôb kombinované s údajmi z administratívnych zdrojov údajov, inovatívny. Navrhovaná zmena teda prinesie skôr inováciu do riadenia procesov sčítania a manažmentu získavania administratívnych zdrojov údajov na štatistické účely. </w:t>
            </w:r>
          </w:p>
        </w:tc>
      </w:tr>
    </w:tbl>
    <w:p w14:paraId="0F3D33EB" w14:textId="77777777" w:rsidR="00AA4C18" w:rsidRPr="00AA4C18" w:rsidRDefault="00AA4C18" w:rsidP="00AA4C18">
      <w:pPr>
        <w:jc w:val="center"/>
      </w:pPr>
    </w:p>
    <w:p w14:paraId="779704F8" w14:textId="39FD839B" w:rsidR="00AA4C18" w:rsidRPr="00AA4C18" w:rsidRDefault="00AA4C18">
      <w:pPr>
        <w:widowControl/>
        <w:adjustRightInd/>
        <w:spacing w:after="200" w:line="276" w:lineRule="auto"/>
      </w:pPr>
      <w:r w:rsidRPr="00AA4C18">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AA4C18" w:rsidRPr="00AA4C18" w14:paraId="171317C7" w14:textId="77777777" w:rsidTr="00792C52">
        <w:trPr>
          <w:trHeight w:val="20"/>
        </w:trPr>
        <w:tc>
          <w:tcPr>
            <w:tcW w:w="9371" w:type="dxa"/>
            <w:gridSpan w:val="6"/>
            <w:shd w:val="clear" w:color="auto" w:fill="BFBFBF"/>
            <w:vAlign w:val="center"/>
          </w:tcPr>
          <w:p w14:paraId="1BF74138" w14:textId="77777777" w:rsidR="00AA4C18" w:rsidRPr="00AA4C18" w:rsidRDefault="00AA4C18" w:rsidP="00792C52">
            <w:pPr>
              <w:jc w:val="center"/>
              <w:rPr>
                <w:b/>
                <w:bCs/>
                <w:sz w:val="28"/>
                <w:szCs w:val="28"/>
              </w:rPr>
            </w:pPr>
            <w:r w:rsidRPr="00AA4C18">
              <w:rPr>
                <w:b/>
                <w:bCs/>
                <w:sz w:val="28"/>
                <w:szCs w:val="28"/>
              </w:rPr>
              <w:lastRenderedPageBreak/>
              <w:t>Analýza vplyvov na informatizáciu spoločnosti</w:t>
            </w:r>
          </w:p>
          <w:p w14:paraId="778DD436" w14:textId="77777777" w:rsidR="00AA4C18" w:rsidRPr="00AA4C18" w:rsidRDefault="00AA4C18" w:rsidP="00792C52">
            <w:pPr>
              <w:jc w:val="center"/>
              <w:rPr>
                <w:b/>
                <w:i/>
                <w:iCs/>
                <w:sz w:val="2"/>
                <w:szCs w:val="22"/>
              </w:rPr>
            </w:pPr>
            <w:r w:rsidRPr="00AA4C18">
              <w:rPr>
                <w:b/>
              </w:rPr>
              <w:t>Budovanie základných pilierov informatizácie</w:t>
            </w:r>
          </w:p>
        </w:tc>
      </w:tr>
      <w:tr w:rsidR="00AA4C18" w:rsidRPr="00AA4C18" w14:paraId="7899101C" w14:textId="77777777" w:rsidTr="00792C52">
        <w:trPr>
          <w:trHeight w:val="681"/>
        </w:trPr>
        <w:tc>
          <w:tcPr>
            <w:tcW w:w="3956" w:type="dxa"/>
            <w:shd w:val="clear" w:color="auto" w:fill="C0C0C0"/>
            <w:vAlign w:val="center"/>
          </w:tcPr>
          <w:p w14:paraId="5283E005" w14:textId="77777777" w:rsidR="00AA4C18" w:rsidRPr="00AA4C18" w:rsidRDefault="00AA4C18" w:rsidP="00792C52">
            <w:pPr>
              <w:jc w:val="center"/>
              <w:rPr>
                <w:b/>
                <w:szCs w:val="22"/>
              </w:rPr>
            </w:pPr>
            <w:r w:rsidRPr="00AA4C18">
              <w:rPr>
                <w:b/>
                <w:szCs w:val="22"/>
              </w:rPr>
              <w:t>Obsah</w:t>
            </w:r>
          </w:p>
        </w:tc>
        <w:tc>
          <w:tcPr>
            <w:tcW w:w="1162" w:type="dxa"/>
            <w:shd w:val="clear" w:color="auto" w:fill="C0C0C0"/>
            <w:vAlign w:val="center"/>
          </w:tcPr>
          <w:p w14:paraId="2835F889" w14:textId="77777777" w:rsidR="00AA4C18" w:rsidRPr="00AA4C18" w:rsidRDefault="00AA4C18" w:rsidP="00792C52">
            <w:pPr>
              <w:jc w:val="center"/>
              <w:rPr>
                <w:b/>
                <w:szCs w:val="22"/>
              </w:rPr>
            </w:pPr>
            <w:r w:rsidRPr="00AA4C18">
              <w:rPr>
                <w:b/>
                <w:szCs w:val="22"/>
              </w:rPr>
              <w:t>A – nová služba</w:t>
            </w:r>
          </w:p>
          <w:p w14:paraId="398C55A5" w14:textId="77777777" w:rsidR="00AA4C18" w:rsidRPr="00AA4C18" w:rsidRDefault="00AA4C18" w:rsidP="00792C52">
            <w:pPr>
              <w:jc w:val="center"/>
              <w:rPr>
                <w:i/>
                <w:iCs/>
                <w:szCs w:val="22"/>
              </w:rPr>
            </w:pPr>
            <w:r w:rsidRPr="00AA4C18">
              <w:rPr>
                <w:b/>
                <w:szCs w:val="22"/>
              </w:rPr>
              <w:t>B – zmena služby</w:t>
            </w:r>
          </w:p>
        </w:tc>
        <w:tc>
          <w:tcPr>
            <w:tcW w:w="1560" w:type="dxa"/>
            <w:shd w:val="clear" w:color="auto" w:fill="C0C0C0"/>
            <w:vAlign w:val="center"/>
          </w:tcPr>
          <w:p w14:paraId="57BE656B" w14:textId="77777777" w:rsidR="00AA4C18" w:rsidRPr="00AA4C18" w:rsidRDefault="00AA4C18" w:rsidP="00792C52">
            <w:pPr>
              <w:jc w:val="center"/>
              <w:rPr>
                <w:i/>
                <w:iCs/>
                <w:szCs w:val="22"/>
              </w:rPr>
            </w:pPr>
          </w:p>
          <w:p w14:paraId="3E45A8D7" w14:textId="77777777" w:rsidR="00AA4C18" w:rsidRPr="00AA4C18" w:rsidRDefault="00AA4C18" w:rsidP="00792C52">
            <w:pPr>
              <w:spacing w:after="200"/>
              <w:jc w:val="center"/>
              <w:rPr>
                <w:szCs w:val="22"/>
              </w:rPr>
            </w:pPr>
            <w:r w:rsidRPr="00AA4C18">
              <w:rPr>
                <w:b/>
                <w:szCs w:val="22"/>
              </w:rPr>
              <w:t>Kód služby</w:t>
            </w:r>
          </w:p>
        </w:tc>
        <w:tc>
          <w:tcPr>
            <w:tcW w:w="1701" w:type="dxa"/>
            <w:gridSpan w:val="2"/>
            <w:shd w:val="clear" w:color="auto" w:fill="C0C0C0"/>
            <w:vAlign w:val="center"/>
          </w:tcPr>
          <w:p w14:paraId="116B1A53" w14:textId="77777777" w:rsidR="00AA4C18" w:rsidRPr="00AA4C18" w:rsidRDefault="00AA4C18" w:rsidP="00792C52">
            <w:pPr>
              <w:jc w:val="center"/>
              <w:rPr>
                <w:b/>
                <w:szCs w:val="22"/>
              </w:rPr>
            </w:pPr>
          </w:p>
          <w:p w14:paraId="54DD89F0" w14:textId="77777777" w:rsidR="00AA4C18" w:rsidRPr="00AA4C18" w:rsidRDefault="00AA4C18" w:rsidP="00792C52">
            <w:pPr>
              <w:jc w:val="center"/>
              <w:rPr>
                <w:i/>
                <w:iCs/>
                <w:szCs w:val="22"/>
              </w:rPr>
            </w:pPr>
            <w:r w:rsidRPr="00AA4C18">
              <w:rPr>
                <w:b/>
                <w:szCs w:val="22"/>
              </w:rPr>
              <w:t>Názov služby</w:t>
            </w:r>
          </w:p>
        </w:tc>
        <w:tc>
          <w:tcPr>
            <w:tcW w:w="992" w:type="dxa"/>
            <w:shd w:val="clear" w:color="auto" w:fill="C0C0C0"/>
            <w:vAlign w:val="center"/>
          </w:tcPr>
          <w:p w14:paraId="5201A756" w14:textId="77777777" w:rsidR="00AA4C18" w:rsidRPr="00AA4C18" w:rsidRDefault="00AA4C18" w:rsidP="00792C52">
            <w:pPr>
              <w:jc w:val="center"/>
              <w:rPr>
                <w:b/>
                <w:szCs w:val="22"/>
              </w:rPr>
            </w:pPr>
            <w:r w:rsidRPr="00AA4C18">
              <w:rPr>
                <w:b/>
                <w:szCs w:val="22"/>
              </w:rPr>
              <w:t>Úroveň elektronizácie služby</w:t>
            </w:r>
          </w:p>
          <w:p w14:paraId="247D5E58" w14:textId="77777777" w:rsidR="00AA4C18" w:rsidRPr="00AA4C18" w:rsidRDefault="00AA4C18" w:rsidP="00792C52">
            <w:pPr>
              <w:jc w:val="center"/>
              <w:rPr>
                <w:i/>
                <w:iCs/>
                <w:szCs w:val="22"/>
              </w:rPr>
            </w:pPr>
            <w:r w:rsidRPr="00AA4C18">
              <w:rPr>
                <w:b/>
                <w:szCs w:val="22"/>
              </w:rPr>
              <w:t>(0 až 5)</w:t>
            </w:r>
          </w:p>
        </w:tc>
      </w:tr>
      <w:tr w:rsidR="00AA4C18" w:rsidRPr="00AA4C18" w14:paraId="7E99CE76" w14:textId="77777777" w:rsidTr="00792C52">
        <w:trPr>
          <w:trHeight w:val="20"/>
        </w:trPr>
        <w:tc>
          <w:tcPr>
            <w:tcW w:w="3956" w:type="dxa"/>
          </w:tcPr>
          <w:p w14:paraId="230C0094" w14:textId="77777777" w:rsidR="00AA4C18" w:rsidRPr="00AA4C18" w:rsidRDefault="00AA4C18" w:rsidP="00792C52">
            <w:pPr>
              <w:jc w:val="both"/>
              <w:rPr>
                <w:szCs w:val="22"/>
              </w:rPr>
            </w:pPr>
            <w:r w:rsidRPr="00AA4C18">
              <w:rPr>
                <w:b/>
                <w:szCs w:val="22"/>
              </w:rPr>
              <w:t>6.1.</w:t>
            </w:r>
            <w:r w:rsidRPr="00AA4C18">
              <w:rPr>
                <w:szCs w:val="22"/>
              </w:rPr>
              <w:t xml:space="preserve"> Predpokladá predložený návrh zmenu existujúcich elektronických služieb verejnej správy alebo vytvorenie nových služieb?</w:t>
            </w:r>
          </w:p>
          <w:p w14:paraId="1E7EF1BA" w14:textId="77777777" w:rsidR="00AA4C18" w:rsidRPr="00AA4C18" w:rsidRDefault="00AA4C18" w:rsidP="00792C52">
            <w:pPr>
              <w:spacing w:line="20" w:lineRule="atLeast"/>
              <w:jc w:val="both"/>
              <w:rPr>
                <w:b/>
                <w:sz w:val="22"/>
                <w:szCs w:val="22"/>
              </w:rPr>
            </w:pPr>
            <w:r w:rsidRPr="00AA4C18">
              <w:rPr>
                <w:i/>
                <w:iCs/>
                <w:szCs w:val="22"/>
              </w:rPr>
              <w:t xml:space="preserve">(Ak áno, uveďte zmenu služby alebo vytvorenie novej služby, ďalej  jej kód, názov a úroveň elektronizácie podľa katalógu </w:t>
            </w:r>
            <w:proofErr w:type="spellStart"/>
            <w:r w:rsidRPr="00AA4C18">
              <w:rPr>
                <w:i/>
                <w:iCs/>
                <w:szCs w:val="22"/>
              </w:rPr>
              <w:t>eGovernment</w:t>
            </w:r>
            <w:proofErr w:type="spellEnd"/>
            <w:r w:rsidRPr="00AA4C18">
              <w:rPr>
                <w:i/>
                <w:iCs/>
                <w:szCs w:val="22"/>
              </w:rPr>
              <w:t xml:space="preserve"> služieb, ktorý je vedený v centrálnom </w:t>
            </w:r>
            <w:proofErr w:type="spellStart"/>
            <w:r w:rsidRPr="00AA4C18">
              <w:rPr>
                <w:i/>
                <w:iCs/>
                <w:szCs w:val="22"/>
              </w:rPr>
              <w:t>metainformačnom</w:t>
            </w:r>
            <w:proofErr w:type="spellEnd"/>
            <w:r w:rsidRPr="00AA4C18">
              <w:rPr>
                <w:i/>
                <w:iCs/>
                <w:szCs w:val="22"/>
              </w:rPr>
              <w:t xml:space="preserve"> systéme verejnej správy.)</w:t>
            </w:r>
            <w:r w:rsidRPr="00AA4C18">
              <w:rPr>
                <w:szCs w:val="22"/>
              </w:rPr>
              <w:t xml:space="preserve"> </w:t>
            </w:r>
          </w:p>
        </w:tc>
        <w:tc>
          <w:tcPr>
            <w:tcW w:w="1162" w:type="dxa"/>
            <w:vAlign w:val="center"/>
          </w:tcPr>
          <w:p w14:paraId="070C3CBF" w14:textId="77777777" w:rsidR="00AA4C18" w:rsidRPr="00AA4C18" w:rsidRDefault="00AA4C18" w:rsidP="00792C52">
            <w:pPr>
              <w:jc w:val="center"/>
              <w:rPr>
                <w:b/>
                <w:sz w:val="22"/>
                <w:szCs w:val="22"/>
              </w:rPr>
            </w:pPr>
            <w:r w:rsidRPr="00AA4C18">
              <w:rPr>
                <w:b/>
                <w:sz w:val="22"/>
                <w:szCs w:val="22"/>
              </w:rPr>
              <w:t>A</w:t>
            </w:r>
          </w:p>
        </w:tc>
        <w:tc>
          <w:tcPr>
            <w:tcW w:w="1560" w:type="dxa"/>
            <w:vAlign w:val="center"/>
          </w:tcPr>
          <w:p w14:paraId="7B832C7F" w14:textId="77777777" w:rsidR="00AA4C18" w:rsidRPr="00AA4C18" w:rsidRDefault="00AA4C18" w:rsidP="00792C52">
            <w:pPr>
              <w:jc w:val="center"/>
              <w:rPr>
                <w:b/>
                <w:sz w:val="22"/>
                <w:szCs w:val="22"/>
              </w:rPr>
            </w:pPr>
            <w:r w:rsidRPr="00AA4C18">
              <w:rPr>
                <w:b/>
                <w:sz w:val="22"/>
                <w:szCs w:val="22"/>
              </w:rPr>
              <w:t>ks_336859</w:t>
            </w:r>
          </w:p>
        </w:tc>
        <w:tc>
          <w:tcPr>
            <w:tcW w:w="1701" w:type="dxa"/>
            <w:gridSpan w:val="2"/>
            <w:vAlign w:val="center"/>
          </w:tcPr>
          <w:p w14:paraId="724EFE6B" w14:textId="77777777" w:rsidR="00AA4C18" w:rsidRPr="00AA4C18" w:rsidRDefault="00AA4C18" w:rsidP="00792C52">
            <w:pPr>
              <w:jc w:val="center"/>
              <w:rPr>
                <w:b/>
                <w:sz w:val="22"/>
                <w:szCs w:val="22"/>
              </w:rPr>
            </w:pPr>
            <w:r w:rsidRPr="00AA4C18">
              <w:rPr>
                <w:b/>
                <w:sz w:val="22"/>
                <w:szCs w:val="22"/>
              </w:rPr>
              <w:t>Získanie údajov od občana</w:t>
            </w:r>
          </w:p>
        </w:tc>
        <w:tc>
          <w:tcPr>
            <w:tcW w:w="992" w:type="dxa"/>
            <w:vAlign w:val="center"/>
          </w:tcPr>
          <w:p w14:paraId="5B83397E" w14:textId="77777777" w:rsidR="00AA4C18" w:rsidRPr="00AA4C18" w:rsidRDefault="00AA4C18" w:rsidP="00792C52">
            <w:pPr>
              <w:jc w:val="center"/>
              <w:rPr>
                <w:b/>
                <w:i/>
                <w:sz w:val="22"/>
                <w:szCs w:val="22"/>
              </w:rPr>
            </w:pPr>
          </w:p>
          <w:p w14:paraId="544182E5" w14:textId="77777777" w:rsidR="00AA4C18" w:rsidRPr="00AA4C18" w:rsidRDefault="00AA4C18" w:rsidP="00792C52">
            <w:pPr>
              <w:jc w:val="center"/>
              <w:rPr>
                <w:b/>
                <w:sz w:val="22"/>
                <w:szCs w:val="22"/>
              </w:rPr>
            </w:pPr>
          </w:p>
          <w:p w14:paraId="70476926" w14:textId="77777777" w:rsidR="00AA4C18" w:rsidRPr="00AA4C18" w:rsidRDefault="00AA4C18" w:rsidP="00792C52">
            <w:pPr>
              <w:jc w:val="center"/>
              <w:rPr>
                <w:b/>
                <w:sz w:val="22"/>
                <w:szCs w:val="22"/>
              </w:rPr>
            </w:pPr>
            <w:r w:rsidRPr="00AA4C18">
              <w:rPr>
                <w:b/>
                <w:sz w:val="22"/>
                <w:szCs w:val="22"/>
              </w:rPr>
              <w:t>4</w:t>
            </w:r>
          </w:p>
        </w:tc>
      </w:tr>
      <w:tr w:rsidR="00AA4C18" w:rsidRPr="00AA4C18" w14:paraId="56AA8063" w14:textId="77777777" w:rsidTr="00792C52">
        <w:trPr>
          <w:trHeight w:val="20"/>
        </w:trPr>
        <w:tc>
          <w:tcPr>
            <w:tcW w:w="3956" w:type="dxa"/>
            <w:shd w:val="clear" w:color="auto" w:fill="C0C0C0"/>
            <w:vAlign w:val="center"/>
          </w:tcPr>
          <w:p w14:paraId="6D928837" w14:textId="77777777" w:rsidR="00AA4C18" w:rsidRPr="00AA4C18" w:rsidRDefault="00AA4C18" w:rsidP="00792C52">
            <w:pPr>
              <w:jc w:val="center"/>
              <w:rPr>
                <w:b/>
                <w:szCs w:val="22"/>
              </w:rPr>
            </w:pPr>
            <w:r w:rsidRPr="00AA4C18">
              <w:rPr>
                <w:b/>
                <w:szCs w:val="22"/>
              </w:rPr>
              <w:t>Infraštruktúra</w:t>
            </w:r>
          </w:p>
        </w:tc>
        <w:tc>
          <w:tcPr>
            <w:tcW w:w="1162" w:type="dxa"/>
            <w:shd w:val="clear" w:color="auto" w:fill="C0C0C0"/>
            <w:vAlign w:val="center"/>
          </w:tcPr>
          <w:p w14:paraId="29808FDB" w14:textId="77777777" w:rsidR="00AA4C18" w:rsidRPr="00AA4C18" w:rsidRDefault="00AA4C18" w:rsidP="00792C52">
            <w:pPr>
              <w:jc w:val="center"/>
              <w:rPr>
                <w:b/>
                <w:szCs w:val="22"/>
              </w:rPr>
            </w:pPr>
            <w:r w:rsidRPr="00AA4C18">
              <w:rPr>
                <w:b/>
                <w:szCs w:val="22"/>
              </w:rPr>
              <w:t>A – nový systém</w:t>
            </w:r>
          </w:p>
          <w:p w14:paraId="441B915C" w14:textId="77777777" w:rsidR="00AA4C18" w:rsidRPr="00AA4C18" w:rsidRDefault="00AA4C18" w:rsidP="00792C52">
            <w:pPr>
              <w:jc w:val="center"/>
              <w:rPr>
                <w:b/>
                <w:szCs w:val="22"/>
              </w:rPr>
            </w:pPr>
            <w:r w:rsidRPr="00AA4C18">
              <w:rPr>
                <w:b/>
                <w:szCs w:val="22"/>
              </w:rPr>
              <w:t>B – zmena systému</w:t>
            </w:r>
          </w:p>
        </w:tc>
        <w:tc>
          <w:tcPr>
            <w:tcW w:w="1560" w:type="dxa"/>
            <w:shd w:val="clear" w:color="auto" w:fill="C0C0C0"/>
            <w:vAlign w:val="center"/>
          </w:tcPr>
          <w:p w14:paraId="70A4573A" w14:textId="77777777" w:rsidR="00AA4C18" w:rsidRPr="00AA4C18" w:rsidRDefault="00AA4C18" w:rsidP="00792C52">
            <w:pPr>
              <w:jc w:val="center"/>
              <w:rPr>
                <w:b/>
                <w:szCs w:val="22"/>
              </w:rPr>
            </w:pPr>
            <w:r w:rsidRPr="00AA4C18">
              <w:rPr>
                <w:b/>
                <w:szCs w:val="22"/>
              </w:rPr>
              <w:t>Kód systému</w:t>
            </w:r>
          </w:p>
        </w:tc>
        <w:tc>
          <w:tcPr>
            <w:tcW w:w="2693" w:type="dxa"/>
            <w:gridSpan w:val="3"/>
            <w:shd w:val="clear" w:color="auto" w:fill="C0C0C0"/>
            <w:vAlign w:val="center"/>
          </w:tcPr>
          <w:p w14:paraId="6BB33FFB" w14:textId="77777777" w:rsidR="00AA4C18" w:rsidRPr="00AA4C18" w:rsidRDefault="00AA4C18" w:rsidP="00792C52">
            <w:pPr>
              <w:jc w:val="center"/>
              <w:rPr>
                <w:b/>
              </w:rPr>
            </w:pPr>
            <w:r w:rsidRPr="00AA4C18">
              <w:rPr>
                <w:b/>
                <w:szCs w:val="22"/>
              </w:rPr>
              <w:t>Názov systému</w:t>
            </w:r>
          </w:p>
        </w:tc>
      </w:tr>
      <w:tr w:rsidR="00AA4C18" w:rsidRPr="00AA4C18" w14:paraId="1E6C52E3" w14:textId="77777777" w:rsidTr="00792C52">
        <w:trPr>
          <w:trHeight w:val="20"/>
        </w:trPr>
        <w:tc>
          <w:tcPr>
            <w:tcW w:w="3956" w:type="dxa"/>
          </w:tcPr>
          <w:p w14:paraId="660C27B6" w14:textId="77777777" w:rsidR="00AA4C18" w:rsidRPr="00AA4C18" w:rsidRDefault="00AA4C18" w:rsidP="00792C52">
            <w:pPr>
              <w:jc w:val="both"/>
            </w:pPr>
            <w:r w:rsidRPr="00AA4C18">
              <w:rPr>
                <w:b/>
              </w:rPr>
              <w:t>6.2.</w:t>
            </w:r>
            <w:r w:rsidRPr="00AA4C18">
              <w:t xml:space="preserve"> Predpokladá predložený návrh zmenu existujúceho alebo vytvorenie nového informačného systému verejnej správy?</w:t>
            </w:r>
          </w:p>
          <w:p w14:paraId="7B5C5179" w14:textId="77777777" w:rsidR="00AA4C18" w:rsidRPr="00AA4C18" w:rsidRDefault="00AA4C18" w:rsidP="00792C52">
            <w:pPr>
              <w:spacing w:line="20" w:lineRule="atLeast"/>
              <w:jc w:val="both"/>
            </w:pPr>
            <w:r w:rsidRPr="00AA4C18">
              <w:rPr>
                <w:i/>
                <w:iCs/>
              </w:rPr>
              <w:t>(Ak áno, uveďte zmenu systému alebo vytvorenie nového systému, ďalej jeho kód a názov z centrálneho metainformačného systému verejnej správy.)</w:t>
            </w:r>
          </w:p>
        </w:tc>
        <w:tc>
          <w:tcPr>
            <w:tcW w:w="1162" w:type="dxa"/>
            <w:vAlign w:val="center"/>
          </w:tcPr>
          <w:p w14:paraId="1FAE7F6D" w14:textId="77777777" w:rsidR="00AA4C18" w:rsidRPr="00AA4C18" w:rsidRDefault="00AA4C18" w:rsidP="00792C52">
            <w:pPr>
              <w:jc w:val="center"/>
              <w:rPr>
                <w:b/>
                <w:iCs/>
              </w:rPr>
            </w:pPr>
            <w:r w:rsidRPr="00AA4C18">
              <w:rPr>
                <w:b/>
                <w:iCs/>
              </w:rPr>
              <w:t>A</w:t>
            </w:r>
          </w:p>
        </w:tc>
        <w:tc>
          <w:tcPr>
            <w:tcW w:w="1560" w:type="dxa"/>
            <w:vAlign w:val="center"/>
          </w:tcPr>
          <w:p w14:paraId="045B44CE" w14:textId="77777777" w:rsidR="00AA4C18" w:rsidRPr="00AA4C18" w:rsidRDefault="00AA4C18" w:rsidP="00792C52">
            <w:pPr>
              <w:jc w:val="center"/>
              <w:rPr>
                <w:iCs/>
              </w:rPr>
            </w:pPr>
            <w:r w:rsidRPr="00AA4C18">
              <w:rPr>
                <w:iCs/>
              </w:rPr>
              <w:t>isvs_8688</w:t>
            </w:r>
          </w:p>
          <w:p w14:paraId="3C6B3BE6" w14:textId="77777777" w:rsidR="00AA4C18" w:rsidRPr="00AA4C18" w:rsidRDefault="00AA4C18" w:rsidP="00792C52">
            <w:pPr>
              <w:jc w:val="center"/>
              <w:rPr>
                <w:iCs/>
              </w:rPr>
            </w:pPr>
          </w:p>
        </w:tc>
        <w:tc>
          <w:tcPr>
            <w:tcW w:w="2693" w:type="dxa"/>
            <w:gridSpan w:val="3"/>
            <w:vAlign w:val="center"/>
          </w:tcPr>
          <w:p w14:paraId="78E5AEB5" w14:textId="77777777" w:rsidR="00AA4C18" w:rsidRPr="00AA4C18" w:rsidRDefault="00AA4C18" w:rsidP="00792C52">
            <w:pPr>
              <w:pStyle w:val="Textkomentra"/>
              <w:jc w:val="center"/>
            </w:pPr>
            <w:r w:rsidRPr="00AA4C18">
              <w:t>IS – Sčítanie obyvateľov domov a bytov</w:t>
            </w:r>
          </w:p>
        </w:tc>
      </w:tr>
      <w:tr w:rsidR="00AA4C18" w:rsidRPr="00AA4C18" w14:paraId="5747A68B" w14:textId="77777777" w:rsidTr="00792C52">
        <w:trPr>
          <w:trHeight w:val="20"/>
        </w:trPr>
        <w:tc>
          <w:tcPr>
            <w:tcW w:w="3956" w:type="dxa"/>
            <w:shd w:val="clear" w:color="auto" w:fill="BFBFBF"/>
            <w:vAlign w:val="center"/>
          </w:tcPr>
          <w:p w14:paraId="3CB48F21" w14:textId="77777777" w:rsidR="00AA4C18" w:rsidRPr="00AA4C18" w:rsidRDefault="00AA4C18" w:rsidP="00792C52">
            <w:pPr>
              <w:spacing w:line="20" w:lineRule="atLeast"/>
              <w:ind w:hanging="55"/>
              <w:jc w:val="center"/>
              <w:rPr>
                <w:b/>
                <w:szCs w:val="22"/>
              </w:rPr>
            </w:pPr>
            <w:r w:rsidRPr="00AA4C18">
              <w:rPr>
                <w:b/>
                <w:szCs w:val="22"/>
              </w:rPr>
              <w:t>Financovanie procesu informatizácie</w:t>
            </w:r>
          </w:p>
        </w:tc>
        <w:tc>
          <w:tcPr>
            <w:tcW w:w="1162" w:type="dxa"/>
            <w:shd w:val="clear" w:color="auto" w:fill="BFBFBF"/>
            <w:vAlign w:val="center"/>
          </w:tcPr>
          <w:p w14:paraId="75E3B575" w14:textId="77777777" w:rsidR="00AA4C18" w:rsidRPr="00AA4C18" w:rsidRDefault="00AA4C18" w:rsidP="00792C52">
            <w:pPr>
              <w:jc w:val="center"/>
              <w:rPr>
                <w:b/>
                <w:i/>
                <w:iCs/>
                <w:szCs w:val="22"/>
              </w:rPr>
            </w:pPr>
            <w:r w:rsidRPr="00AA4C18">
              <w:rPr>
                <w:b/>
                <w:szCs w:val="22"/>
              </w:rPr>
              <w:t>Rezortná úroveň</w:t>
            </w:r>
          </w:p>
        </w:tc>
        <w:tc>
          <w:tcPr>
            <w:tcW w:w="2268" w:type="dxa"/>
            <w:gridSpan w:val="2"/>
            <w:shd w:val="clear" w:color="auto" w:fill="BFBFBF"/>
            <w:vAlign w:val="center"/>
          </w:tcPr>
          <w:p w14:paraId="3BB54CDB" w14:textId="77777777" w:rsidR="00AA4C18" w:rsidRPr="00AA4C18" w:rsidRDefault="00AA4C18" w:rsidP="00792C52">
            <w:pPr>
              <w:jc w:val="center"/>
              <w:rPr>
                <w:b/>
                <w:i/>
                <w:iCs/>
                <w:szCs w:val="22"/>
              </w:rPr>
            </w:pPr>
            <w:r w:rsidRPr="00AA4C18">
              <w:rPr>
                <w:b/>
                <w:szCs w:val="22"/>
              </w:rPr>
              <w:t>Nadrezortná úroveň</w:t>
            </w:r>
          </w:p>
          <w:p w14:paraId="35523112" w14:textId="77777777" w:rsidR="00AA4C18" w:rsidRPr="00AA4C18" w:rsidRDefault="00AA4C18" w:rsidP="00792C52">
            <w:pPr>
              <w:jc w:val="center"/>
              <w:rPr>
                <w:b/>
                <w:szCs w:val="22"/>
              </w:rPr>
            </w:pPr>
          </w:p>
        </w:tc>
        <w:tc>
          <w:tcPr>
            <w:tcW w:w="1985" w:type="dxa"/>
            <w:gridSpan w:val="2"/>
            <w:shd w:val="clear" w:color="auto" w:fill="BFBFBF"/>
            <w:vAlign w:val="center"/>
          </w:tcPr>
          <w:p w14:paraId="2D314C44" w14:textId="77777777" w:rsidR="00AA4C18" w:rsidRPr="00AA4C18" w:rsidRDefault="00AA4C18" w:rsidP="00792C52">
            <w:pPr>
              <w:rPr>
                <w:b/>
                <w:szCs w:val="22"/>
              </w:rPr>
            </w:pPr>
            <w:r w:rsidRPr="00AA4C18">
              <w:rPr>
                <w:b/>
                <w:szCs w:val="22"/>
              </w:rPr>
              <w:t>A - z prostriedkov EÚ   B - z ďalších zdrojov financovania</w:t>
            </w:r>
          </w:p>
        </w:tc>
      </w:tr>
      <w:tr w:rsidR="00AA4C18" w:rsidRPr="00AA4C18" w14:paraId="2E56932E" w14:textId="77777777" w:rsidTr="00792C52">
        <w:trPr>
          <w:trHeight w:val="20"/>
        </w:trPr>
        <w:tc>
          <w:tcPr>
            <w:tcW w:w="3956" w:type="dxa"/>
          </w:tcPr>
          <w:p w14:paraId="72CCF42A" w14:textId="77777777" w:rsidR="00AA4C18" w:rsidRPr="00AA4C18" w:rsidRDefault="00AA4C18" w:rsidP="00792C52">
            <w:pPr>
              <w:jc w:val="both"/>
              <w:rPr>
                <w:szCs w:val="22"/>
              </w:rPr>
            </w:pPr>
            <w:r w:rsidRPr="00AA4C18">
              <w:rPr>
                <w:b/>
                <w:szCs w:val="22"/>
              </w:rPr>
              <w:t>6.3.</w:t>
            </w:r>
            <w:r w:rsidRPr="00AA4C18">
              <w:rPr>
                <w:szCs w:val="22"/>
              </w:rPr>
              <w:t xml:space="preserve"> Vyžaduje si proces informatizácie  finančné investície?</w:t>
            </w:r>
          </w:p>
          <w:p w14:paraId="3BBFEF03" w14:textId="77777777" w:rsidR="00AA4C18" w:rsidRPr="00AA4C18" w:rsidRDefault="00AA4C18" w:rsidP="00792C52">
            <w:pPr>
              <w:spacing w:line="20" w:lineRule="atLeast"/>
              <w:jc w:val="both"/>
            </w:pPr>
            <w:r w:rsidRPr="00AA4C18">
              <w:rPr>
                <w:i/>
                <w:iCs/>
                <w:szCs w:val="22"/>
              </w:rPr>
              <w:t>(Uveďte príslušnú úroveň financovania a kvantifikáciu finančných výdavkov uveďte  v analýze vplyvov na rozpočet verejnej správy.)</w:t>
            </w:r>
          </w:p>
        </w:tc>
        <w:tc>
          <w:tcPr>
            <w:tcW w:w="1162" w:type="dxa"/>
            <w:vAlign w:val="center"/>
          </w:tcPr>
          <w:p w14:paraId="4D411464" w14:textId="77777777" w:rsidR="00AA4C18" w:rsidRPr="00AA4C18" w:rsidRDefault="00AA4C18" w:rsidP="00792C52">
            <w:pPr>
              <w:jc w:val="center"/>
              <w:rPr>
                <w:i/>
                <w:iCs/>
              </w:rPr>
            </w:pPr>
          </w:p>
          <w:p w14:paraId="54B8130C" w14:textId="77777777" w:rsidR="00AA4C18" w:rsidRPr="00AA4C18" w:rsidRDefault="00AA4C18" w:rsidP="00792C52">
            <w:pPr>
              <w:tabs>
                <w:tab w:val="left" w:pos="640"/>
              </w:tabs>
              <w:jc w:val="center"/>
            </w:pPr>
            <w:r w:rsidRPr="00AA4C18">
              <w:t>X</w:t>
            </w:r>
          </w:p>
        </w:tc>
        <w:tc>
          <w:tcPr>
            <w:tcW w:w="2268" w:type="dxa"/>
            <w:gridSpan w:val="2"/>
            <w:vAlign w:val="center"/>
          </w:tcPr>
          <w:p w14:paraId="34BFA194" w14:textId="77777777" w:rsidR="00AA4C18" w:rsidRPr="00AA4C18" w:rsidRDefault="00AA4C18" w:rsidP="00792C52">
            <w:pPr>
              <w:jc w:val="center"/>
              <w:rPr>
                <w:i/>
                <w:iCs/>
              </w:rPr>
            </w:pPr>
          </w:p>
        </w:tc>
        <w:tc>
          <w:tcPr>
            <w:tcW w:w="1985" w:type="dxa"/>
            <w:gridSpan w:val="2"/>
            <w:vAlign w:val="center"/>
          </w:tcPr>
          <w:p w14:paraId="36A68C06" w14:textId="77777777" w:rsidR="00AA4C18" w:rsidRPr="00AA4C18" w:rsidRDefault="00AA4C18" w:rsidP="00792C52">
            <w:pPr>
              <w:jc w:val="center"/>
              <w:rPr>
                <w:b/>
                <w:iCs/>
              </w:rPr>
            </w:pPr>
          </w:p>
        </w:tc>
      </w:tr>
    </w:tbl>
    <w:p w14:paraId="4A590CC0" w14:textId="77777777" w:rsidR="00AA4C18" w:rsidRPr="00AA4C18" w:rsidRDefault="00AA4C18" w:rsidP="00AA4C18">
      <w:pPr>
        <w:autoSpaceDE w:val="0"/>
        <w:autoSpaceDN w:val="0"/>
        <w:jc w:val="center"/>
        <w:rPr>
          <w:rFonts w:eastAsia="Calibri"/>
          <w:b/>
          <w:bCs/>
          <w:sz w:val="28"/>
          <w:szCs w:val="28"/>
          <w:lang w:eastAsia="en-US"/>
        </w:rPr>
      </w:pPr>
    </w:p>
    <w:p w14:paraId="4DAEA4DA" w14:textId="554AEEB3" w:rsidR="00AA4C18" w:rsidRPr="00AA4C18" w:rsidRDefault="00AA4C18">
      <w:pPr>
        <w:widowControl/>
        <w:adjustRightInd/>
        <w:spacing w:after="200" w:line="276" w:lineRule="auto"/>
      </w:pPr>
      <w:r w:rsidRPr="00AA4C18">
        <w:br w:type="page"/>
      </w:r>
    </w:p>
    <w:p w14:paraId="16AFF370" w14:textId="702C81D2" w:rsidR="00E330A6" w:rsidRPr="00AA4C18" w:rsidRDefault="00E330A6" w:rsidP="00E330A6">
      <w:pPr>
        <w:jc w:val="center"/>
        <w:rPr>
          <w:b/>
          <w:caps/>
          <w:spacing w:val="30"/>
          <w:sz w:val="25"/>
          <w:szCs w:val="25"/>
        </w:rPr>
      </w:pPr>
      <w:r w:rsidRPr="00AA4C18">
        <w:rPr>
          <w:b/>
          <w:caps/>
          <w:spacing w:val="30"/>
          <w:sz w:val="25"/>
          <w:szCs w:val="25"/>
        </w:rPr>
        <w:lastRenderedPageBreak/>
        <w:t>Doložka zlučiteľnosti</w:t>
      </w:r>
    </w:p>
    <w:p w14:paraId="771AC256" w14:textId="77777777" w:rsidR="00E330A6" w:rsidRPr="00AA4C18" w:rsidRDefault="00E330A6" w:rsidP="00E330A6">
      <w:pPr>
        <w:jc w:val="center"/>
        <w:rPr>
          <w:b/>
          <w:sz w:val="25"/>
          <w:szCs w:val="25"/>
        </w:rPr>
      </w:pPr>
      <w:r w:rsidRPr="00AA4C18">
        <w:rPr>
          <w:b/>
          <w:sz w:val="25"/>
          <w:szCs w:val="25"/>
        </w:rPr>
        <w:t>návrhu právneho predpisu s právom Európskej únie</w:t>
      </w:r>
    </w:p>
    <w:p w14:paraId="589E555A" w14:textId="77777777" w:rsidR="00E330A6" w:rsidRPr="00AA4C18" w:rsidRDefault="00E330A6" w:rsidP="00E330A6">
      <w:pPr>
        <w:jc w:val="both"/>
        <w:rPr>
          <w:b/>
          <w:sz w:val="25"/>
          <w:szCs w:val="25"/>
        </w:rPr>
      </w:pPr>
    </w:p>
    <w:p w14:paraId="4D3D3E21" w14:textId="77777777" w:rsidR="00E330A6" w:rsidRPr="00AA4C18" w:rsidRDefault="00E330A6" w:rsidP="00E330A6">
      <w:pPr>
        <w:jc w:val="both"/>
        <w:rPr>
          <w:b/>
          <w:sz w:val="25"/>
          <w:szCs w:val="25"/>
        </w:rPr>
      </w:pPr>
    </w:p>
    <w:tbl>
      <w:tblPr>
        <w:tblStyle w:val="Mriekatabuky"/>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E330A6" w:rsidRPr="00AA4C18" w14:paraId="7FE8EB1E" w14:textId="77777777" w:rsidTr="00240148">
        <w:trPr>
          <w:jc w:val="center"/>
        </w:trPr>
        <w:tc>
          <w:tcPr>
            <w:tcW w:w="404" w:type="dxa"/>
          </w:tcPr>
          <w:p w14:paraId="41854910" w14:textId="77777777" w:rsidR="00E330A6" w:rsidRPr="00AA4C18" w:rsidRDefault="00E330A6" w:rsidP="00240148">
            <w:pPr>
              <w:tabs>
                <w:tab w:val="left" w:pos="360"/>
              </w:tabs>
              <w:jc w:val="both"/>
              <w:rPr>
                <w:b/>
                <w:sz w:val="25"/>
                <w:szCs w:val="25"/>
              </w:rPr>
            </w:pPr>
            <w:r w:rsidRPr="00AA4C18">
              <w:rPr>
                <w:b/>
                <w:sz w:val="25"/>
                <w:szCs w:val="25"/>
              </w:rPr>
              <w:t>1.</w:t>
            </w:r>
          </w:p>
        </w:tc>
        <w:tc>
          <w:tcPr>
            <w:tcW w:w="9627" w:type="dxa"/>
          </w:tcPr>
          <w:p w14:paraId="3150B2D2" w14:textId="77777777" w:rsidR="00E330A6" w:rsidRPr="00AA4C18" w:rsidRDefault="00E330A6" w:rsidP="00240148">
            <w:pPr>
              <w:tabs>
                <w:tab w:val="left" w:pos="360"/>
              </w:tabs>
              <w:jc w:val="both"/>
              <w:rPr>
                <w:sz w:val="25"/>
                <w:szCs w:val="25"/>
              </w:rPr>
            </w:pPr>
            <w:r w:rsidRPr="00AA4C18">
              <w:rPr>
                <w:b/>
                <w:sz w:val="25"/>
                <w:szCs w:val="25"/>
              </w:rPr>
              <w:t>Predkladateľ návrhu právneho predpisu:</w:t>
            </w:r>
            <w:r w:rsidRPr="00AA4C18">
              <w:rPr>
                <w:sz w:val="25"/>
                <w:szCs w:val="25"/>
              </w:rPr>
              <w:t xml:space="preserve"> </w:t>
            </w:r>
            <w:r w:rsidRPr="00AA4C18">
              <w:rPr>
                <w:sz w:val="25"/>
                <w:szCs w:val="25"/>
              </w:rPr>
              <w:fldChar w:fldCharType="begin"/>
            </w:r>
            <w:r w:rsidRPr="00AA4C18">
              <w:rPr>
                <w:sz w:val="25"/>
                <w:szCs w:val="25"/>
              </w:rPr>
              <w:instrText xml:space="preserve"> DOCPROPERTY  FSC#SKEDITIONSLOVLEX@103.510:zodpinstitucia  \* MERGEFORMAT </w:instrText>
            </w:r>
            <w:r w:rsidRPr="00AA4C18">
              <w:rPr>
                <w:sz w:val="25"/>
                <w:szCs w:val="25"/>
              </w:rPr>
              <w:fldChar w:fldCharType="separate"/>
            </w:r>
            <w:r w:rsidRPr="00AA4C18">
              <w:rPr>
                <w:sz w:val="25"/>
                <w:szCs w:val="25"/>
              </w:rPr>
              <w:t>Štatistický úrad Slovenskej republiky</w:t>
            </w:r>
            <w:r w:rsidRPr="00AA4C18">
              <w:rPr>
                <w:sz w:val="25"/>
                <w:szCs w:val="25"/>
              </w:rPr>
              <w:fldChar w:fldCharType="end"/>
            </w:r>
          </w:p>
        </w:tc>
      </w:tr>
      <w:tr w:rsidR="00E330A6" w:rsidRPr="00AA4C18" w14:paraId="493EB216" w14:textId="77777777" w:rsidTr="00240148">
        <w:trPr>
          <w:jc w:val="center"/>
        </w:trPr>
        <w:tc>
          <w:tcPr>
            <w:tcW w:w="404" w:type="dxa"/>
          </w:tcPr>
          <w:p w14:paraId="2590CD05" w14:textId="77777777" w:rsidR="00E330A6" w:rsidRPr="00AA4C18" w:rsidRDefault="00E330A6" w:rsidP="00240148">
            <w:pPr>
              <w:tabs>
                <w:tab w:val="left" w:pos="360"/>
              </w:tabs>
              <w:jc w:val="both"/>
              <w:rPr>
                <w:sz w:val="25"/>
                <w:szCs w:val="25"/>
              </w:rPr>
            </w:pPr>
          </w:p>
        </w:tc>
        <w:tc>
          <w:tcPr>
            <w:tcW w:w="9627" w:type="dxa"/>
          </w:tcPr>
          <w:p w14:paraId="3F15FAAE" w14:textId="77777777" w:rsidR="00E330A6" w:rsidRPr="00AA4C18" w:rsidRDefault="00E330A6" w:rsidP="00240148">
            <w:pPr>
              <w:tabs>
                <w:tab w:val="left" w:pos="360"/>
              </w:tabs>
              <w:jc w:val="both"/>
              <w:rPr>
                <w:sz w:val="25"/>
                <w:szCs w:val="25"/>
              </w:rPr>
            </w:pPr>
          </w:p>
        </w:tc>
      </w:tr>
      <w:tr w:rsidR="00E330A6" w:rsidRPr="00AA4C18" w14:paraId="22CDEBC7" w14:textId="77777777" w:rsidTr="00240148">
        <w:trPr>
          <w:jc w:val="center"/>
        </w:trPr>
        <w:tc>
          <w:tcPr>
            <w:tcW w:w="404" w:type="dxa"/>
          </w:tcPr>
          <w:p w14:paraId="0542DDC6" w14:textId="77777777" w:rsidR="00E330A6" w:rsidRPr="00AA4C18" w:rsidRDefault="00E330A6" w:rsidP="00240148">
            <w:pPr>
              <w:tabs>
                <w:tab w:val="left" w:pos="360"/>
              </w:tabs>
              <w:jc w:val="both"/>
              <w:rPr>
                <w:b/>
                <w:sz w:val="25"/>
                <w:szCs w:val="25"/>
              </w:rPr>
            </w:pPr>
            <w:r w:rsidRPr="00AA4C18">
              <w:rPr>
                <w:b/>
                <w:sz w:val="25"/>
                <w:szCs w:val="25"/>
              </w:rPr>
              <w:t>2.</w:t>
            </w:r>
          </w:p>
        </w:tc>
        <w:tc>
          <w:tcPr>
            <w:tcW w:w="9627" w:type="dxa"/>
          </w:tcPr>
          <w:p w14:paraId="714297FE" w14:textId="77777777" w:rsidR="00E330A6" w:rsidRPr="00AA4C18" w:rsidRDefault="00E330A6" w:rsidP="00240148">
            <w:pPr>
              <w:tabs>
                <w:tab w:val="left" w:pos="360"/>
              </w:tabs>
              <w:jc w:val="both"/>
              <w:rPr>
                <w:sz w:val="25"/>
                <w:szCs w:val="25"/>
              </w:rPr>
            </w:pPr>
            <w:r w:rsidRPr="00AA4C18">
              <w:rPr>
                <w:b/>
                <w:sz w:val="25"/>
                <w:szCs w:val="25"/>
              </w:rPr>
              <w:t>Názov návrhu právneho predpisu:</w:t>
            </w:r>
            <w:r w:rsidRPr="00AA4C18">
              <w:rPr>
                <w:sz w:val="25"/>
                <w:szCs w:val="25"/>
              </w:rPr>
              <w:t xml:space="preserve"> </w:t>
            </w:r>
            <w:r w:rsidRPr="00AA4C18">
              <w:rPr>
                <w:sz w:val="25"/>
                <w:szCs w:val="25"/>
              </w:rPr>
              <w:fldChar w:fldCharType="begin"/>
            </w:r>
            <w:r w:rsidRPr="00AA4C18">
              <w:rPr>
                <w:sz w:val="25"/>
                <w:szCs w:val="25"/>
              </w:rPr>
              <w:instrText xml:space="preserve"> DOCPROPERTY  FSC#SKEDITIONSLOVLEX@103.510:plnynazovpredpis  \* MERGEFORMAT </w:instrText>
            </w:r>
            <w:r w:rsidRPr="00AA4C18">
              <w:rPr>
                <w:sz w:val="25"/>
                <w:szCs w:val="25"/>
              </w:rPr>
              <w:fldChar w:fldCharType="separate"/>
            </w:r>
            <w:r w:rsidRPr="00AA4C18">
              <w:rPr>
                <w:sz w:val="25"/>
                <w:szCs w:val="25"/>
              </w:rPr>
              <w:t xml:space="preserve"> Zákon o sčítaní obyvateľov, domov a bytov v roku 2021</w:t>
            </w:r>
            <w:r w:rsidRPr="00AA4C18">
              <w:rPr>
                <w:sz w:val="25"/>
                <w:szCs w:val="25"/>
              </w:rPr>
              <w:fldChar w:fldCharType="end"/>
            </w:r>
            <w:r w:rsidRPr="00AA4C18">
              <w:rPr>
                <w:sz w:val="25"/>
                <w:szCs w:val="25"/>
              </w:rPr>
              <w:t xml:space="preserve"> a o zmene a doplnení niektorých zákonov </w:t>
            </w:r>
            <w:r w:rsidRPr="00AA4C18">
              <w:rPr>
                <w:sz w:val="25"/>
                <w:szCs w:val="25"/>
              </w:rPr>
              <w:fldChar w:fldCharType="begin"/>
            </w:r>
            <w:r w:rsidRPr="00AA4C18">
              <w:rPr>
                <w:sz w:val="25"/>
                <w:szCs w:val="25"/>
              </w:rPr>
              <w:instrText xml:space="preserve"> DOCPROPERTY  FSC#SKEDITIONSLOVLEX@103.510:plnynazovpredpis1  \* MERGEFORMAT </w:instrText>
            </w:r>
            <w:r w:rsidRPr="00AA4C18">
              <w:rPr>
                <w:sz w:val="25"/>
                <w:szCs w:val="25"/>
              </w:rPr>
              <w:fldChar w:fldCharType="end"/>
            </w:r>
            <w:r w:rsidRPr="00AA4C18">
              <w:rPr>
                <w:sz w:val="25"/>
                <w:szCs w:val="25"/>
              </w:rPr>
              <w:fldChar w:fldCharType="begin"/>
            </w:r>
            <w:r w:rsidRPr="00AA4C18">
              <w:rPr>
                <w:sz w:val="25"/>
                <w:szCs w:val="25"/>
              </w:rPr>
              <w:instrText xml:space="preserve"> DOCPROPERTY  FSC#SKEDITIONSLOVLEX@103.510:plnynazovpredpis2  \* MERGEFORMAT </w:instrText>
            </w:r>
            <w:r w:rsidRPr="00AA4C18">
              <w:rPr>
                <w:sz w:val="25"/>
                <w:szCs w:val="25"/>
              </w:rPr>
              <w:fldChar w:fldCharType="end"/>
            </w:r>
            <w:r w:rsidRPr="00AA4C18">
              <w:rPr>
                <w:sz w:val="25"/>
                <w:szCs w:val="25"/>
              </w:rPr>
              <w:fldChar w:fldCharType="begin"/>
            </w:r>
            <w:r w:rsidRPr="00AA4C18">
              <w:rPr>
                <w:sz w:val="25"/>
                <w:szCs w:val="25"/>
              </w:rPr>
              <w:instrText xml:space="preserve"> DOCPROPERTY  FSC#SKEDITIONSLOVLEX@103.510:plnynazovpredpis3  \* MERGEFORMAT </w:instrText>
            </w:r>
            <w:r w:rsidRPr="00AA4C18">
              <w:rPr>
                <w:sz w:val="25"/>
                <w:szCs w:val="25"/>
              </w:rPr>
              <w:fldChar w:fldCharType="end"/>
            </w:r>
          </w:p>
        </w:tc>
      </w:tr>
      <w:tr w:rsidR="00E330A6" w:rsidRPr="00AA4C18" w14:paraId="2D2FCFB0" w14:textId="77777777" w:rsidTr="00240148">
        <w:trPr>
          <w:jc w:val="center"/>
        </w:trPr>
        <w:tc>
          <w:tcPr>
            <w:tcW w:w="404" w:type="dxa"/>
          </w:tcPr>
          <w:p w14:paraId="50DAF88D" w14:textId="77777777" w:rsidR="00E330A6" w:rsidRPr="00AA4C18" w:rsidRDefault="00E330A6" w:rsidP="00240148">
            <w:pPr>
              <w:tabs>
                <w:tab w:val="left" w:pos="360"/>
              </w:tabs>
              <w:jc w:val="both"/>
              <w:rPr>
                <w:sz w:val="25"/>
                <w:szCs w:val="25"/>
              </w:rPr>
            </w:pPr>
          </w:p>
        </w:tc>
        <w:tc>
          <w:tcPr>
            <w:tcW w:w="9627" w:type="dxa"/>
          </w:tcPr>
          <w:p w14:paraId="7B7E0918" w14:textId="77777777" w:rsidR="00E330A6" w:rsidRPr="00AA4C18" w:rsidRDefault="00E330A6" w:rsidP="00240148">
            <w:pPr>
              <w:tabs>
                <w:tab w:val="left" w:pos="360"/>
              </w:tabs>
              <w:jc w:val="both"/>
              <w:rPr>
                <w:sz w:val="25"/>
                <w:szCs w:val="25"/>
              </w:rPr>
            </w:pPr>
          </w:p>
        </w:tc>
      </w:tr>
      <w:tr w:rsidR="00E330A6" w:rsidRPr="00AA4C18" w14:paraId="12A3D494" w14:textId="77777777" w:rsidTr="00240148">
        <w:trPr>
          <w:jc w:val="center"/>
        </w:trPr>
        <w:tc>
          <w:tcPr>
            <w:tcW w:w="404" w:type="dxa"/>
          </w:tcPr>
          <w:p w14:paraId="1E3F510E" w14:textId="77777777" w:rsidR="00E330A6" w:rsidRPr="00AA4C18" w:rsidRDefault="00E330A6" w:rsidP="00240148">
            <w:pPr>
              <w:tabs>
                <w:tab w:val="left" w:pos="360"/>
              </w:tabs>
              <w:jc w:val="both"/>
              <w:rPr>
                <w:b/>
                <w:sz w:val="25"/>
                <w:szCs w:val="25"/>
              </w:rPr>
            </w:pPr>
            <w:r w:rsidRPr="00AA4C18">
              <w:rPr>
                <w:b/>
                <w:sz w:val="25"/>
                <w:szCs w:val="25"/>
              </w:rPr>
              <w:t>3.</w:t>
            </w:r>
          </w:p>
        </w:tc>
        <w:tc>
          <w:tcPr>
            <w:tcW w:w="9627" w:type="dxa"/>
          </w:tcPr>
          <w:p w14:paraId="7E154FD0" w14:textId="77777777" w:rsidR="00E330A6" w:rsidRPr="00AA4C18" w:rsidRDefault="00E330A6" w:rsidP="00240148">
            <w:pPr>
              <w:tabs>
                <w:tab w:val="left" w:pos="360"/>
              </w:tabs>
              <w:jc w:val="both"/>
              <w:rPr>
                <w:sz w:val="25"/>
                <w:szCs w:val="25"/>
              </w:rPr>
            </w:pPr>
            <w:r w:rsidRPr="00AA4C18">
              <w:rPr>
                <w:b/>
                <w:sz w:val="25"/>
                <w:szCs w:val="25"/>
              </w:rPr>
              <w:t>Problematika návrhu právneho predpisu je upravená v práve Európskej únie</w:t>
            </w:r>
            <w:r w:rsidRPr="00AA4C18">
              <w:rPr>
                <w:b/>
              </w:rPr>
              <w:t>:</w:t>
            </w:r>
          </w:p>
        </w:tc>
      </w:tr>
      <w:tr w:rsidR="00E330A6" w:rsidRPr="00AA4C18" w14:paraId="7FA0516A" w14:textId="77777777" w:rsidTr="00240148">
        <w:trPr>
          <w:jc w:val="center"/>
        </w:trPr>
        <w:tc>
          <w:tcPr>
            <w:tcW w:w="404" w:type="dxa"/>
          </w:tcPr>
          <w:p w14:paraId="321EE88A" w14:textId="77777777" w:rsidR="00E330A6" w:rsidRPr="00AA4C18" w:rsidRDefault="00E330A6" w:rsidP="00240148">
            <w:pPr>
              <w:tabs>
                <w:tab w:val="left" w:pos="360"/>
              </w:tabs>
              <w:jc w:val="both"/>
            </w:pPr>
          </w:p>
        </w:tc>
        <w:tc>
          <w:tcPr>
            <w:tcW w:w="9627" w:type="dxa"/>
          </w:tcPr>
          <w:p w14:paraId="66CBC781" w14:textId="77777777" w:rsidR="00E330A6" w:rsidRPr="00AA4C18" w:rsidRDefault="00E330A6" w:rsidP="00240148">
            <w:pPr>
              <w:pStyle w:val="Odsekzoznamu"/>
              <w:numPr>
                <w:ilvl w:val="0"/>
                <w:numId w:val="3"/>
              </w:numPr>
              <w:spacing w:before="240"/>
              <w:jc w:val="both"/>
              <w:rPr>
                <w:rFonts w:ascii="Times" w:hAnsi="Times" w:cs="Times"/>
                <w:sz w:val="25"/>
                <w:szCs w:val="25"/>
              </w:rPr>
            </w:pPr>
            <w:r w:rsidRPr="00AA4C18">
              <w:rPr>
                <w:rFonts w:ascii="Times" w:hAnsi="Times" w:cs="Times"/>
                <w:i/>
                <w:iCs/>
                <w:sz w:val="25"/>
                <w:szCs w:val="25"/>
              </w:rPr>
              <w:t>v primárnom práve</w:t>
            </w:r>
          </w:p>
          <w:p w14:paraId="32B183BE" w14:textId="77777777" w:rsidR="00E330A6" w:rsidRPr="00AA4C18" w:rsidRDefault="00E330A6" w:rsidP="00240148">
            <w:pPr>
              <w:pStyle w:val="Odsekzoznamu"/>
              <w:ind w:left="360"/>
              <w:jc w:val="both"/>
              <w:rPr>
                <w:rFonts w:ascii="Times" w:hAnsi="Times" w:cs="Times"/>
                <w:sz w:val="25"/>
                <w:szCs w:val="25"/>
              </w:rPr>
            </w:pPr>
            <w:r w:rsidRPr="00AA4C18">
              <w:rPr>
                <w:rFonts w:ascii="Times" w:hAnsi="Times" w:cs="Times"/>
                <w:sz w:val="25"/>
                <w:szCs w:val="25"/>
              </w:rPr>
              <w:t>- čl. 159 a 175 Zmluvy o fungovaní Európskej únie.</w:t>
            </w:r>
          </w:p>
          <w:p w14:paraId="5F17EEBB" w14:textId="77777777" w:rsidR="00E330A6" w:rsidRPr="00AA4C18" w:rsidRDefault="00E330A6" w:rsidP="00240148">
            <w:pPr>
              <w:pStyle w:val="Odsekzoznamu"/>
              <w:tabs>
                <w:tab w:val="left" w:pos="360"/>
              </w:tabs>
              <w:ind w:left="360"/>
              <w:jc w:val="both"/>
            </w:pPr>
          </w:p>
          <w:p w14:paraId="342E6C8D" w14:textId="77777777" w:rsidR="00E330A6" w:rsidRPr="00AA4C18" w:rsidRDefault="00E330A6" w:rsidP="00240148">
            <w:pPr>
              <w:pStyle w:val="Odsekzoznamu"/>
              <w:numPr>
                <w:ilvl w:val="0"/>
                <w:numId w:val="3"/>
              </w:numPr>
              <w:jc w:val="both"/>
              <w:rPr>
                <w:rFonts w:ascii="Times" w:hAnsi="Times" w:cs="Times"/>
                <w:sz w:val="25"/>
                <w:szCs w:val="25"/>
              </w:rPr>
            </w:pPr>
            <w:r w:rsidRPr="00AA4C18">
              <w:rPr>
                <w:rFonts w:ascii="Times" w:hAnsi="Times" w:cs="Times"/>
                <w:i/>
                <w:iCs/>
                <w:sz w:val="25"/>
                <w:szCs w:val="25"/>
              </w:rPr>
              <w:t xml:space="preserve">v sekundárnom práve </w:t>
            </w:r>
          </w:p>
          <w:p w14:paraId="74073749" w14:textId="77777777" w:rsidR="00E330A6" w:rsidRPr="00AA4C18" w:rsidRDefault="00E330A6" w:rsidP="00240148">
            <w:pPr>
              <w:pStyle w:val="Odsekzoznamu"/>
              <w:numPr>
                <w:ilvl w:val="0"/>
                <w:numId w:val="4"/>
              </w:numPr>
              <w:spacing w:before="240"/>
              <w:ind w:left="357" w:hanging="357"/>
              <w:contextualSpacing w:val="0"/>
              <w:jc w:val="both"/>
              <w:rPr>
                <w:rFonts w:ascii="Times" w:hAnsi="Times" w:cs="Times"/>
                <w:sz w:val="25"/>
                <w:szCs w:val="25"/>
              </w:rPr>
            </w:pPr>
            <w:r w:rsidRPr="00AA4C18">
              <w:rPr>
                <w:rFonts w:ascii="Times" w:hAnsi="Times" w:cs="Times"/>
                <w:sz w:val="25"/>
                <w:szCs w:val="25"/>
              </w:rPr>
              <w:t xml:space="preserve">nariadenie Európskeho parlamentu a Rady (ES) č. 763/2008 z 9. júla 2008 o sčítaní obyvateľov, domov a bytov (Ú. v. EÚ L 218, 13.8.2008), gestori: ŠÚ SR, MF SR, MV SR, MŽP SR, ÚGKK SR, </w:t>
            </w:r>
          </w:p>
          <w:p w14:paraId="53E0D218" w14:textId="77777777" w:rsidR="00E330A6" w:rsidRPr="00AA4C18" w:rsidRDefault="00E330A6" w:rsidP="00240148">
            <w:pPr>
              <w:pStyle w:val="Odsekzoznamu"/>
              <w:numPr>
                <w:ilvl w:val="0"/>
                <w:numId w:val="4"/>
              </w:numPr>
              <w:jc w:val="both"/>
              <w:rPr>
                <w:rFonts w:ascii="Times" w:hAnsi="Times" w:cs="Times"/>
                <w:sz w:val="25"/>
                <w:szCs w:val="25"/>
              </w:rPr>
            </w:pPr>
            <w:r w:rsidRPr="00AA4C18">
              <w:rPr>
                <w:rFonts w:ascii="Times" w:hAnsi="Times" w:cs="Times"/>
                <w:sz w:val="25"/>
                <w:szCs w:val="25"/>
              </w:rPr>
              <w:t xml:space="preserve">nariadenie Európskeho parlamentu a Rady (EÚ) č. 1260/2013 z 20. novembra 2013 o európskej demografickej štatistike (Ú. v. EÚ L 330, 10.12.2013), gestor: ŠÚ SR, </w:t>
            </w:r>
          </w:p>
          <w:p w14:paraId="72E8D62E" w14:textId="77777777" w:rsidR="00E330A6" w:rsidRPr="00AA4C18" w:rsidRDefault="00E330A6" w:rsidP="00240148">
            <w:pPr>
              <w:pStyle w:val="Odsekzoznamu"/>
              <w:numPr>
                <w:ilvl w:val="0"/>
                <w:numId w:val="4"/>
              </w:numPr>
              <w:jc w:val="both"/>
              <w:rPr>
                <w:rFonts w:ascii="Times" w:hAnsi="Times" w:cs="Times"/>
                <w:sz w:val="25"/>
                <w:szCs w:val="25"/>
              </w:rPr>
            </w:pPr>
            <w:r w:rsidRPr="00AA4C18">
              <w:rPr>
                <w:rFonts w:ascii="Times" w:hAnsi="Times" w:cs="Times"/>
                <w:sz w:val="25"/>
                <w:szCs w:val="25"/>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gestor: ÚOOÚ SR, </w:t>
            </w:r>
          </w:p>
          <w:p w14:paraId="696D9F64" w14:textId="77777777" w:rsidR="00E330A6" w:rsidRPr="00AA4C18" w:rsidRDefault="00E330A6" w:rsidP="00240148">
            <w:pPr>
              <w:pStyle w:val="Odsekzoznamu"/>
              <w:numPr>
                <w:ilvl w:val="0"/>
                <w:numId w:val="4"/>
              </w:numPr>
              <w:jc w:val="both"/>
              <w:rPr>
                <w:rFonts w:ascii="Times" w:hAnsi="Times" w:cs="Times"/>
                <w:sz w:val="25"/>
                <w:szCs w:val="25"/>
              </w:rPr>
            </w:pPr>
            <w:r w:rsidRPr="00AA4C18">
              <w:rPr>
                <w:rFonts w:ascii="Times" w:hAnsi="Times" w:cs="Times"/>
                <w:sz w:val="25"/>
                <w:szCs w:val="25"/>
              </w:rPr>
              <w:t xml:space="preserve">vykonávacie nariadenie Komisie (EÚ) č. 2017/543 z 22. marca 2017, ktorým sa stanovujú pravidlá uplatňovania nariadenia Európskeho parlamentu a Rady (ES) č. 763/2008 o sčítaní obyvateľov, domov a bytov, pokiaľ ide o technické špecifikácie tém a ich členení (Ú. v. EÚ L 78, 23.3.2017), gestor: ŠÚ SR, </w:t>
            </w:r>
          </w:p>
          <w:p w14:paraId="2D88A2C2" w14:textId="77777777" w:rsidR="00E330A6" w:rsidRPr="00AA4C18" w:rsidRDefault="00E330A6" w:rsidP="00240148">
            <w:pPr>
              <w:pStyle w:val="Odsekzoznamu"/>
              <w:numPr>
                <w:ilvl w:val="0"/>
                <w:numId w:val="4"/>
              </w:numPr>
              <w:jc w:val="both"/>
              <w:rPr>
                <w:rFonts w:ascii="Times" w:hAnsi="Times" w:cs="Times"/>
                <w:sz w:val="25"/>
                <w:szCs w:val="25"/>
              </w:rPr>
            </w:pPr>
            <w:r w:rsidRPr="00AA4C18">
              <w:rPr>
                <w:rFonts w:ascii="Times" w:hAnsi="Times" w:cs="Times"/>
                <w:sz w:val="25"/>
                <w:szCs w:val="25"/>
              </w:rPr>
              <w:t xml:space="preserve">nariadenie Komisie (EÚ) č. 2017/712 z 20. apríla 2017, ktorým sa stanovuje referenčný rok a prijíma sa program štatistických údajov a metaúdajov pre sčítanie obyvateľov, domov a bytov podľa nariadenia Európskeho parlamentu a Rady (ES) č. 763/2008 (Ú. v. EÚ L 105, 21.4.2017), gestor: ŠÚ SR, </w:t>
            </w:r>
          </w:p>
          <w:p w14:paraId="6DD8C7BD" w14:textId="77777777" w:rsidR="00E330A6" w:rsidRPr="00AA4C18" w:rsidRDefault="00E330A6" w:rsidP="00240148">
            <w:pPr>
              <w:pStyle w:val="Odsekzoznamu"/>
              <w:numPr>
                <w:ilvl w:val="0"/>
                <w:numId w:val="4"/>
              </w:numPr>
              <w:jc w:val="both"/>
              <w:rPr>
                <w:rFonts w:ascii="Times" w:hAnsi="Times" w:cs="Times"/>
                <w:sz w:val="25"/>
                <w:szCs w:val="25"/>
              </w:rPr>
            </w:pPr>
            <w:r w:rsidRPr="00AA4C18">
              <w:rPr>
                <w:rFonts w:ascii="Times" w:hAnsi="Times" w:cs="Times"/>
                <w:sz w:val="25"/>
                <w:szCs w:val="25"/>
              </w:rPr>
              <w:t xml:space="preserve">vykonávacie nariadenie Komisie (EÚ) č. 2017/881 z 23. mája 2017, ktorým sa vykonáva nariadenie Európskeho parlamentu a Rady (ES) č. 763/2008 o sčítaní obyvateľov, domov a bytov, pokiaľ ide o formu a štruktúru správ o kvalite a technický formát na zasielanie údajov, a ktorým sa mení nariadenie (EÚ) č. 1151/2010 (Ú. v. EÚ L 135, 24.5.2017), gestor: ŠÚ SR. </w:t>
            </w:r>
          </w:p>
          <w:p w14:paraId="307380A4" w14:textId="77777777" w:rsidR="00E330A6" w:rsidRPr="00AA4C18" w:rsidRDefault="00E330A6" w:rsidP="00240148">
            <w:pPr>
              <w:pStyle w:val="Odsekzoznamu"/>
              <w:numPr>
                <w:ilvl w:val="0"/>
                <w:numId w:val="4"/>
              </w:numPr>
              <w:jc w:val="both"/>
              <w:rPr>
                <w:rFonts w:ascii="Times" w:hAnsi="Times" w:cs="Times"/>
                <w:sz w:val="25"/>
                <w:szCs w:val="25"/>
              </w:rPr>
            </w:pPr>
            <w:r w:rsidRPr="00AA4C18">
              <w:rPr>
                <w:rFonts w:ascii="Times" w:hAnsi="Times" w:cs="Times"/>
                <w:sz w:val="25"/>
                <w:szCs w:val="25"/>
              </w:rPr>
              <w:t xml:space="preserve">vykonávacie nariadenie Komisie (EÚ) č. 2018/1799 z 21. novembra 2018 o prechodnom priamom štatistickom opatrení zameranom na zverejňovanie vybraných tém sčítania obyvateľov, domov a bytov v roku 2021 </w:t>
            </w:r>
            <w:proofErr w:type="spellStart"/>
            <w:r w:rsidRPr="00AA4C18">
              <w:rPr>
                <w:rFonts w:ascii="Times" w:hAnsi="Times" w:cs="Times"/>
                <w:sz w:val="25"/>
                <w:szCs w:val="25"/>
              </w:rPr>
              <w:t>geokódovaných</w:t>
            </w:r>
            <w:proofErr w:type="spellEnd"/>
            <w:r w:rsidRPr="00AA4C18">
              <w:rPr>
                <w:rFonts w:ascii="Times" w:hAnsi="Times" w:cs="Times"/>
                <w:sz w:val="25"/>
                <w:szCs w:val="25"/>
              </w:rPr>
              <w:t xml:space="preserve"> na sieť s bunkami s rozlohou bunky 1 km</w:t>
            </w:r>
            <w:r w:rsidRPr="00AA4C18">
              <w:rPr>
                <w:rFonts w:ascii="Times" w:hAnsi="Times" w:cs="Times"/>
                <w:sz w:val="25"/>
                <w:szCs w:val="25"/>
                <w:vertAlign w:val="superscript"/>
              </w:rPr>
              <w:t>2</w:t>
            </w:r>
            <w:r w:rsidRPr="00AA4C18">
              <w:rPr>
                <w:rFonts w:ascii="Times" w:hAnsi="Times" w:cs="Times"/>
                <w:sz w:val="25"/>
                <w:szCs w:val="25"/>
              </w:rPr>
              <w:t xml:space="preserve"> (Ú. v. EÚ L 296, 22.11.2018), gestor:</w:t>
            </w:r>
          </w:p>
          <w:p w14:paraId="5A1AEB78" w14:textId="77777777" w:rsidR="00E330A6" w:rsidRPr="00AA4C18" w:rsidRDefault="00E330A6" w:rsidP="00240148">
            <w:pPr>
              <w:pStyle w:val="Odsekzoznamu"/>
              <w:tabs>
                <w:tab w:val="left" w:pos="360"/>
              </w:tabs>
              <w:ind w:left="360"/>
              <w:jc w:val="both"/>
            </w:pPr>
          </w:p>
          <w:p w14:paraId="55C836E8" w14:textId="77777777" w:rsidR="00E330A6" w:rsidRPr="00AA4C18" w:rsidRDefault="00E330A6" w:rsidP="00240148">
            <w:pPr>
              <w:pStyle w:val="Odsekzoznamu"/>
              <w:numPr>
                <w:ilvl w:val="0"/>
                <w:numId w:val="3"/>
              </w:numPr>
              <w:tabs>
                <w:tab w:val="left" w:pos="360"/>
              </w:tabs>
              <w:jc w:val="both"/>
              <w:rPr>
                <w:rFonts w:ascii="Times" w:hAnsi="Times" w:cs="Times"/>
                <w:i/>
                <w:iCs/>
                <w:sz w:val="25"/>
                <w:szCs w:val="25"/>
              </w:rPr>
            </w:pPr>
            <w:r w:rsidRPr="00AA4C18">
              <w:rPr>
                <w:rFonts w:ascii="Times" w:hAnsi="Times" w:cs="Times"/>
                <w:i/>
                <w:iCs/>
                <w:sz w:val="25"/>
                <w:szCs w:val="25"/>
              </w:rPr>
              <w:t>nie je upravená v judikatúre Súdneho dvora Európskej únie</w:t>
            </w:r>
          </w:p>
          <w:p w14:paraId="7CEF33BA" w14:textId="77777777" w:rsidR="00E330A6" w:rsidRPr="00AA4C18" w:rsidRDefault="00E330A6" w:rsidP="00240148">
            <w:pPr>
              <w:pStyle w:val="Odsekzoznamu"/>
              <w:tabs>
                <w:tab w:val="left" w:pos="360"/>
              </w:tabs>
              <w:ind w:left="360"/>
              <w:jc w:val="both"/>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E330A6" w:rsidRPr="00AA4C18" w14:paraId="52665755" w14:textId="77777777" w:rsidTr="00240148">
        <w:trPr>
          <w:jc w:val="center"/>
        </w:trPr>
        <w:tc>
          <w:tcPr>
            <w:tcW w:w="250" w:type="pct"/>
            <w:tcBorders>
              <w:top w:val="nil"/>
              <w:left w:val="nil"/>
              <w:bottom w:val="nil"/>
              <w:right w:val="nil"/>
            </w:tcBorders>
            <w:hideMark/>
          </w:tcPr>
          <w:p w14:paraId="4460509C" w14:textId="77777777" w:rsidR="00E330A6" w:rsidRPr="00AA4C18" w:rsidRDefault="00E330A6" w:rsidP="00240148">
            <w:pPr>
              <w:jc w:val="both"/>
              <w:rPr>
                <w:rFonts w:ascii="Times" w:hAnsi="Times" w:cs="Times"/>
                <w:b/>
                <w:bCs/>
                <w:sz w:val="25"/>
                <w:szCs w:val="25"/>
              </w:rPr>
            </w:pPr>
            <w:r w:rsidRPr="00AA4C18">
              <w:rPr>
                <w:rFonts w:ascii="Times" w:hAnsi="Times" w:cs="Times"/>
                <w:b/>
                <w:bCs/>
                <w:sz w:val="25"/>
                <w:szCs w:val="25"/>
              </w:rPr>
              <w:t>4.</w:t>
            </w:r>
          </w:p>
        </w:tc>
        <w:tc>
          <w:tcPr>
            <w:tcW w:w="4750" w:type="pct"/>
            <w:gridSpan w:val="2"/>
            <w:tcBorders>
              <w:top w:val="nil"/>
              <w:left w:val="nil"/>
              <w:bottom w:val="nil"/>
              <w:right w:val="nil"/>
            </w:tcBorders>
            <w:vAlign w:val="center"/>
            <w:hideMark/>
          </w:tcPr>
          <w:p w14:paraId="3E014950" w14:textId="77777777" w:rsidR="00E330A6" w:rsidRPr="00AA4C18" w:rsidRDefault="00E330A6" w:rsidP="00240148">
            <w:pPr>
              <w:spacing w:after="250"/>
              <w:jc w:val="both"/>
              <w:rPr>
                <w:rFonts w:ascii="Times" w:hAnsi="Times" w:cs="Times"/>
                <w:b/>
                <w:bCs/>
                <w:sz w:val="25"/>
                <w:szCs w:val="25"/>
              </w:rPr>
            </w:pPr>
            <w:r w:rsidRPr="00AA4C18">
              <w:rPr>
                <w:rFonts w:ascii="Times" w:hAnsi="Times" w:cs="Times"/>
                <w:b/>
                <w:bCs/>
                <w:sz w:val="25"/>
                <w:szCs w:val="25"/>
              </w:rPr>
              <w:t>Záväzky Slovenskej republiky vo vzťahu k Európskej únii:</w:t>
            </w:r>
          </w:p>
        </w:tc>
      </w:tr>
      <w:tr w:rsidR="00E330A6" w:rsidRPr="00AA4C18" w14:paraId="18EBF5C8" w14:textId="77777777" w:rsidTr="00240148">
        <w:trPr>
          <w:jc w:val="center"/>
        </w:trPr>
        <w:tc>
          <w:tcPr>
            <w:tcW w:w="0" w:type="auto"/>
            <w:tcBorders>
              <w:top w:val="nil"/>
              <w:left w:val="nil"/>
              <w:bottom w:val="nil"/>
              <w:right w:val="nil"/>
            </w:tcBorders>
            <w:hideMark/>
          </w:tcPr>
          <w:p w14:paraId="3B31267B" w14:textId="77777777" w:rsidR="00E330A6" w:rsidRPr="00AA4C18" w:rsidRDefault="00E330A6" w:rsidP="00240148">
            <w:pPr>
              <w:spacing w:after="250"/>
              <w:jc w:val="both"/>
              <w:rPr>
                <w:rFonts w:ascii="Times" w:hAnsi="Times" w:cs="Times"/>
                <w:b/>
                <w:bCs/>
                <w:sz w:val="25"/>
                <w:szCs w:val="25"/>
              </w:rPr>
            </w:pPr>
          </w:p>
        </w:tc>
        <w:tc>
          <w:tcPr>
            <w:tcW w:w="150" w:type="pct"/>
            <w:tcBorders>
              <w:top w:val="nil"/>
              <w:left w:val="nil"/>
              <w:bottom w:val="nil"/>
              <w:right w:val="nil"/>
            </w:tcBorders>
            <w:hideMark/>
          </w:tcPr>
          <w:p w14:paraId="679E04EA" w14:textId="77777777" w:rsidR="00E330A6" w:rsidRPr="00AA4C18" w:rsidRDefault="00E330A6" w:rsidP="00240148">
            <w:pPr>
              <w:jc w:val="both"/>
              <w:rPr>
                <w:rFonts w:ascii="Times" w:hAnsi="Times" w:cs="Times"/>
                <w:sz w:val="25"/>
                <w:szCs w:val="25"/>
              </w:rPr>
            </w:pPr>
            <w:r w:rsidRPr="00AA4C18">
              <w:rPr>
                <w:rFonts w:ascii="Times" w:hAnsi="Times" w:cs="Times"/>
                <w:sz w:val="25"/>
                <w:szCs w:val="25"/>
              </w:rPr>
              <w:t>a)</w:t>
            </w:r>
          </w:p>
        </w:tc>
        <w:tc>
          <w:tcPr>
            <w:tcW w:w="0" w:type="auto"/>
            <w:tcBorders>
              <w:top w:val="nil"/>
              <w:left w:val="nil"/>
              <w:bottom w:val="nil"/>
              <w:right w:val="nil"/>
            </w:tcBorders>
            <w:hideMark/>
          </w:tcPr>
          <w:p w14:paraId="342F62BF" w14:textId="77777777" w:rsidR="00E330A6" w:rsidRPr="00AA4C18" w:rsidRDefault="00E330A6" w:rsidP="00240148">
            <w:pPr>
              <w:spacing w:after="250"/>
              <w:rPr>
                <w:rFonts w:ascii="Times" w:hAnsi="Times" w:cs="Times"/>
                <w:sz w:val="25"/>
                <w:szCs w:val="25"/>
              </w:rPr>
            </w:pPr>
            <w:r w:rsidRPr="00AA4C18">
              <w:rPr>
                <w:rFonts w:ascii="Times" w:hAnsi="Times" w:cs="Times"/>
                <w:sz w:val="25"/>
                <w:szCs w:val="25"/>
              </w:rPr>
              <w:t xml:space="preserve">lehota na prebratie smernice alebo lehota na implementáciu nariadenia alebo </w:t>
            </w:r>
            <w:r w:rsidRPr="00AA4C18">
              <w:rPr>
                <w:rFonts w:ascii="Times" w:hAnsi="Times" w:cs="Times"/>
                <w:sz w:val="25"/>
                <w:szCs w:val="25"/>
              </w:rPr>
              <w:lastRenderedPageBreak/>
              <w:t>rozhodnutia</w:t>
            </w:r>
          </w:p>
        </w:tc>
      </w:tr>
      <w:tr w:rsidR="00E330A6" w:rsidRPr="00AA4C18" w14:paraId="2CC70C36" w14:textId="77777777" w:rsidTr="00240148">
        <w:trPr>
          <w:jc w:val="center"/>
        </w:trPr>
        <w:tc>
          <w:tcPr>
            <w:tcW w:w="0" w:type="auto"/>
            <w:tcBorders>
              <w:top w:val="nil"/>
              <w:left w:val="nil"/>
              <w:bottom w:val="nil"/>
              <w:right w:val="nil"/>
            </w:tcBorders>
            <w:hideMark/>
          </w:tcPr>
          <w:p w14:paraId="2F40BC92" w14:textId="77777777" w:rsidR="00E330A6" w:rsidRPr="00AA4C18" w:rsidRDefault="00E330A6" w:rsidP="00240148">
            <w:pPr>
              <w:spacing w:after="250"/>
              <w:jc w:val="both"/>
              <w:rPr>
                <w:rFonts w:ascii="Times" w:hAnsi="Times" w:cs="Times"/>
                <w:sz w:val="25"/>
                <w:szCs w:val="25"/>
              </w:rPr>
            </w:pPr>
          </w:p>
        </w:tc>
        <w:tc>
          <w:tcPr>
            <w:tcW w:w="0" w:type="auto"/>
            <w:tcBorders>
              <w:top w:val="nil"/>
              <w:left w:val="nil"/>
              <w:bottom w:val="nil"/>
              <w:right w:val="nil"/>
            </w:tcBorders>
            <w:hideMark/>
          </w:tcPr>
          <w:p w14:paraId="618EE861" w14:textId="77777777" w:rsidR="00E330A6" w:rsidRPr="00AA4C18" w:rsidRDefault="00E330A6" w:rsidP="00240148">
            <w:pPr>
              <w:jc w:val="both"/>
              <w:rPr>
                <w:sz w:val="20"/>
                <w:szCs w:val="20"/>
              </w:rPr>
            </w:pPr>
          </w:p>
        </w:tc>
        <w:tc>
          <w:tcPr>
            <w:tcW w:w="0" w:type="auto"/>
            <w:tcBorders>
              <w:top w:val="nil"/>
              <w:left w:val="nil"/>
              <w:bottom w:val="nil"/>
              <w:right w:val="nil"/>
            </w:tcBorders>
            <w:vAlign w:val="center"/>
            <w:hideMark/>
          </w:tcPr>
          <w:p w14:paraId="4275CC0C"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Lehota na implementáciu nariadenia (ES) č. 763/2008, nariadenia (EÚ) č. 1260/2013 a  nariadenia (EÚ) č. 2017/712 nebola určená.</w:t>
            </w:r>
          </w:p>
          <w:p w14:paraId="3C21B709"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Lehota na implementáciu nariadenia (EÚ) č. 2016/679 uplynula 24. mája 2018.</w:t>
            </w:r>
          </w:p>
          <w:p w14:paraId="7477A377"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Lehoty na implementáciu vykonávacích nariadení EÚ neboli určené.</w:t>
            </w:r>
          </w:p>
        </w:tc>
      </w:tr>
      <w:tr w:rsidR="00E330A6" w:rsidRPr="00AA4C18" w14:paraId="5E5957F4" w14:textId="77777777" w:rsidTr="00240148">
        <w:trPr>
          <w:jc w:val="center"/>
        </w:trPr>
        <w:tc>
          <w:tcPr>
            <w:tcW w:w="0" w:type="auto"/>
            <w:tcBorders>
              <w:top w:val="nil"/>
              <w:left w:val="nil"/>
              <w:bottom w:val="nil"/>
              <w:right w:val="nil"/>
            </w:tcBorders>
            <w:hideMark/>
          </w:tcPr>
          <w:p w14:paraId="6B2C3062" w14:textId="77777777" w:rsidR="00E330A6" w:rsidRPr="00AA4C18" w:rsidRDefault="00E330A6" w:rsidP="00240148">
            <w:pPr>
              <w:spacing w:after="250"/>
              <w:jc w:val="both"/>
              <w:rPr>
                <w:rFonts w:ascii="Times" w:hAnsi="Times" w:cs="Times"/>
                <w:sz w:val="25"/>
                <w:szCs w:val="25"/>
              </w:rPr>
            </w:pPr>
          </w:p>
        </w:tc>
        <w:tc>
          <w:tcPr>
            <w:tcW w:w="0" w:type="auto"/>
            <w:tcBorders>
              <w:top w:val="nil"/>
              <w:left w:val="nil"/>
              <w:bottom w:val="nil"/>
              <w:right w:val="nil"/>
            </w:tcBorders>
            <w:hideMark/>
          </w:tcPr>
          <w:p w14:paraId="1949055B" w14:textId="77777777" w:rsidR="00E330A6" w:rsidRPr="00AA4C18" w:rsidRDefault="00E330A6" w:rsidP="00240148">
            <w:pPr>
              <w:jc w:val="both"/>
              <w:rPr>
                <w:rFonts w:ascii="Times" w:hAnsi="Times" w:cs="Times"/>
                <w:sz w:val="25"/>
                <w:szCs w:val="25"/>
              </w:rPr>
            </w:pPr>
            <w:r w:rsidRPr="00AA4C18">
              <w:rPr>
                <w:rFonts w:ascii="Times" w:hAnsi="Times" w:cs="Times"/>
                <w:sz w:val="25"/>
                <w:szCs w:val="25"/>
              </w:rPr>
              <w:t>b)</w:t>
            </w:r>
          </w:p>
        </w:tc>
        <w:tc>
          <w:tcPr>
            <w:tcW w:w="0" w:type="auto"/>
            <w:tcBorders>
              <w:top w:val="nil"/>
              <w:left w:val="nil"/>
              <w:bottom w:val="nil"/>
              <w:right w:val="nil"/>
            </w:tcBorders>
            <w:hideMark/>
          </w:tcPr>
          <w:p w14:paraId="215F4150"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E330A6" w:rsidRPr="00AA4C18" w14:paraId="150412A8" w14:textId="77777777" w:rsidTr="00240148">
        <w:trPr>
          <w:jc w:val="center"/>
        </w:trPr>
        <w:tc>
          <w:tcPr>
            <w:tcW w:w="0" w:type="auto"/>
            <w:tcBorders>
              <w:top w:val="nil"/>
              <w:left w:val="nil"/>
              <w:bottom w:val="nil"/>
              <w:right w:val="nil"/>
            </w:tcBorders>
            <w:hideMark/>
          </w:tcPr>
          <w:p w14:paraId="249006D5" w14:textId="77777777" w:rsidR="00E330A6" w:rsidRPr="00AA4C18" w:rsidRDefault="00E330A6" w:rsidP="00240148">
            <w:pPr>
              <w:spacing w:after="250"/>
              <w:jc w:val="both"/>
              <w:rPr>
                <w:rFonts w:ascii="Times" w:hAnsi="Times" w:cs="Times"/>
                <w:sz w:val="25"/>
                <w:szCs w:val="25"/>
              </w:rPr>
            </w:pPr>
          </w:p>
        </w:tc>
        <w:tc>
          <w:tcPr>
            <w:tcW w:w="0" w:type="auto"/>
            <w:tcBorders>
              <w:top w:val="nil"/>
              <w:left w:val="nil"/>
              <w:bottom w:val="nil"/>
              <w:right w:val="nil"/>
            </w:tcBorders>
            <w:hideMark/>
          </w:tcPr>
          <w:p w14:paraId="4462CF07" w14:textId="77777777" w:rsidR="00E330A6" w:rsidRPr="00AA4C18" w:rsidRDefault="00E330A6" w:rsidP="00240148">
            <w:pPr>
              <w:jc w:val="both"/>
              <w:rPr>
                <w:sz w:val="20"/>
                <w:szCs w:val="20"/>
              </w:rPr>
            </w:pPr>
          </w:p>
        </w:tc>
        <w:tc>
          <w:tcPr>
            <w:tcW w:w="0" w:type="auto"/>
            <w:tcBorders>
              <w:top w:val="nil"/>
              <w:left w:val="nil"/>
              <w:bottom w:val="nil"/>
              <w:right w:val="nil"/>
            </w:tcBorders>
            <w:vAlign w:val="center"/>
            <w:hideMark/>
          </w:tcPr>
          <w:p w14:paraId="1DAD1B7B"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Proti Slovenskej republike nebolo začaté konanie v rámci „EÚ Pilot“, nebol začatý postup EK ani nebolo začaté konanie Súdneho dvora EÚ proti SR podľa čl. 258 až 260 Zmluvy o fungovaní Európskej únie.</w:t>
            </w:r>
          </w:p>
        </w:tc>
      </w:tr>
      <w:tr w:rsidR="00E330A6" w:rsidRPr="00AA4C18" w14:paraId="030BBE1E" w14:textId="77777777" w:rsidTr="00240148">
        <w:trPr>
          <w:jc w:val="center"/>
        </w:trPr>
        <w:tc>
          <w:tcPr>
            <w:tcW w:w="0" w:type="auto"/>
            <w:tcBorders>
              <w:top w:val="nil"/>
              <w:left w:val="nil"/>
              <w:bottom w:val="nil"/>
              <w:right w:val="nil"/>
            </w:tcBorders>
            <w:hideMark/>
          </w:tcPr>
          <w:p w14:paraId="584C69C2" w14:textId="77777777" w:rsidR="00E330A6" w:rsidRPr="00AA4C18" w:rsidRDefault="00E330A6" w:rsidP="00240148">
            <w:pPr>
              <w:spacing w:after="250"/>
              <w:jc w:val="both"/>
              <w:rPr>
                <w:rFonts w:ascii="Times" w:hAnsi="Times" w:cs="Times"/>
                <w:sz w:val="25"/>
                <w:szCs w:val="25"/>
              </w:rPr>
            </w:pPr>
          </w:p>
        </w:tc>
        <w:tc>
          <w:tcPr>
            <w:tcW w:w="0" w:type="auto"/>
            <w:tcBorders>
              <w:top w:val="nil"/>
              <w:left w:val="nil"/>
              <w:bottom w:val="nil"/>
              <w:right w:val="nil"/>
            </w:tcBorders>
            <w:hideMark/>
          </w:tcPr>
          <w:p w14:paraId="06821032" w14:textId="77777777" w:rsidR="00E330A6" w:rsidRPr="00AA4C18" w:rsidRDefault="00E330A6" w:rsidP="00240148">
            <w:pPr>
              <w:jc w:val="both"/>
              <w:rPr>
                <w:rFonts w:ascii="Times" w:hAnsi="Times" w:cs="Times"/>
                <w:sz w:val="25"/>
                <w:szCs w:val="25"/>
              </w:rPr>
            </w:pPr>
            <w:r w:rsidRPr="00AA4C18">
              <w:rPr>
                <w:rFonts w:ascii="Times" w:hAnsi="Times" w:cs="Times"/>
                <w:sz w:val="25"/>
                <w:szCs w:val="25"/>
              </w:rPr>
              <w:t>c)</w:t>
            </w:r>
          </w:p>
        </w:tc>
        <w:tc>
          <w:tcPr>
            <w:tcW w:w="0" w:type="auto"/>
            <w:tcBorders>
              <w:top w:val="nil"/>
              <w:left w:val="nil"/>
              <w:bottom w:val="nil"/>
              <w:right w:val="nil"/>
            </w:tcBorders>
            <w:hideMark/>
          </w:tcPr>
          <w:p w14:paraId="46B4040A" w14:textId="77777777" w:rsidR="00E330A6" w:rsidRPr="00AA4C18" w:rsidRDefault="00E330A6" w:rsidP="00240148">
            <w:pPr>
              <w:spacing w:after="250"/>
              <w:rPr>
                <w:rFonts w:ascii="Times" w:hAnsi="Times" w:cs="Times"/>
                <w:sz w:val="25"/>
                <w:szCs w:val="25"/>
              </w:rPr>
            </w:pPr>
            <w:r w:rsidRPr="00AA4C18">
              <w:rPr>
                <w:rFonts w:ascii="Times" w:hAnsi="Times" w:cs="Times"/>
                <w:sz w:val="25"/>
                <w:szCs w:val="25"/>
              </w:rPr>
              <w:t>informácia o právnych predpisoch, v ktorých sú preberané smernice už prebraté spolu s uvedením rozsahu tohto prebratia</w:t>
            </w:r>
          </w:p>
        </w:tc>
      </w:tr>
      <w:tr w:rsidR="00E330A6" w:rsidRPr="00AA4C18" w14:paraId="54EB9F01" w14:textId="77777777" w:rsidTr="00240148">
        <w:trPr>
          <w:jc w:val="center"/>
        </w:trPr>
        <w:tc>
          <w:tcPr>
            <w:tcW w:w="0" w:type="auto"/>
            <w:tcBorders>
              <w:top w:val="nil"/>
              <w:left w:val="nil"/>
              <w:bottom w:val="nil"/>
              <w:right w:val="nil"/>
            </w:tcBorders>
            <w:hideMark/>
          </w:tcPr>
          <w:p w14:paraId="74892723" w14:textId="77777777" w:rsidR="00E330A6" w:rsidRPr="00AA4C18" w:rsidRDefault="00E330A6" w:rsidP="00240148">
            <w:pPr>
              <w:spacing w:after="250"/>
              <w:jc w:val="both"/>
              <w:rPr>
                <w:rFonts w:ascii="Times" w:hAnsi="Times" w:cs="Times"/>
                <w:sz w:val="25"/>
                <w:szCs w:val="25"/>
              </w:rPr>
            </w:pPr>
          </w:p>
        </w:tc>
        <w:tc>
          <w:tcPr>
            <w:tcW w:w="0" w:type="auto"/>
            <w:tcBorders>
              <w:top w:val="nil"/>
              <w:left w:val="nil"/>
              <w:bottom w:val="nil"/>
              <w:right w:val="nil"/>
            </w:tcBorders>
            <w:hideMark/>
          </w:tcPr>
          <w:p w14:paraId="4CAF6A4B" w14:textId="77777777" w:rsidR="00E330A6" w:rsidRPr="00AA4C18" w:rsidRDefault="00E330A6" w:rsidP="00240148">
            <w:pPr>
              <w:jc w:val="both"/>
              <w:rPr>
                <w:sz w:val="20"/>
                <w:szCs w:val="20"/>
              </w:rPr>
            </w:pPr>
          </w:p>
        </w:tc>
        <w:tc>
          <w:tcPr>
            <w:tcW w:w="0" w:type="auto"/>
            <w:tcBorders>
              <w:top w:val="nil"/>
              <w:left w:val="nil"/>
              <w:bottom w:val="nil"/>
              <w:right w:val="nil"/>
            </w:tcBorders>
            <w:vAlign w:val="center"/>
            <w:hideMark/>
          </w:tcPr>
          <w:p w14:paraId="008DA47A"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Bezpredmetné. Nariadenia a vykonávacie nariadenia sú záväzné v celom rozsahu a priamo uplatniteľné vo všetkých členských štátoch.</w:t>
            </w:r>
          </w:p>
        </w:tc>
      </w:tr>
      <w:tr w:rsidR="00E330A6" w:rsidRPr="00AA4C18" w14:paraId="3B7DD009" w14:textId="77777777" w:rsidTr="00240148">
        <w:trPr>
          <w:jc w:val="center"/>
        </w:trPr>
        <w:tc>
          <w:tcPr>
            <w:tcW w:w="0" w:type="auto"/>
            <w:tcBorders>
              <w:top w:val="nil"/>
              <w:left w:val="nil"/>
              <w:bottom w:val="nil"/>
              <w:right w:val="nil"/>
            </w:tcBorders>
            <w:hideMark/>
          </w:tcPr>
          <w:p w14:paraId="6E3FDC87" w14:textId="77777777" w:rsidR="00E330A6" w:rsidRPr="00AA4C18" w:rsidRDefault="00E330A6" w:rsidP="00240148">
            <w:pPr>
              <w:jc w:val="both"/>
              <w:rPr>
                <w:rFonts w:ascii="Times" w:hAnsi="Times" w:cs="Times"/>
                <w:b/>
                <w:bCs/>
                <w:sz w:val="25"/>
                <w:szCs w:val="25"/>
              </w:rPr>
            </w:pPr>
            <w:r w:rsidRPr="00AA4C18">
              <w:rPr>
                <w:rFonts w:ascii="Times" w:hAnsi="Times" w:cs="Times"/>
                <w:b/>
                <w:bCs/>
                <w:sz w:val="25"/>
                <w:szCs w:val="25"/>
              </w:rPr>
              <w:t>5.</w:t>
            </w:r>
          </w:p>
        </w:tc>
        <w:tc>
          <w:tcPr>
            <w:tcW w:w="0" w:type="auto"/>
            <w:gridSpan w:val="2"/>
            <w:tcBorders>
              <w:top w:val="nil"/>
              <w:left w:val="nil"/>
              <w:bottom w:val="nil"/>
              <w:right w:val="nil"/>
            </w:tcBorders>
            <w:hideMark/>
          </w:tcPr>
          <w:p w14:paraId="22FC1351" w14:textId="77777777" w:rsidR="00E330A6" w:rsidRPr="00AA4C18" w:rsidRDefault="00E330A6" w:rsidP="00240148">
            <w:pPr>
              <w:spacing w:after="250"/>
              <w:jc w:val="both"/>
              <w:rPr>
                <w:rFonts w:ascii="Times" w:hAnsi="Times" w:cs="Times"/>
                <w:b/>
                <w:bCs/>
                <w:sz w:val="25"/>
                <w:szCs w:val="25"/>
              </w:rPr>
            </w:pPr>
            <w:r w:rsidRPr="00AA4C18">
              <w:rPr>
                <w:rFonts w:ascii="Times" w:hAnsi="Times" w:cs="Times"/>
                <w:b/>
                <w:bCs/>
                <w:sz w:val="25"/>
                <w:szCs w:val="25"/>
              </w:rPr>
              <w:t>Stupeň zlučiteľnosti návrhu právneho predpisu s právom Európskej únie:</w:t>
            </w:r>
          </w:p>
        </w:tc>
      </w:tr>
      <w:tr w:rsidR="00E330A6" w:rsidRPr="00AA4C18" w14:paraId="65CFE095" w14:textId="77777777" w:rsidTr="00240148">
        <w:trPr>
          <w:jc w:val="center"/>
        </w:trPr>
        <w:tc>
          <w:tcPr>
            <w:tcW w:w="0" w:type="auto"/>
            <w:tcBorders>
              <w:top w:val="nil"/>
              <w:left w:val="nil"/>
              <w:bottom w:val="nil"/>
              <w:right w:val="nil"/>
            </w:tcBorders>
            <w:hideMark/>
          </w:tcPr>
          <w:p w14:paraId="64A2B94B" w14:textId="77777777" w:rsidR="00E330A6" w:rsidRPr="00AA4C18" w:rsidRDefault="00E330A6" w:rsidP="00240148">
            <w:pPr>
              <w:spacing w:after="250"/>
              <w:jc w:val="both"/>
              <w:rPr>
                <w:rFonts w:ascii="Times" w:hAnsi="Times" w:cs="Times"/>
                <w:b/>
                <w:bCs/>
                <w:sz w:val="25"/>
                <w:szCs w:val="25"/>
              </w:rPr>
            </w:pPr>
          </w:p>
        </w:tc>
        <w:tc>
          <w:tcPr>
            <w:tcW w:w="0" w:type="auto"/>
            <w:tcBorders>
              <w:top w:val="nil"/>
              <w:left w:val="nil"/>
              <w:bottom w:val="nil"/>
              <w:right w:val="nil"/>
            </w:tcBorders>
            <w:hideMark/>
          </w:tcPr>
          <w:p w14:paraId="51AB4BC9" w14:textId="77777777" w:rsidR="00E330A6" w:rsidRPr="00AA4C18" w:rsidRDefault="00E330A6" w:rsidP="00240148">
            <w:pPr>
              <w:jc w:val="both"/>
              <w:rPr>
                <w:sz w:val="20"/>
                <w:szCs w:val="20"/>
              </w:rPr>
            </w:pPr>
          </w:p>
        </w:tc>
        <w:tc>
          <w:tcPr>
            <w:tcW w:w="0" w:type="auto"/>
            <w:tcBorders>
              <w:top w:val="nil"/>
              <w:left w:val="nil"/>
              <w:bottom w:val="nil"/>
              <w:right w:val="nil"/>
            </w:tcBorders>
            <w:vAlign w:val="center"/>
            <w:hideMark/>
          </w:tcPr>
          <w:p w14:paraId="33873A2F" w14:textId="77777777" w:rsidR="00E330A6" w:rsidRPr="00AA4C18" w:rsidRDefault="00E330A6" w:rsidP="00240148">
            <w:pPr>
              <w:spacing w:after="250"/>
              <w:jc w:val="both"/>
              <w:rPr>
                <w:rFonts w:ascii="Times" w:hAnsi="Times" w:cs="Times"/>
                <w:sz w:val="25"/>
                <w:szCs w:val="25"/>
              </w:rPr>
            </w:pPr>
            <w:r w:rsidRPr="00AA4C18">
              <w:rPr>
                <w:rFonts w:ascii="Times" w:hAnsi="Times" w:cs="Times"/>
                <w:sz w:val="25"/>
                <w:szCs w:val="25"/>
              </w:rPr>
              <w:t>úplne</w:t>
            </w:r>
          </w:p>
        </w:tc>
      </w:tr>
    </w:tbl>
    <w:p w14:paraId="72E7A737" w14:textId="77777777" w:rsidR="00E330A6" w:rsidRPr="00AA4C18" w:rsidRDefault="00E330A6" w:rsidP="00E330A6">
      <w:pPr>
        <w:spacing w:before="100" w:beforeAutospacing="1" w:after="100" w:afterAutospacing="1"/>
        <w:jc w:val="both"/>
      </w:pPr>
    </w:p>
    <w:p w14:paraId="3C06E92F" w14:textId="77777777" w:rsidR="00E330A6" w:rsidRPr="00AA4C18" w:rsidRDefault="00E330A6" w:rsidP="00E330A6">
      <w:pPr>
        <w:widowControl/>
        <w:adjustRightInd/>
        <w:spacing w:after="200" w:line="276" w:lineRule="auto"/>
      </w:pPr>
      <w:r w:rsidRPr="00AA4C18">
        <w:br w:type="page"/>
      </w:r>
    </w:p>
    <w:p w14:paraId="11AC8AB3" w14:textId="35C4E019" w:rsidR="00AA4C18" w:rsidRPr="00AA4C18" w:rsidRDefault="00AA4C18" w:rsidP="00AA4C18">
      <w:pPr>
        <w:spacing w:after="100" w:afterAutospacing="1" w:line="276" w:lineRule="auto"/>
        <w:jc w:val="center"/>
        <w:rPr>
          <w:b/>
        </w:rPr>
      </w:pPr>
      <w:r w:rsidRPr="00AA4C18">
        <w:rPr>
          <w:b/>
        </w:rPr>
        <w:lastRenderedPageBreak/>
        <w:t>DÔVODOVÁ SPRÁVA</w:t>
      </w:r>
    </w:p>
    <w:p w14:paraId="2351BB63" w14:textId="77777777" w:rsidR="00AA4C18" w:rsidRPr="00AA4C18" w:rsidRDefault="00AA4C18" w:rsidP="00AA4C18">
      <w:pPr>
        <w:spacing w:after="100" w:afterAutospacing="1" w:line="276" w:lineRule="auto"/>
        <w:jc w:val="both"/>
        <w:rPr>
          <w:b/>
        </w:rPr>
      </w:pPr>
      <w:r w:rsidRPr="00AA4C18">
        <w:rPr>
          <w:b/>
        </w:rPr>
        <w:t>Osobitná časť</w:t>
      </w:r>
    </w:p>
    <w:p w14:paraId="118E8DF3" w14:textId="77777777" w:rsidR="00AA4C18" w:rsidRPr="00AA4C18" w:rsidRDefault="00AA4C18" w:rsidP="00AA4C18">
      <w:pPr>
        <w:spacing w:after="120" w:line="276" w:lineRule="auto"/>
        <w:jc w:val="both"/>
        <w:rPr>
          <w:rStyle w:val="Zstupntext"/>
          <w:b/>
          <w:color w:val="auto"/>
        </w:rPr>
      </w:pPr>
      <w:r w:rsidRPr="00AA4C18">
        <w:rPr>
          <w:rStyle w:val="Zstupntext"/>
          <w:color w:val="auto"/>
        </w:rPr>
        <w:t>K čl. I</w:t>
      </w:r>
    </w:p>
    <w:p w14:paraId="24E8539C" w14:textId="77777777" w:rsidR="00AA4C18" w:rsidRPr="00AA4C18" w:rsidRDefault="00AA4C18" w:rsidP="00AA4C18">
      <w:pPr>
        <w:spacing w:after="120" w:line="276" w:lineRule="auto"/>
        <w:jc w:val="both"/>
        <w:rPr>
          <w:rStyle w:val="Zstupntext"/>
          <w:color w:val="auto"/>
          <w:u w:val="single"/>
        </w:rPr>
      </w:pPr>
      <w:r w:rsidRPr="00AA4C18">
        <w:rPr>
          <w:rStyle w:val="Zstupntext"/>
          <w:color w:val="auto"/>
          <w:u w:val="single"/>
        </w:rPr>
        <w:t>K § 1</w:t>
      </w:r>
    </w:p>
    <w:p w14:paraId="7FDC4137" w14:textId="77777777" w:rsidR="00AA4C18" w:rsidRPr="00AA4C18" w:rsidRDefault="00AA4C18" w:rsidP="00AA4C18">
      <w:pPr>
        <w:spacing w:after="120" w:line="276" w:lineRule="auto"/>
        <w:jc w:val="both"/>
        <w:rPr>
          <w:rStyle w:val="Zstupntext"/>
          <w:color w:val="auto"/>
        </w:rPr>
      </w:pPr>
      <w:r w:rsidRPr="00AA4C18">
        <w:rPr>
          <w:rStyle w:val="Zstupntext"/>
          <w:color w:val="auto"/>
        </w:rPr>
        <w:t xml:space="preserve">Vymedzuje sa predmet zákona, ktorým je rozsah a spôsob vykonania sčítania obyvateľov, domov a bytov v roku 2021 (ďalej len „sčítanie“) ako osobitného druhu štatistického zisťovania </w:t>
      </w:r>
      <w:r w:rsidRPr="00AA4C18">
        <w:t>realizovaného vo verejnom záujme pre potreby plnenia úloh orgánov verejnej moci v Slovenskej republike a plnenie úloh Európskej únie v oblastiach, ktoré patria do jej pôsobnosti, podľa osobitných predpisov</w:t>
      </w:r>
      <w:r w:rsidRPr="00AA4C18">
        <w:rPr>
          <w:rStyle w:val="Zstupntext"/>
          <w:color w:val="auto"/>
        </w:rPr>
        <w:t>. Zákon ďalej vymedzuje rozhodujúci okamih sčítania, dobu sčítania, povinnosti osôb súvisiacich so sčítaním, pôsobnosť orgánov štátnej správy a obcí na účel sčítania a poskytovanie získaných údajov.</w:t>
      </w:r>
    </w:p>
    <w:p w14:paraId="3FBEC800" w14:textId="77777777" w:rsidR="00AA4C18" w:rsidRPr="00AA4C18" w:rsidRDefault="00AA4C18" w:rsidP="00AA4C18">
      <w:pPr>
        <w:spacing w:after="120" w:line="276" w:lineRule="auto"/>
        <w:jc w:val="both"/>
        <w:rPr>
          <w:rStyle w:val="Zstupntext"/>
          <w:color w:val="auto"/>
        </w:rPr>
      </w:pPr>
      <w:r w:rsidRPr="00AA4C18">
        <w:rPr>
          <w:rStyle w:val="Zstupntext"/>
          <w:color w:val="auto"/>
        </w:rPr>
        <w:t>Verejný záujem na riadnom vykonaní sčítania je odôvodnený účelom sčítania, ktorým je získať dostatočne spoľahlivé, podrobné a porovnateľné údaje o obyvateľoch, domoch a bytoch s cieľom umožniť plniť úlohy, ktoré vyplývajú</w:t>
      </w:r>
    </w:p>
    <w:p w14:paraId="150B8CEE" w14:textId="77777777" w:rsidR="00AA4C18" w:rsidRPr="00AA4C18" w:rsidRDefault="00AA4C18" w:rsidP="00AA4C18">
      <w:pPr>
        <w:pStyle w:val="Odsekzoznamu"/>
        <w:widowControl/>
        <w:numPr>
          <w:ilvl w:val="0"/>
          <w:numId w:val="22"/>
        </w:numPr>
        <w:autoSpaceDE/>
        <w:autoSpaceDN/>
        <w:adjustRightInd/>
        <w:spacing w:after="120" w:line="276" w:lineRule="auto"/>
        <w:jc w:val="both"/>
        <w:rPr>
          <w:rStyle w:val="Zstupntext"/>
          <w:color w:val="auto"/>
        </w:rPr>
      </w:pPr>
      <w:r w:rsidRPr="00AA4C18">
        <w:rPr>
          <w:rStyle w:val="Zstupntext"/>
          <w:color w:val="auto"/>
        </w:rPr>
        <w:t>orgánom štátnej správy a orgánom územnej samosprávy z osobitných predpisov,</w:t>
      </w:r>
    </w:p>
    <w:p w14:paraId="772A53A2" w14:textId="77777777" w:rsidR="00AA4C18" w:rsidRPr="00AA4C18" w:rsidRDefault="00AA4C18" w:rsidP="00AA4C18">
      <w:pPr>
        <w:pStyle w:val="Odsekzoznamu"/>
        <w:widowControl/>
        <w:numPr>
          <w:ilvl w:val="0"/>
          <w:numId w:val="22"/>
        </w:numPr>
        <w:autoSpaceDE/>
        <w:autoSpaceDN/>
        <w:adjustRightInd/>
        <w:spacing w:after="120" w:line="276" w:lineRule="auto"/>
        <w:jc w:val="both"/>
        <w:rPr>
          <w:rStyle w:val="Zstupntext"/>
          <w:color w:val="auto"/>
        </w:rPr>
      </w:pPr>
      <w:r w:rsidRPr="00AA4C18">
        <w:rPr>
          <w:rStyle w:val="Zstupntext"/>
          <w:color w:val="auto"/>
        </w:rPr>
        <w:t>zo záväzkov Slovenskej republiky vo vzťahu k Európskej únii v oblasti zberu periodických štatistických údajov o obyvateľstve a o hlavných rodinných, sociálnych a ekonomických charakteristikách jednotlivcov a charakteristikách ich bývania potrebných na plnenie úloh Európskej únie v oblastiach, ktoré patria do jej pôsobnosti.</w:t>
      </w:r>
    </w:p>
    <w:p w14:paraId="2DD77181" w14:textId="77777777" w:rsidR="00AA4C18" w:rsidRPr="00AA4C18" w:rsidRDefault="00AA4C18" w:rsidP="00AA4C18">
      <w:pPr>
        <w:spacing w:after="120" w:line="276" w:lineRule="auto"/>
        <w:jc w:val="both"/>
        <w:rPr>
          <w:rStyle w:val="Zstupntext"/>
          <w:color w:val="auto"/>
        </w:rPr>
      </w:pPr>
      <w:r w:rsidRPr="00AA4C18">
        <w:rPr>
          <w:rStyle w:val="Zstupntext"/>
          <w:color w:val="auto"/>
        </w:rPr>
        <w:t>Z hľadiska práva Európskej únie predstavuje návrh zákona vnútroštátne opatrenie na vykonanie nasledovných nariadení v rámci sčítania v roku 2021:</w:t>
      </w:r>
    </w:p>
    <w:p w14:paraId="3D2A1AE2" w14:textId="77777777" w:rsidR="00AA4C18" w:rsidRPr="00AA4C18" w:rsidRDefault="00AA4C18" w:rsidP="00AA4C18">
      <w:pPr>
        <w:pStyle w:val="Odsekzoznamu"/>
        <w:numPr>
          <w:ilvl w:val="0"/>
          <w:numId w:val="23"/>
        </w:numPr>
        <w:spacing w:after="120" w:line="276" w:lineRule="auto"/>
        <w:contextualSpacing w:val="0"/>
        <w:jc w:val="both"/>
      </w:pPr>
      <w:r w:rsidRPr="00AA4C18">
        <w:t xml:space="preserve">nariadenie Európskeho parlamentu a Rady (ES) č. 763/2008 z 9. júla 2008 o sčítaní obyvateľov, domov a bytov (Ú. v. EÚ L 218, 13.8.2008), </w:t>
      </w:r>
    </w:p>
    <w:p w14:paraId="135632B6" w14:textId="77777777" w:rsidR="00AA4C18" w:rsidRPr="00AA4C18" w:rsidRDefault="00AA4C18" w:rsidP="00AA4C18">
      <w:pPr>
        <w:pStyle w:val="Odsekzoznamu"/>
        <w:numPr>
          <w:ilvl w:val="0"/>
          <w:numId w:val="23"/>
        </w:numPr>
        <w:spacing w:after="120" w:line="276" w:lineRule="auto"/>
        <w:contextualSpacing w:val="0"/>
        <w:jc w:val="both"/>
      </w:pPr>
      <w:r w:rsidRPr="00AA4C18">
        <w:t>nariadenie Európskeho parlamentu a Rady (EÚ) č. 1260/2013 z 20. novembra 2013 o európskej demografickej štatistike (Ú. v. EÚ L 330, 10.12.2013),</w:t>
      </w:r>
    </w:p>
    <w:p w14:paraId="6CE42517" w14:textId="77777777" w:rsidR="00AA4C18" w:rsidRPr="00AA4C18" w:rsidRDefault="00AA4C18" w:rsidP="00AA4C18">
      <w:pPr>
        <w:pStyle w:val="Odsekzoznamu"/>
        <w:numPr>
          <w:ilvl w:val="0"/>
          <w:numId w:val="23"/>
        </w:numPr>
        <w:spacing w:after="120" w:line="276" w:lineRule="auto"/>
        <w:contextualSpacing w:val="0"/>
        <w:jc w:val="both"/>
      </w:pPr>
      <w:r w:rsidRPr="00AA4C18">
        <w:t>vykonávacie nariadenie Komisie (EÚ) 2017/543 z 22. marca 2017, ktorým sa stanovujú pravidlá uplatňovania nariadenia Európskeho parlamentu a Rady (ES) č. 763/2008 o sčítaní obyvateľov, domov a bytov, pokiaľ ide o technické špecifikácie tém a ich členení (Ú. v. EÚ L 78, 23.3.2017),</w:t>
      </w:r>
    </w:p>
    <w:p w14:paraId="076FCD4F" w14:textId="77777777" w:rsidR="00AA4C18" w:rsidRPr="00AA4C18" w:rsidRDefault="00AA4C18" w:rsidP="00AA4C18">
      <w:pPr>
        <w:pStyle w:val="Odsekzoznamu"/>
        <w:numPr>
          <w:ilvl w:val="0"/>
          <w:numId w:val="23"/>
        </w:numPr>
        <w:spacing w:after="120" w:line="276" w:lineRule="auto"/>
        <w:contextualSpacing w:val="0"/>
        <w:jc w:val="both"/>
      </w:pPr>
      <w:r w:rsidRPr="00AA4C18">
        <w:t>nariadenie Komisie (EÚ) č. 2017/712 z 20. apríla 2017, ktorým sa stanovuje referenčný rok a prijíma sa program štatistických údajov a metaúdajov pre sčítanie obyvateľov, domov a bytov podľa nariadenia Európskeho parlamentu a Rady (ES) č. 763/2008 (Ú. v. EÚ L 105, 21.4.2017),</w:t>
      </w:r>
    </w:p>
    <w:p w14:paraId="6723FD2E" w14:textId="77777777" w:rsidR="00AA4C18" w:rsidRPr="00AA4C18" w:rsidRDefault="00AA4C18" w:rsidP="00AA4C18">
      <w:pPr>
        <w:pStyle w:val="Odsekzoznamu"/>
        <w:numPr>
          <w:ilvl w:val="0"/>
          <w:numId w:val="23"/>
        </w:numPr>
        <w:spacing w:after="120" w:line="276" w:lineRule="auto"/>
        <w:contextualSpacing w:val="0"/>
        <w:jc w:val="both"/>
      </w:pPr>
      <w:r w:rsidRPr="00AA4C18">
        <w:t xml:space="preserve">vykonávacie nariadenie Komisie (EÚ) 2017/881 z 23. mája 2017, ktorým sa vykonáva nariadenie Európskeho parlamentu a Rady (ES) č. 763/2008 o sčítaní obyvateľov, domov a bytov, pokiaľ ide o formu a štruktúru správ o kvalite a technický formát na zasielanie údajov, a ktorým sa mení nariadenie (EÚ) č. 1151/2010 (Ú. v. EÚ L 135, 24.5.2017), </w:t>
      </w:r>
    </w:p>
    <w:p w14:paraId="6AB4B15D" w14:textId="77777777" w:rsidR="00AA4C18" w:rsidRPr="00AA4C18" w:rsidRDefault="00AA4C18" w:rsidP="00AA4C18">
      <w:pPr>
        <w:pStyle w:val="Odsekzoznamu"/>
        <w:numPr>
          <w:ilvl w:val="0"/>
          <w:numId w:val="23"/>
        </w:numPr>
        <w:spacing w:after="120" w:line="276" w:lineRule="auto"/>
        <w:contextualSpacing w:val="0"/>
        <w:jc w:val="both"/>
      </w:pPr>
      <w:r w:rsidRPr="00AA4C18">
        <w:t xml:space="preserve">vykonávacie nariadenie Komisie (EÚ) 2018/1799 z 21. novembra 2018 o prechodnom </w:t>
      </w:r>
      <w:r w:rsidRPr="00AA4C18">
        <w:lastRenderedPageBreak/>
        <w:t xml:space="preserve">priamom štatistickom opatrení zameranom na zverejňovanie vybraných tém sčítania obyvateľov, domov a bytov v roku 2021 </w:t>
      </w:r>
      <w:proofErr w:type="spellStart"/>
      <w:r w:rsidRPr="00AA4C18">
        <w:t>geokódovaných</w:t>
      </w:r>
      <w:proofErr w:type="spellEnd"/>
      <w:r w:rsidRPr="00AA4C18">
        <w:t xml:space="preserve"> na sieť s bunkami s rozlohou bunky 1 km</w:t>
      </w:r>
      <w:r w:rsidRPr="00AA4C18">
        <w:rPr>
          <w:vertAlign w:val="superscript"/>
        </w:rPr>
        <w:t>2</w:t>
      </w:r>
      <w:r w:rsidRPr="00AA4C18">
        <w:t xml:space="preserve"> (Ú. v. EÚ L 296, 22.11.2018).</w:t>
      </w:r>
    </w:p>
    <w:p w14:paraId="31052CF4" w14:textId="77777777" w:rsidR="00AA4C18" w:rsidRPr="00AA4C18" w:rsidRDefault="00AA4C18" w:rsidP="00AA4C18">
      <w:pPr>
        <w:spacing w:after="120" w:line="276" w:lineRule="auto"/>
        <w:jc w:val="both"/>
        <w:rPr>
          <w:rStyle w:val="Zstupntext"/>
          <w:color w:val="auto"/>
        </w:rPr>
      </w:pPr>
      <w:r w:rsidRPr="00AA4C18">
        <w:rPr>
          <w:rStyle w:val="Zstupntext"/>
          <w:color w:val="auto"/>
        </w:rPr>
        <w:t xml:space="preserve">Sčítanie je osobitným druhom štatistického zisťovania a je založené na zásade nestrannosti, transparentnosti, spoľahlivosti, relevancie, efektívnosti nákladov a ochrany dôverných štatistických údajov vrátane osobných údajov. </w:t>
      </w:r>
    </w:p>
    <w:p w14:paraId="2E9A6342" w14:textId="77777777" w:rsidR="00AA4C18" w:rsidRPr="00AA4C18" w:rsidRDefault="00AA4C18" w:rsidP="00AA4C18">
      <w:pPr>
        <w:spacing w:after="120" w:line="276" w:lineRule="auto"/>
        <w:jc w:val="both"/>
        <w:rPr>
          <w:rStyle w:val="Zstupntext"/>
          <w:color w:val="auto"/>
        </w:rPr>
      </w:pPr>
      <w:r w:rsidRPr="00AA4C18">
        <w:rPr>
          <w:rStyle w:val="Zstupntext"/>
          <w:color w:val="auto"/>
        </w:rPr>
        <w:t>Podľa čl. 3 nariadenia Európskeho parlamentu a Rady (ES) č. 763/2008 o sčítaní obyvateľov, domov a bytov (ďalej len „nariadenie o sčítaní“) sú členské štáty EÚ povinné predkladať Komisii (Eurostatu) údaje o obyvateľoch, ktoré sa týkajú stanovených demografických, sociálnych a ekonomických charakteristík osôb, rodín a domácností, ako aj údaje o domoch a bytoch na národnej, regionálnej a miestnej úrovni, ktoré sú stanovené v prílohe nariadenia o sčítaní.</w:t>
      </w:r>
    </w:p>
    <w:p w14:paraId="73DEB3EA" w14:textId="77777777" w:rsidR="00AA4C18" w:rsidRPr="00AA4C18" w:rsidRDefault="00AA4C18" w:rsidP="00AA4C18">
      <w:pPr>
        <w:spacing w:after="120" w:line="276" w:lineRule="auto"/>
        <w:jc w:val="both"/>
        <w:rPr>
          <w:rStyle w:val="Zstupntext"/>
          <w:color w:val="auto"/>
        </w:rPr>
      </w:pPr>
      <w:r w:rsidRPr="00AA4C18">
        <w:rPr>
          <w:rStyle w:val="Zstupntext"/>
          <w:color w:val="auto"/>
        </w:rPr>
        <w:t>Vo vzťahu k obyvateľom ide o nasledovné povinné témy údajov:</w:t>
      </w:r>
    </w:p>
    <w:p w14:paraId="41A90926"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Miesto obvyklého bydliska,</w:t>
      </w:r>
    </w:p>
    <w:p w14:paraId="0CD0DB70"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Pohlavie,</w:t>
      </w:r>
    </w:p>
    <w:p w14:paraId="437F08FE"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Vek,</w:t>
      </w:r>
    </w:p>
    <w:p w14:paraId="7B88BFAD"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Rodinný stav,</w:t>
      </w:r>
    </w:p>
    <w:p w14:paraId="482E5405"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Štát/miesto narodenia,</w:t>
      </w:r>
    </w:p>
    <w:p w14:paraId="345A2D8B"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Štátna príslušnosť,</w:t>
      </w:r>
    </w:p>
    <w:p w14:paraId="0291EC4A"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Predchádzajúce miesto obvyklého bydliska a dátum príchodu do súčasného miesta alebo miesto obvyklého bydliska jeden rok pre sčítaním,</w:t>
      </w:r>
    </w:p>
    <w:p w14:paraId="33228E9A"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Vzťahy medzi členmi domácnosti,</w:t>
      </w:r>
    </w:p>
    <w:p w14:paraId="4FC57ADF"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Celkový počet obyvateľov,</w:t>
      </w:r>
    </w:p>
    <w:p w14:paraId="66078E15"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Miesto,</w:t>
      </w:r>
    </w:p>
    <w:p w14:paraId="4AE2A9FF"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Status domácnosti,</w:t>
      </w:r>
    </w:p>
    <w:p w14:paraId="74A08AD4"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Status rodiny,</w:t>
      </w:r>
    </w:p>
    <w:p w14:paraId="4DFAD622"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Typ základu rodiny,</w:t>
      </w:r>
    </w:p>
    <w:p w14:paraId="2AF5BE94"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Veľkosť základu rodiny,</w:t>
      </w:r>
    </w:p>
    <w:p w14:paraId="309D00A5"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Typ súkromnej domácnosti,</w:t>
      </w:r>
    </w:p>
    <w:p w14:paraId="122E7B5B"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Veľkosť súkromnej domácnosti,</w:t>
      </w:r>
    </w:p>
    <w:p w14:paraId="1C3F1B7E"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Miesto zamestnania,</w:t>
      </w:r>
    </w:p>
    <w:p w14:paraId="3C0E648D"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Súčasná ekonomická aktivita,</w:t>
      </w:r>
    </w:p>
    <w:p w14:paraId="0F343C68"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Zamestnanie,</w:t>
      </w:r>
    </w:p>
    <w:p w14:paraId="61FE2AAF"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Odvetvie ekonomickej činnosti,</w:t>
      </w:r>
    </w:p>
    <w:p w14:paraId="6EB871A9"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Postavenie v zamestnaní,</w:t>
      </w:r>
    </w:p>
    <w:p w14:paraId="34ED446D"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Najvyššie dosiahnuté vzdelanie,</w:t>
      </w:r>
    </w:p>
    <w:p w14:paraId="0D66CFF5" w14:textId="77777777" w:rsidR="00AA4C18" w:rsidRPr="00AA4C18" w:rsidRDefault="00AA4C18" w:rsidP="00AA4C18">
      <w:pPr>
        <w:pStyle w:val="Odsekzoznamu"/>
        <w:widowControl/>
        <w:numPr>
          <w:ilvl w:val="0"/>
          <w:numId w:val="24"/>
        </w:numPr>
        <w:autoSpaceDE/>
        <w:autoSpaceDN/>
        <w:adjustRightInd/>
        <w:spacing w:after="120" w:line="276" w:lineRule="auto"/>
        <w:jc w:val="both"/>
        <w:rPr>
          <w:rStyle w:val="Zstupntext"/>
          <w:color w:val="auto"/>
        </w:rPr>
      </w:pPr>
      <w:r w:rsidRPr="00AA4C18">
        <w:rPr>
          <w:rStyle w:val="Zstupntext"/>
          <w:color w:val="auto"/>
        </w:rPr>
        <w:t>Pobyt v zahraničí a rok príchodu do krajiny (od roku 1980).</w:t>
      </w:r>
    </w:p>
    <w:p w14:paraId="3C44B2FC" w14:textId="77777777" w:rsidR="00AA4C18" w:rsidRPr="00AA4C18" w:rsidRDefault="00AA4C18" w:rsidP="00AA4C18">
      <w:pPr>
        <w:spacing w:after="120" w:line="276" w:lineRule="auto"/>
        <w:rPr>
          <w:rStyle w:val="Zstupntext"/>
          <w:color w:val="auto"/>
        </w:rPr>
      </w:pPr>
      <w:r w:rsidRPr="00AA4C18">
        <w:rPr>
          <w:rStyle w:val="Zstupntext"/>
          <w:color w:val="auto"/>
        </w:rPr>
        <w:t xml:space="preserve">Vo vzťahu k domom a bytom ide o nasledovné témy údajov: </w:t>
      </w:r>
    </w:p>
    <w:p w14:paraId="3293443D"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Typ obydlia</w:t>
      </w:r>
    </w:p>
    <w:p w14:paraId="56ADB811"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Miesto obydlia</w:t>
      </w:r>
    </w:p>
    <w:p w14:paraId="617B5132"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proofErr w:type="spellStart"/>
      <w:r w:rsidRPr="00AA4C18">
        <w:rPr>
          <w:rStyle w:val="Zstupntext"/>
          <w:color w:val="auto"/>
        </w:rPr>
        <w:t>Obývanosť</w:t>
      </w:r>
      <w:proofErr w:type="spellEnd"/>
      <w:r w:rsidRPr="00AA4C18">
        <w:rPr>
          <w:rStyle w:val="Zstupntext"/>
          <w:color w:val="auto"/>
        </w:rPr>
        <w:t xml:space="preserve"> bytu</w:t>
      </w:r>
    </w:p>
    <w:p w14:paraId="52E6D004"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lastRenderedPageBreak/>
        <w:t>Počet bývajúcich</w:t>
      </w:r>
    </w:p>
    <w:p w14:paraId="7BC71605"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Úžitková podlahová plocha a/alebo počet miestností v obytných jednotkách</w:t>
      </w:r>
    </w:p>
    <w:p w14:paraId="1FA4C597"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Byty podľa druhu budovy</w:t>
      </w:r>
    </w:p>
    <w:p w14:paraId="0F3CEA6E"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Byty podľa obdobia výstavby</w:t>
      </w:r>
    </w:p>
    <w:p w14:paraId="2EFA36C2"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 xml:space="preserve">Miera hustoty </w:t>
      </w:r>
      <w:proofErr w:type="spellStart"/>
      <w:r w:rsidRPr="00AA4C18">
        <w:rPr>
          <w:rStyle w:val="Zstupntext"/>
          <w:color w:val="auto"/>
        </w:rPr>
        <w:t>obývanosti</w:t>
      </w:r>
      <w:proofErr w:type="spellEnd"/>
    </w:p>
    <w:p w14:paraId="50137E2D"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 xml:space="preserve">Podmienky bývania </w:t>
      </w:r>
    </w:p>
    <w:p w14:paraId="16DC6C0D"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 xml:space="preserve">Forma vlastníctva </w:t>
      </w:r>
    </w:p>
    <w:p w14:paraId="2129F130"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Systém dodávky vody</w:t>
      </w:r>
    </w:p>
    <w:p w14:paraId="61167655"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Záchod</w:t>
      </w:r>
    </w:p>
    <w:p w14:paraId="35C6880D"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Kúpeľňa</w:t>
      </w:r>
    </w:p>
    <w:p w14:paraId="1C5E2727" w14:textId="77777777" w:rsidR="00AA4C18" w:rsidRPr="00AA4C18" w:rsidRDefault="00AA4C18" w:rsidP="00AA4C18">
      <w:pPr>
        <w:pStyle w:val="Odsekzoznamu"/>
        <w:widowControl/>
        <w:numPr>
          <w:ilvl w:val="0"/>
          <w:numId w:val="25"/>
        </w:numPr>
        <w:autoSpaceDE/>
        <w:autoSpaceDN/>
        <w:adjustRightInd/>
        <w:spacing w:after="120" w:line="276" w:lineRule="auto"/>
        <w:rPr>
          <w:rStyle w:val="Zstupntext"/>
          <w:color w:val="auto"/>
        </w:rPr>
      </w:pPr>
      <w:r w:rsidRPr="00AA4C18">
        <w:rPr>
          <w:rStyle w:val="Zstupntext"/>
          <w:color w:val="auto"/>
        </w:rPr>
        <w:t>Typ kúrenia</w:t>
      </w:r>
    </w:p>
    <w:p w14:paraId="6310C122" w14:textId="77777777" w:rsidR="00AA4C18" w:rsidRPr="00AA4C18" w:rsidRDefault="00AA4C18" w:rsidP="00AA4C18">
      <w:pPr>
        <w:spacing w:after="120" w:line="276" w:lineRule="auto"/>
        <w:jc w:val="both"/>
        <w:rPr>
          <w:rStyle w:val="Zstupntext"/>
          <w:color w:val="auto"/>
        </w:rPr>
      </w:pPr>
      <w:r w:rsidRPr="00AA4C18">
        <w:rPr>
          <w:rStyle w:val="Zstupntext"/>
          <w:color w:val="auto"/>
        </w:rPr>
        <w:t>Ide o značne rozsiahly súbor skupín/tém údajov, ktoré musia byť zisťované. Nariadenie o sčítaní upravuje aj možné spôsoby získavania údajov. Podľa čl. 4 nariadenia o sčítaní môžu členské štáty založiť štatistiky na rôznych zdrojoch údajov, najmä na:</w:t>
      </w:r>
    </w:p>
    <w:p w14:paraId="14CE1783" w14:textId="77777777" w:rsidR="00AA4C18" w:rsidRPr="00AA4C18" w:rsidRDefault="00AA4C18" w:rsidP="00AA4C18">
      <w:pPr>
        <w:pStyle w:val="Odsekzoznamu"/>
        <w:widowControl/>
        <w:numPr>
          <w:ilvl w:val="0"/>
          <w:numId w:val="26"/>
        </w:numPr>
        <w:autoSpaceDE/>
        <w:autoSpaceDN/>
        <w:adjustRightInd/>
        <w:spacing w:line="276" w:lineRule="auto"/>
        <w:contextualSpacing w:val="0"/>
        <w:jc w:val="both"/>
        <w:rPr>
          <w:rStyle w:val="Zstupntext"/>
          <w:color w:val="auto"/>
        </w:rPr>
      </w:pPr>
      <w:r w:rsidRPr="00AA4C18">
        <w:rPr>
          <w:rStyle w:val="Zstupntext"/>
          <w:color w:val="auto"/>
        </w:rPr>
        <w:t>tradičnom sčítaní,</w:t>
      </w:r>
    </w:p>
    <w:p w14:paraId="4168AE1E" w14:textId="77777777" w:rsidR="00AA4C18" w:rsidRPr="00AA4C18" w:rsidRDefault="00AA4C18" w:rsidP="00AA4C18">
      <w:pPr>
        <w:pStyle w:val="Odsekzoznamu"/>
        <w:widowControl/>
        <w:numPr>
          <w:ilvl w:val="0"/>
          <w:numId w:val="26"/>
        </w:numPr>
        <w:autoSpaceDE/>
        <w:autoSpaceDN/>
        <w:adjustRightInd/>
        <w:spacing w:line="276" w:lineRule="auto"/>
        <w:contextualSpacing w:val="0"/>
        <w:jc w:val="both"/>
        <w:rPr>
          <w:rStyle w:val="Zstupntext"/>
          <w:color w:val="auto"/>
        </w:rPr>
      </w:pPr>
      <w:r w:rsidRPr="00AA4C18">
        <w:rPr>
          <w:rStyle w:val="Zstupntext"/>
          <w:color w:val="auto"/>
        </w:rPr>
        <w:t>sčítaní založenom na registroch,</w:t>
      </w:r>
    </w:p>
    <w:p w14:paraId="67EC9135" w14:textId="77777777" w:rsidR="00AA4C18" w:rsidRPr="00AA4C18" w:rsidRDefault="00AA4C18" w:rsidP="00AA4C18">
      <w:pPr>
        <w:pStyle w:val="Odsekzoznamu"/>
        <w:widowControl/>
        <w:numPr>
          <w:ilvl w:val="0"/>
          <w:numId w:val="26"/>
        </w:numPr>
        <w:autoSpaceDE/>
        <w:autoSpaceDN/>
        <w:adjustRightInd/>
        <w:spacing w:line="276" w:lineRule="auto"/>
        <w:contextualSpacing w:val="0"/>
        <w:jc w:val="both"/>
        <w:rPr>
          <w:rStyle w:val="Zstupntext"/>
          <w:color w:val="auto"/>
        </w:rPr>
      </w:pPr>
      <w:r w:rsidRPr="00AA4C18">
        <w:rPr>
          <w:rStyle w:val="Zstupntext"/>
          <w:color w:val="auto"/>
        </w:rPr>
        <w:t>kombinácii tradičného sčítania a výberového zisťovania,</w:t>
      </w:r>
    </w:p>
    <w:p w14:paraId="798B9610" w14:textId="77777777" w:rsidR="00AA4C18" w:rsidRPr="00AA4C18" w:rsidRDefault="00AA4C18" w:rsidP="00AA4C18">
      <w:pPr>
        <w:pStyle w:val="Odsekzoznamu"/>
        <w:widowControl/>
        <w:numPr>
          <w:ilvl w:val="0"/>
          <w:numId w:val="26"/>
        </w:numPr>
        <w:autoSpaceDE/>
        <w:autoSpaceDN/>
        <w:adjustRightInd/>
        <w:spacing w:line="276" w:lineRule="auto"/>
        <w:contextualSpacing w:val="0"/>
        <w:jc w:val="both"/>
        <w:rPr>
          <w:rStyle w:val="Zstupntext"/>
          <w:color w:val="auto"/>
        </w:rPr>
      </w:pPr>
      <w:r w:rsidRPr="00AA4C18">
        <w:rPr>
          <w:rStyle w:val="Zstupntext"/>
          <w:color w:val="auto"/>
        </w:rPr>
        <w:t>kombinácii sčítania založeného na registroch a výberového zisťovania,</w:t>
      </w:r>
    </w:p>
    <w:p w14:paraId="7B08CEA8" w14:textId="77777777" w:rsidR="00AA4C18" w:rsidRPr="00AA4C18" w:rsidRDefault="00AA4C18" w:rsidP="00AA4C18">
      <w:pPr>
        <w:pStyle w:val="Odsekzoznamu"/>
        <w:widowControl/>
        <w:numPr>
          <w:ilvl w:val="0"/>
          <w:numId w:val="26"/>
        </w:numPr>
        <w:autoSpaceDE/>
        <w:autoSpaceDN/>
        <w:adjustRightInd/>
        <w:spacing w:line="276" w:lineRule="auto"/>
        <w:contextualSpacing w:val="0"/>
        <w:jc w:val="both"/>
        <w:rPr>
          <w:rStyle w:val="Zstupntext"/>
          <w:color w:val="auto"/>
        </w:rPr>
      </w:pPr>
      <w:r w:rsidRPr="00AA4C18">
        <w:rPr>
          <w:rStyle w:val="Zstupntext"/>
          <w:color w:val="auto"/>
        </w:rPr>
        <w:t>kombinácii sčítania založeného na registroch a tradičného sčítania,</w:t>
      </w:r>
    </w:p>
    <w:p w14:paraId="6EFB0746" w14:textId="77777777" w:rsidR="00AA4C18" w:rsidRDefault="00AA4C18" w:rsidP="00AA4C18">
      <w:pPr>
        <w:pStyle w:val="Odsekzoznamu"/>
        <w:widowControl/>
        <w:numPr>
          <w:ilvl w:val="0"/>
          <w:numId w:val="26"/>
        </w:numPr>
        <w:autoSpaceDE/>
        <w:autoSpaceDN/>
        <w:adjustRightInd/>
        <w:spacing w:line="276" w:lineRule="auto"/>
        <w:contextualSpacing w:val="0"/>
        <w:jc w:val="both"/>
        <w:rPr>
          <w:rStyle w:val="Zstupntext"/>
          <w:color w:val="auto"/>
        </w:rPr>
      </w:pPr>
      <w:r w:rsidRPr="00AA4C18">
        <w:rPr>
          <w:rStyle w:val="Zstupntext"/>
          <w:color w:val="auto"/>
        </w:rPr>
        <w:t>kombinácii sčítania založeného na registroch, výberového zisťovania a tradičného sčítania,</w:t>
      </w:r>
    </w:p>
    <w:p w14:paraId="6EC464FD" w14:textId="2F5309AF" w:rsidR="00AA4C18" w:rsidRPr="00AA4C18" w:rsidRDefault="00AA4C18" w:rsidP="00AA4C18">
      <w:pPr>
        <w:pStyle w:val="Odsekzoznamu"/>
        <w:widowControl/>
        <w:numPr>
          <w:ilvl w:val="0"/>
          <w:numId w:val="26"/>
        </w:numPr>
        <w:autoSpaceDE/>
        <w:autoSpaceDN/>
        <w:adjustRightInd/>
        <w:spacing w:after="120" w:line="276" w:lineRule="auto"/>
        <w:contextualSpacing w:val="0"/>
        <w:jc w:val="both"/>
        <w:rPr>
          <w:rStyle w:val="Zstupntext"/>
          <w:color w:val="auto"/>
        </w:rPr>
      </w:pPr>
      <w:r w:rsidRPr="00AA4C18">
        <w:rPr>
          <w:rStyle w:val="Zstupntext"/>
          <w:color w:val="auto"/>
        </w:rPr>
        <w:t>vhodnom zisťovaní so striedavými výbermi (rotačné sčítanie).</w:t>
      </w:r>
    </w:p>
    <w:p w14:paraId="7F63398A" w14:textId="77777777" w:rsidR="00AA4C18" w:rsidRPr="00AA4C18" w:rsidRDefault="00AA4C18" w:rsidP="00AA4C18">
      <w:pPr>
        <w:spacing w:after="120" w:line="276" w:lineRule="auto"/>
        <w:jc w:val="both"/>
        <w:rPr>
          <w:rStyle w:val="Zstupntext"/>
          <w:color w:val="auto"/>
        </w:rPr>
      </w:pPr>
      <w:r w:rsidRPr="00AA4C18">
        <w:rPr>
          <w:rStyle w:val="Zstupntext"/>
          <w:color w:val="auto"/>
        </w:rPr>
        <w:t>Členské štáty sú povinné zabezpečiť, aby zdroje údajov a metodika použitá na plnenie požiadaviek tohto nariadenia spĺňali základné charakteristiky sčítania obyvateľov, domov a bytov, vymedzené v článku 2 písm. i) nariadenia o sčítaní, a to v čo najväčšom možnom rozsahu. Základnými charakteristikami sčítania sú požiadavka na individuálne sčítanie, simultánnosť, univerzálnosť v rámci definovaného územia, dostupnosť údajov o malej oblasti a definovanú periodicitu. Členské štáty sú povinné vyvinúť neustále úsilie o zlepšenie dodržiavania uvedených základných charakteristík poskytovaných údajov a sčítania ako takého.</w:t>
      </w:r>
    </w:p>
    <w:p w14:paraId="1CA35840" w14:textId="77777777" w:rsidR="00AA4C18" w:rsidRPr="00AA4C18" w:rsidRDefault="00AA4C18" w:rsidP="00AA4C18">
      <w:pPr>
        <w:spacing w:after="120" w:line="276" w:lineRule="auto"/>
        <w:jc w:val="both"/>
        <w:rPr>
          <w:rStyle w:val="Zstupntext"/>
          <w:color w:val="auto"/>
          <w:u w:val="single"/>
        </w:rPr>
      </w:pPr>
      <w:r w:rsidRPr="00AA4C18">
        <w:rPr>
          <w:rStyle w:val="Zstupntext"/>
          <w:color w:val="auto"/>
          <w:u w:val="single"/>
        </w:rPr>
        <w:t xml:space="preserve">K § 2 </w:t>
      </w:r>
    </w:p>
    <w:p w14:paraId="417D3F21" w14:textId="77777777" w:rsidR="00AA4C18" w:rsidRPr="00AA4C18" w:rsidRDefault="00AA4C18" w:rsidP="00AA4C18">
      <w:pPr>
        <w:spacing w:after="120" w:line="276" w:lineRule="auto"/>
        <w:jc w:val="both"/>
        <w:rPr>
          <w:rStyle w:val="Zstupntext"/>
          <w:color w:val="auto"/>
        </w:rPr>
      </w:pPr>
      <w:r w:rsidRPr="00AA4C18">
        <w:rPr>
          <w:rStyle w:val="Zstupntext"/>
          <w:color w:val="auto"/>
        </w:rPr>
        <w:t>Zákon ustanovuje, že sčítaním sa získavajú údaje o obyvateľoch Slovenskej republiky (ďalej len „SR“) a údaje o domoch a bytoch na území SR. Konkrétne témy zisťované pri sčítaní v roku 2021 sú uvedené v zozname, ktorý je prílohou zákona. Odsek 3 je splnomocňujúcim ustanovením na vydanie opatrenia Štatistického úradu SR (ďalej len „úrad“), v ktorom ustanoví podrobnosti o charakteristikách a štruktúre údajov zisťovaných sčítaním a o témach podľa zoznamu, ďalej opatrenie ustanoví podrobnosti o spôsobe a forme zisťovania údajov a tiež vzory elektronických formulárov pre sčítanie.</w:t>
      </w:r>
    </w:p>
    <w:p w14:paraId="7CEBB172"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Style w:val="Zstupntext"/>
          <w:color w:val="auto"/>
          <w:sz w:val="24"/>
          <w:szCs w:val="24"/>
        </w:rPr>
        <w:t xml:space="preserve">Rozsah zisťovaných údajov vychádza zo skutočnosti, že SR je povinná </w:t>
      </w:r>
      <w:r w:rsidRPr="00AA4C18">
        <w:rPr>
          <w:rFonts w:ascii="Times New Roman" w:hAnsi="Times New Roman" w:cs="Times New Roman"/>
          <w:sz w:val="24"/>
          <w:szCs w:val="24"/>
        </w:rPr>
        <w:t xml:space="preserve">poskytnúť štatistické údaje v stanovenej štruktúre a forme Európskej únii (ďalej len „EÚ“) a Organizácii spojených národov (ďalej len „OSN“). Aj v roku 2021 bude sčítanie súčasťou celosvetového programu </w:t>
      </w:r>
      <w:r w:rsidRPr="00AA4C18">
        <w:rPr>
          <w:rFonts w:ascii="Times New Roman" w:hAnsi="Times New Roman" w:cs="Times New Roman"/>
          <w:sz w:val="24"/>
          <w:szCs w:val="24"/>
        </w:rPr>
        <w:lastRenderedPageBreak/>
        <w:t>populačných, domových a bytových cenzov pod záštitou EÚ a OSN. Všetky členské štáty EÚ majú povinnosť zaradiť do sčítania rovnaké, resp. porovnateľné definície zisťovaných údajov. Takáto striktná koordinácia sčítania v jednotlivých štátoch zabezpečí porovnateľnosť cenzových údajov a ich mnohostranné využitie nielen na národnej, európskej, ale aj širšej medzinárodnej úrovni.</w:t>
      </w:r>
    </w:p>
    <w:p w14:paraId="79036828"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Sčítanie vytvára súbor hodnotných údajov a informácií o stave spoločnosti, o jej demografických, sociálno-ekonomických a kultúrnych štruktúrach, o životných podmienkach obyvateľov a bývaní. Kľúčové sú tiež údaje o počtoch obyvateľov na úrovni republiky, krajov, okresov a obcí a hodnoverné východiská pre ich prognózy. Tieto informácie podporujú plánovanie, administratívu, rozvoj politík a vyhodnocovanie aktivít vlády a iných užívateľov.</w:t>
      </w:r>
    </w:p>
    <w:p w14:paraId="12BFCF94"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Cieľom sčítania je zistiť údaje, ktoré sú nevyhnutné na vytváranie európskych štatistík, údaje, ktoré sú nevyhnutné na vytváranie národných štatistík, a údaje, ktoré sú žiadané používateľmi štatistík. </w:t>
      </w:r>
    </w:p>
    <w:p w14:paraId="638B1CC8" w14:textId="77777777" w:rsidR="00AA4C18" w:rsidRPr="00AA4C18" w:rsidRDefault="00AA4C18" w:rsidP="00AA4C18">
      <w:pPr>
        <w:spacing w:after="120" w:line="276" w:lineRule="auto"/>
        <w:jc w:val="both"/>
        <w:rPr>
          <w:rStyle w:val="Zstupntext"/>
          <w:rFonts w:eastAsia="SimSun"/>
          <w:color w:val="auto"/>
          <w:kern w:val="3"/>
        </w:rPr>
      </w:pPr>
      <w:r w:rsidRPr="00AA4C18">
        <w:rPr>
          <w:rStyle w:val="Zstupntext"/>
          <w:color w:val="auto"/>
          <w:u w:val="single"/>
        </w:rPr>
        <w:t>K § 3</w:t>
      </w:r>
    </w:p>
    <w:p w14:paraId="6ADC1173" w14:textId="77777777" w:rsidR="00AA4C18" w:rsidRPr="00AA4C18" w:rsidRDefault="00AA4C18" w:rsidP="00AA4C18">
      <w:pPr>
        <w:spacing w:after="120" w:line="276" w:lineRule="auto"/>
        <w:jc w:val="both"/>
        <w:rPr>
          <w:rStyle w:val="Zstupntext"/>
          <w:color w:val="auto"/>
        </w:rPr>
      </w:pPr>
      <w:r w:rsidRPr="00AA4C18">
        <w:rPr>
          <w:rStyle w:val="Zstupntext"/>
          <w:color w:val="auto"/>
        </w:rPr>
        <w:t>Zavádzajú sa základné pojmy, ktorých vymedzenie je nevyhnutným predpokladom zabezpečenia jasnosti, zrozumiteľnosti a vykonateľnosti zákona. Pri jednotlivých zákonných definíciách sa vychádza z príslušnej vnútroštátnej, ale i európskej legislatívy, aby sa zabezpečila medzinárodná porovnateľnosť zistených údajov, čo je jedným z hlavných predpokladov úspešného sčítania. Návrhom zákona sa však napriek uvedenému netransponuje žiadna smernica Európskej únie, no ide o vykonanie nariadení Európskej únie upravujúcich povinnosť národných štatistických orgánov poskytnúť v rámci sčítania obyvateľov, domov a bytov porovnateľné údaje. Východiskom je tiež pojmoslovie používané v rámci národného štatistického systému.</w:t>
      </w:r>
    </w:p>
    <w:p w14:paraId="17965F18" w14:textId="77777777" w:rsidR="00AA4C18" w:rsidRPr="00AA4C18" w:rsidRDefault="00AA4C18" w:rsidP="00AA4C18">
      <w:pPr>
        <w:spacing w:after="120" w:line="276" w:lineRule="auto"/>
        <w:jc w:val="both"/>
        <w:rPr>
          <w:rStyle w:val="Zstupntext"/>
          <w:color w:val="auto"/>
          <w:u w:val="single"/>
        </w:rPr>
      </w:pPr>
      <w:r w:rsidRPr="00AA4C18">
        <w:rPr>
          <w:rStyle w:val="Zstupntext"/>
          <w:color w:val="auto"/>
          <w:u w:val="single"/>
        </w:rPr>
        <w:t>K § 4</w:t>
      </w:r>
    </w:p>
    <w:p w14:paraId="7ECAC7FF" w14:textId="77777777" w:rsidR="00AA4C18" w:rsidRPr="00AA4C18" w:rsidRDefault="00AA4C18" w:rsidP="00AA4C18">
      <w:pPr>
        <w:spacing w:after="120" w:line="276" w:lineRule="auto"/>
        <w:jc w:val="both"/>
        <w:rPr>
          <w:rStyle w:val="Zstupntext"/>
          <w:color w:val="auto"/>
        </w:rPr>
      </w:pPr>
      <w:r w:rsidRPr="00AA4C18">
        <w:rPr>
          <w:rStyle w:val="Zstupntext"/>
          <w:color w:val="auto"/>
        </w:rPr>
        <w:t>Za rozhodujúci okamih sčítania sa ustanovuje polnoc zo štvrtka 31. decembra 2020 na piatok 1. januára 2021. Tento referenčný termín je záväzný pre všetky povinné osoby. Je ustanovený na začiatok kalendárneho roka s ohľadom na použitie registrov a administratívnych zdrojov údajov a ich integráciu s údajmi z terénu. Doba sčítania je obdobím, v ktorom sa uskutoční samotné sčítanie prostredníctvom formulárov. V ustanovenom časovom úseku budú povinné osoby poskytovať údaje s platnosťou k rozhodujúcemu dátumu. Doba sčítania je ustanovená odlišne pre sčítanie obyvateľov a pre sčítanie domov a bytov. Doba sčítania obyvateľov bude šesť týždňov a tri dni (od 15. februára 2021 do 31. marca 2021) a je určená na zber údajov od obyvateľov. Počas tejto doby si musia obyvatelia splniť svoju zákonnú povinnosť sčítať sa. Doba sčítania domov a bytov je ustanovená od 1. júna 2020 do 12. februára 2021, teda bude trvať viac ako osem mesiacov.</w:t>
      </w:r>
    </w:p>
    <w:p w14:paraId="44678F40" w14:textId="77777777" w:rsidR="00AA4C18" w:rsidRPr="00AA4C18" w:rsidRDefault="00AA4C18" w:rsidP="00AA4C18">
      <w:pPr>
        <w:spacing w:after="120" w:line="276" w:lineRule="auto"/>
        <w:jc w:val="both"/>
        <w:rPr>
          <w:rStyle w:val="Zstupntext"/>
          <w:color w:val="auto"/>
          <w:u w:val="single"/>
        </w:rPr>
      </w:pPr>
      <w:r w:rsidRPr="00AA4C18">
        <w:rPr>
          <w:rStyle w:val="Zstupntext"/>
          <w:color w:val="auto"/>
          <w:u w:val="single"/>
        </w:rPr>
        <w:t>K § 5</w:t>
      </w:r>
    </w:p>
    <w:p w14:paraId="53EF6FC7" w14:textId="77777777" w:rsidR="00AA4C18" w:rsidRPr="00AA4C18" w:rsidRDefault="00AA4C18" w:rsidP="00AA4C18">
      <w:pPr>
        <w:spacing w:after="120" w:line="276" w:lineRule="auto"/>
        <w:jc w:val="both"/>
        <w:rPr>
          <w:rStyle w:val="Zstupntext"/>
          <w:color w:val="auto"/>
        </w:rPr>
      </w:pPr>
      <w:r w:rsidRPr="00AA4C18">
        <w:rPr>
          <w:rStyle w:val="Zstupntext"/>
          <w:color w:val="auto"/>
        </w:rPr>
        <w:t xml:space="preserve">Zákon zavádza nový inštitút dosčítavania, ktorý pri doterajších sčítaniach nebol explicitne pomenovaný v právnom predpise upravujúcom sčítanie. Ide o štatistické zisťovanie, ktoré možno realizovať po ukončení doby sčítania, ale najneskôr do 30. júna 2021 a jeho cieľom je zaistiť úplnosť údajov na účely posúdenia pokrytia a obsahu. Údaje, ktoré nebudú v dostatočnom rozsahu pokryté zisťovaním v dobe sčítania, bude môcť úrad zistiť dodatočne. </w:t>
      </w:r>
      <w:r w:rsidRPr="00AA4C18">
        <w:rPr>
          <w:rStyle w:val="Zstupntext"/>
          <w:color w:val="auto"/>
        </w:rPr>
        <w:lastRenderedPageBreak/>
        <w:t xml:space="preserve">Na dosčítavanie sa primerane aplikujú ustanovenia zákona o sčítaní. </w:t>
      </w:r>
    </w:p>
    <w:p w14:paraId="23A003DB" w14:textId="77777777" w:rsidR="00AA4C18" w:rsidRPr="00AA4C18" w:rsidRDefault="00AA4C18" w:rsidP="00AA4C18">
      <w:pPr>
        <w:spacing w:after="120" w:line="276" w:lineRule="auto"/>
        <w:jc w:val="both"/>
        <w:rPr>
          <w:rStyle w:val="Zstupntext"/>
          <w:color w:val="auto"/>
        </w:rPr>
      </w:pPr>
      <w:r w:rsidRPr="00AA4C18">
        <w:rPr>
          <w:rStyle w:val="Zstupntext"/>
          <w:color w:val="auto"/>
        </w:rPr>
        <w:t>Dosčítavanie je potrebné odlíšiť od postcenzu, ktorý je vymedzený v § 3 písm. t) a je ním sčítanie vykonávané po roku 2021, ktorého účelom je zabezpečiť aktualizáciu vybraných údajov v kratších časových intervaloch, a to ročných, trojročných alebo päťročných.</w:t>
      </w:r>
    </w:p>
    <w:p w14:paraId="4CC0A4E0" w14:textId="77777777" w:rsidR="00AA4C18" w:rsidRPr="00AA4C18" w:rsidRDefault="00AA4C18" w:rsidP="00AA4C18">
      <w:pPr>
        <w:spacing w:after="120" w:line="276" w:lineRule="auto"/>
        <w:jc w:val="both"/>
        <w:rPr>
          <w:rStyle w:val="Zstupntext"/>
          <w:color w:val="auto"/>
          <w:u w:val="single"/>
        </w:rPr>
      </w:pPr>
      <w:r w:rsidRPr="00AA4C18">
        <w:rPr>
          <w:rStyle w:val="Zstupntext"/>
          <w:color w:val="auto"/>
          <w:u w:val="single"/>
        </w:rPr>
        <w:t>K § 6</w:t>
      </w:r>
    </w:p>
    <w:p w14:paraId="158207AF"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Style w:val="Zstupntext"/>
          <w:color w:val="auto"/>
          <w:sz w:val="24"/>
          <w:szCs w:val="24"/>
        </w:rPr>
        <w:t xml:space="preserve">Ustanovujú sa zdroje zisťovania údajov sčítania, a to formulár pre sčítanie obyvateľov, formulár pre sčítanie domov a bytov a administratívne zdroje. </w:t>
      </w:r>
      <w:r w:rsidRPr="00AA4C18">
        <w:rPr>
          <w:rFonts w:ascii="Times New Roman" w:hAnsi="Times New Roman" w:cs="Times New Roman"/>
          <w:sz w:val="24"/>
          <w:szCs w:val="24"/>
        </w:rPr>
        <w:t xml:space="preserve">Návrh zákona má za cieľ znížiť administratívnu záťaž obyvateľov pri sčítaní v roku 2021, preto sa budú od obyvateľov zisťovať len tie údaje, ktoré nie sú v požadovanej forme dostupné z iných administratívnych zdrojov. Dochádza tak k významnej zmene prechodu od tradičného sčítania k novému, modernému spôsobu, ktorý sa nazýva integrované sčítanie. Integrované sčítanie je sčítaním, v ktorom sa kombinujú údaje dostupné z relevantných administratívnych zdrojov údajov s údajmi z terénneho zisťovania. </w:t>
      </w:r>
    </w:p>
    <w:p w14:paraId="386D840A"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Použitie administratívnych zdrojov údajov pre účely cenzu maximalizuje použiteľnosť existujúcich zdrojov, môže redukovať záťaž respondentov a prispieť k redukcii nákladov na zber údajov v teréne. Integrácia údajov z administratívnych zdrojov údajov môže nahradiť potrebu priameho zberu určitých informácií a môže prispieť k zlepšeniu kvality kľúčových informácií z týchto zdrojov. Tieto trendy sú súčasťou modernizácie sčítania vo svete aj v EÚ. Nová paradigma kombinuje rozvoj a využitie administratívnych zdrojov údajov s flexibilitou štatistickej produkcie smerom k naplneniu nových potrieb.</w:t>
      </w:r>
    </w:p>
    <w:p w14:paraId="5C6F47B3"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Sčítanie v roku 2021 bude založené na plne elektronickom zbere údajov. Elektronické sčítanie je prostriedkom na zníženie administratívnej záťaže obyvateľov, zrýchľuje spracovanie údajov, t. j. skracuje ich cestu ku koncovému používateľovi a dokáže eliminovať viaceré riziká, ktoré pri zbere údajov môžu vzniknúť. Formuláre pre sčítanie budú mať preto výlučne elektronickú formu. Výhodou elektronického formulára je, že je rýchly, bezpečný, menej zaťažuje životné prostredie a bude redukovať náklady na sčítanie v teréne a vo fáze spracovania. </w:t>
      </w:r>
    </w:p>
    <w:p w14:paraId="341E9697"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Zákon výslovne ustanovuje, že zisťovanie údajov na účely sčítania prostredníctvom elektronických formulárov nie je výkonom verejnej moci v elektronickej forme podľa zákona č. 305/2013 Z. z. o elektronickej podobe výkonu pôsobnosti orgánov verejnej moci a o zmene a doplnení niektorých zákonov (zákon o e-Governmente) v znení neskorších predpisov. Postupy, procesy, práva a povinnosti podľa zákona o e-Governmente sa teda nebudú aplikovať na elektronickú formu sčítania.  </w:t>
      </w:r>
    </w:p>
    <w:p w14:paraId="1483DC4D"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Primárnym cieľom je dosiahnuť čo najvyššiu úroveň tzv. samosčítania, t. j. poskytnutia požadovaných údajov prostredníctvom elektronických formulárov priamo povinnou osobou bez potreby asistencie zo strany asistenta sčítania. Tzv. asistované sčítanie by malo byť využité len v prípade, ak ide o osobu, ktorá má sťažený prístup k elektronickým prostriedkom, resp. ktorá pociťuje tento sťažený prístup, a tým by mohlo dôjsť k neposkytnutiu údajov. </w:t>
      </w:r>
    </w:p>
    <w:p w14:paraId="21A7275A"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Formuláre budú dostupné vo viacerých jazykových mutáciách, a to v jazykoch národnostných menšín a vybraných svetových jazykoch. Podľa zákona č. 184/1999 Z. z. o používaní jazykov národnostných menšín v znení neskorších predpisov majú osoby patriace k národnostnej </w:t>
      </w:r>
      <w:r w:rsidRPr="00AA4C18">
        <w:rPr>
          <w:rFonts w:ascii="Times New Roman" w:hAnsi="Times New Roman" w:cs="Times New Roman"/>
          <w:sz w:val="24"/>
          <w:szCs w:val="24"/>
        </w:rPr>
        <w:lastRenderedPageBreak/>
        <w:t>menšine právo používať jazyk národnostnej menšiny v úradnom styku za podmienok určených týmto zákonom. Jednou z podmienok je aj dosiahnutie určitého podielu osôb hlásiacich sa k národnostnej menšine v príslušnej obci vychádzajúc pritom z posledných výsledkov sčítania.</w:t>
      </w:r>
    </w:p>
    <w:p w14:paraId="249D7613"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Výsledky zo sčítania sa ďalej premietnu aj do prílohy k nariadeniu vlády Slovenskej republiky č. 221/1999 Z. z., ktorým sa vydáva zoznam obcí, v ktorých občania SR patriaci k národnostnej menšine tvoria najmenej 20 % obyvateľstva. Podľa § 2 ods. 7 zákona o používaní jazykov národnostných menšín sa v príslušných obciach poskytujú občanom úradné formuláre na požiadanie dvojjazyčne, a to v štátnom jazyku a v jazyku menšiny. Sčítací formulár bude preto vyhotovený aj v jazykoch národnostných menšín, a to v jazyku maďarskom, rómskom, rusínskom, ukrajinskom a nemeckom. Sčítacie formuláre budú z dôvodu, aby sa uľahčilo sčítanie cudzincom, dostupné aj v anglickom a francúzskom jazyku.  </w:t>
      </w:r>
    </w:p>
    <w:p w14:paraId="47C76A3A"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7</w:t>
      </w:r>
    </w:p>
    <w:p w14:paraId="48431D2B"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Ustanovuje sa základný okruh osôb, ktorým zákon stanovuje určité povinnosti v rámci vyplnenia formulárov pre sčítanie. Povinnými osobami budú v tomto smere všetci obyvatelia, to znamená občania s trvalým pobytom alebo prechodným pobytom na území SR; cudzinci s trvalým, prechodným alebo tolerovaným pobytom na území SR, okrem cudzincov požívajúcich diplomatické výsady a imunity podľa medzinárodného práva a osoby s obvyklým pobytom na území SR.</w:t>
      </w:r>
    </w:p>
    <w:p w14:paraId="51C2DC40"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U neplnoletých obyvateľov a obyvateľov s obmedzenou spôsobilosťou na právne úkony bude povinnou osobou ich zákonný zástupca. </w:t>
      </w:r>
    </w:p>
    <w:p w14:paraId="3B887717" w14:textId="77777777" w:rsidR="00AA4C18" w:rsidRPr="00AA4C18" w:rsidRDefault="00AA4C18" w:rsidP="00AA4C18">
      <w:pPr>
        <w:shd w:val="clear" w:color="auto" w:fill="FFFFFF"/>
        <w:spacing w:after="120" w:line="276" w:lineRule="auto"/>
        <w:jc w:val="both"/>
      </w:pPr>
      <w:r w:rsidRPr="00AA4C18">
        <w:t>Povinnou osobou bude aj zakladateľ alebo zriaďovateľ zariadenia, v ktorom sa poskytuje individuálne, kolektívne, dočasné alebo trvalé ubytovanie ako výlučná činnosť alebo ako vedľajšia alebo doplnková činnosť popri plnení inej funkcie daného zariadenia, najmä domov sociálnych služieb, zariadenie pre seniorov, útulok, domov na polceste, zariadenie núdzového bývania,</w:t>
      </w:r>
      <w:r w:rsidRPr="00AA4C18">
        <w:rPr>
          <w:rStyle w:val="Odkaznavysvetlivku"/>
        </w:rPr>
        <w:t xml:space="preserve"> </w:t>
      </w:r>
      <w:r w:rsidRPr="00AA4C18">
        <w:t>zariadenie podporovaného bývania,</w:t>
      </w:r>
      <w:r w:rsidRPr="00AA4C18">
        <w:rPr>
          <w:rStyle w:val="Odkaznavysvetlivku"/>
        </w:rPr>
        <w:t xml:space="preserve"> </w:t>
      </w:r>
      <w:r w:rsidRPr="00AA4C18">
        <w:t>zariadenie opatrovateľskej služby,</w:t>
      </w:r>
      <w:r w:rsidRPr="00AA4C18">
        <w:rPr>
          <w:rStyle w:val="Odkaznavysvetlivku"/>
        </w:rPr>
        <w:t xml:space="preserve"> </w:t>
      </w:r>
      <w:r w:rsidRPr="00AA4C18">
        <w:t>špecializované zariadenie, centrum pre deti a rodiny, diagnostické centrum, liečebno-výchovné sanatórium, reedukačné centrum a zariadenie ústavnej zdravotnej starostlivosti. Ak zariadenie nemá zakladateľa alebo zriaďovateľa, bude povinnou osobou pre sčítanie obyvateľov štatutárny orgán tohto zariadenia (zakladateľ zariadenia, zriaďovateľ zariadenia alebo štatutárny orgán zariadenia ďalej aj ako „osoba zodpovedná za zariadenie“).</w:t>
      </w:r>
    </w:p>
    <w:p w14:paraId="7D4D8026" w14:textId="77777777" w:rsidR="00AA4C18" w:rsidRPr="00AA4C18" w:rsidRDefault="00AA4C18" w:rsidP="00AA4C18">
      <w:pPr>
        <w:shd w:val="clear" w:color="auto" w:fill="FFFFFF"/>
        <w:spacing w:after="120" w:line="276" w:lineRule="auto"/>
        <w:jc w:val="both"/>
      </w:pPr>
      <w:r w:rsidRPr="00AA4C18">
        <w:t xml:space="preserve">Povinnou osobou pre sčítanie domov a bytov budú </w:t>
      </w:r>
    </w:p>
    <w:p w14:paraId="213A26FF" w14:textId="77777777" w:rsidR="00AA4C18" w:rsidRPr="00AA4C18" w:rsidRDefault="00AA4C18" w:rsidP="00AA4C18">
      <w:pPr>
        <w:pStyle w:val="Odsekzoznamu"/>
        <w:widowControl/>
        <w:numPr>
          <w:ilvl w:val="0"/>
          <w:numId w:val="25"/>
        </w:numPr>
        <w:shd w:val="clear" w:color="auto" w:fill="FFFFFF"/>
        <w:autoSpaceDE/>
        <w:autoSpaceDN/>
        <w:adjustRightInd/>
        <w:spacing w:after="120" w:line="276" w:lineRule="auto"/>
        <w:ind w:left="357" w:hanging="357"/>
        <w:jc w:val="both"/>
      </w:pPr>
      <w:r w:rsidRPr="00AA4C18">
        <w:t>obec,</w:t>
      </w:r>
    </w:p>
    <w:p w14:paraId="4EF6BB69" w14:textId="77777777" w:rsidR="00AA4C18" w:rsidRPr="00AA4C18" w:rsidRDefault="00AA4C18" w:rsidP="00AA4C18">
      <w:pPr>
        <w:pStyle w:val="Odsekzoznamu"/>
        <w:widowControl/>
        <w:numPr>
          <w:ilvl w:val="0"/>
          <w:numId w:val="25"/>
        </w:numPr>
        <w:shd w:val="clear" w:color="auto" w:fill="FFFFFF"/>
        <w:autoSpaceDE/>
        <w:autoSpaceDN/>
        <w:adjustRightInd/>
        <w:spacing w:after="120" w:line="276" w:lineRule="auto"/>
        <w:ind w:left="357" w:hanging="357"/>
        <w:jc w:val="both"/>
      </w:pPr>
      <w:r w:rsidRPr="00AA4C18">
        <w:t xml:space="preserve">spoločenstvo vlastníkov bytov a nebytových priestorov v bytovom dome, </w:t>
      </w:r>
    </w:p>
    <w:p w14:paraId="6A807C84" w14:textId="77777777" w:rsidR="00AA4C18" w:rsidRPr="00AA4C18" w:rsidRDefault="00AA4C18" w:rsidP="00AA4C18">
      <w:pPr>
        <w:pStyle w:val="Odsekzoznamu"/>
        <w:widowControl/>
        <w:numPr>
          <w:ilvl w:val="0"/>
          <w:numId w:val="25"/>
        </w:numPr>
        <w:shd w:val="clear" w:color="auto" w:fill="FFFFFF"/>
        <w:autoSpaceDE/>
        <w:autoSpaceDN/>
        <w:adjustRightInd/>
        <w:spacing w:after="120" w:line="276" w:lineRule="auto"/>
        <w:ind w:left="357" w:hanging="357"/>
        <w:jc w:val="both"/>
      </w:pPr>
      <w:r w:rsidRPr="00AA4C18">
        <w:t xml:space="preserve">správca, ktorým je podľa § 6 ods. 1 zákona č. </w:t>
      </w:r>
      <w:r w:rsidRPr="00AA4C18">
        <w:rPr>
          <w:shd w:val="clear" w:color="auto" w:fill="FFFFFF"/>
        </w:rPr>
        <w:t>182/1993 Z. z. o vlastníctve bytov a nebytových priestorov v znení neskorších predpisov</w:t>
      </w:r>
      <w:r w:rsidRPr="00AA4C18">
        <w:t xml:space="preserve"> (ďalej len „zákon o vlastníctve bytov“) iná právnická osoba alebo fyzická osoba, s ktorou vlastníci bytov a nebytových priestorov uzatvoria zmluvu o výkone správy. </w:t>
      </w:r>
    </w:p>
    <w:p w14:paraId="5E35B7D5" w14:textId="77777777" w:rsidR="00AA4C18" w:rsidRPr="00AA4C18" w:rsidRDefault="00AA4C18" w:rsidP="00AA4C18">
      <w:pPr>
        <w:shd w:val="clear" w:color="auto" w:fill="FFFFFF"/>
        <w:spacing w:after="120" w:line="276" w:lineRule="auto"/>
        <w:jc w:val="both"/>
      </w:pPr>
      <w:r w:rsidRPr="00AA4C18">
        <w:t>Tieto osoby budú mať povinnosť poskytovať údaje v rozsahu a spôsobom určeným týmto zákonom.</w:t>
      </w:r>
    </w:p>
    <w:p w14:paraId="6922A351" w14:textId="77777777" w:rsidR="00807565" w:rsidRDefault="00807565">
      <w:pPr>
        <w:widowControl/>
        <w:adjustRightInd/>
        <w:spacing w:after="200" w:line="276" w:lineRule="auto"/>
        <w:rPr>
          <w:u w:val="single"/>
        </w:rPr>
      </w:pPr>
      <w:r>
        <w:rPr>
          <w:u w:val="single"/>
        </w:rPr>
        <w:br w:type="page"/>
      </w:r>
    </w:p>
    <w:p w14:paraId="4DDA4516" w14:textId="043B11B3" w:rsidR="00AA4C18" w:rsidRPr="00AA4C18" w:rsidRDefault="00AA4C18" w:rsidP="00AA4C18">
      <w:pPr>
        <w:shd w:val="clear" w:color="auto" w:fill="FFFFFF"/>
        <w:spacing w:after="120" w:line="276" w:lineRule="auto"/>
        <w:jc w:val="both"/>
        <w:rPr>
          <w:u w:val="single"/>
        </w:rPr>
      </w:pPr>
      <w:r w:rsidRPr="00AA4C18">
        <w:rPr>
          <w:u w:val="single"/>
        </w:rPr>
        <w:lastRenderedPageBreak/>
        <w:t>K § 8</w:t>
      </w:r>
    </w:p>
    <w:p w14:paraId="49994D9C" w14:textId="77777777" w:rsidR="00AA4C18" w:rsidRPr="00AA4C18" w:rsidRDefault="00AA4C18" w:rsidP="00AA4C18">
      <w:pPr>
        <w:shd w:val="clear" w:color="auto" w:fill="FFFFFF"/>
        <w:spacing w:after="120" w:line="276" w:lineRule="auto"/>
        <w:jc w:val="both"/>
        <w:rPr>
          <w:u w:val="single"/>
        </w:rPr>
      </w:pPr>
      <w:r w:rsidRPr="00AA4C18">
        <w:t xml:space="preserve">Elektronické formuláre pre sčítanie obyvateľov budú vytvorené takým spôsobom, aby umožnili obyvateľom sčítať sa samostatne. Pomoc asistenta by mala byť potrebná len výnimočne, a to buď s pomocou stacionárneho asistenta v kontaktom mieste alebo prostredníctvom mobilného asistenta, ktorý môže navštíviť aj domácnosti. Obyvateľ alebo jeho zákonný zástupca je povinný vyplniť formulár pre sčítanie obyvateľov úplne, včas (t. j. v období od 15. februára do 31. marca 2021), správne a pravdivo, pričom vo formulári uvedie údaje podľa stavu k rozhodujúcemu okamihu sčítania (t. j. polnoc z 31. decembra 2020 na 1. januára 2021). Elektronický formulár pre sčítanie obyvateľov môže za obyvateľa vyplniť aj iná osoba, napr. príbuzný alebo osoba, ktorá s ním žije v spoločnej domácnosti. </w:t>
      </w:r>
    </w:p>
    <w:p w14:paraId="194333BD"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Keďže v rozhodujúci okamih sčítania bude určitá časť obyvateľov ubytovaná v zariadeniach podľa § 3 písm. j) zákona, zákon ukladá za účelom zabezpečenia úplnosti sčítania povinnosti aj osobám zodpovedným za zariadenie. Aj tu je zachovaný princíp, že primárne sa obyvateľ sčíta sám. Osoba zodpovedná za zariadenie je povinná osoby ubytované v zariadení počas doby sčítania informovať o tom, že prebieha sčítanie a že majú povinnosť vyplniť formulár pre sčítanie obyvateľov, zároveň je povinná vytvoriť im v rámci ich denného programu na to časový priestor a umožniť, aby im v prípade potreby pomohol asistent sčítania. </w:t>
      </w:r>
    </w:p>
    <w:p w14:paraId="422499E0"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Taktiež je osoba zodpovedná za zariadenie sama povinná poskytnúť potrebné údaje asistentovi sčítania v dobe sčítania obyvateľov. Zariadenie poskytne údaje, ktoré má k dispozícii o obyvateľovi podľa stavu k rozhodujúcemu okamihu sčítania. Zariadenie tiež poskytne údaje o tých obyvateľoch, ktorí sami nie sú schopní splniť si svoju povinnosť sčítať sa a v dobe sčítania sú ubytovaní v zariadení. Samozrejme povinnosť sa vzťahuje len na tie zo zisťovaných údajov, ktoré má osoba zodpovedná za zariadenie počas doby sčítania k dispozícii, t. z. poskytol mu ich samotný obyvateľ alebo jeho zákonný zástupca. Osoba zodpovedná za zariadenie má tiež povinnosť uchovávať údaje o obyvateľoch, ktorí boli v zariadení ubytovaní k rozhodujúcemu okamihu sčítania, t. j. k polnoci z 31. decembra 2020 na 1. januára 2021 až do doby vykonania sčítania (ktoré prebehne medzi 15. februárom a 31. marcom 2021). Táto povinnosť sa vzťahuje len na údaje, ktoré sa zisťujú podľa formulára pre sčítanie obyvateľov.</w:t>
      </w:r>
    </w:p>
    <w:p w14:paraId="112FF368" w14:textId="77777777" w:rsidR="00AA4C18" w:rsidRPr="00AA4C18" w:rsidRDefault="00AA4C18" w:rsidP="00AA4C18">
      <w:pPr>
        <w:spacing w:after="120" w:line="276" w:lineRule="auto"/>
        <w:rPr>
          <w:u w:val="single"/>
        </w:rPr>
      </w:pPr>
      <w:r w:rsidRPr="00AA4C18">
        <w:rPr>
          <w:u w:val="single"/>
        </w:rPr>
        <w:t>K § 9</w:t>
      </w:r>
    </w:p>
    <w:p w14:paraId="779985C4"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Obec sama disponuje určitými údajmi o domoch a bytoch, ktoré sa nachádzajú na jej území, resp. v prípade menších obcí, kde je len niekoľko bytových domov, môže obec disponovať všetkými údajmi o domoch a bytoch potrebnými pre sčítanie. Na základe týchto údajov a údajov získaných od spoločenstiev vlastníkov bytov a nebytových priestorov a správcov vykoná sčítanie domov a bytov sama obec. Obec vykoná sčítanie vyplnením formulára pre sčítanie domov a bytov, pričom zákon jej ukladá povinnosť vykonať sčítanie úplne, včas, správne a pravdivo. Rovnako ako pri sčítaní obyvateľov sa budú formuláre pre sčítanie domov a bytov vypĺňať počas doby sčítania (t. j. medzi 1. júnom 2020 a 12. februárom 2021) a vypĺňať sa budú údaje podľa stavu k rozhodujúcemu okamihu sčítania (t. j. k polnoci z 31. decembra 2020 na 1. januára 2021).</w:t>
      </w:r>
    </w:p>
    <w:p w14:paraId="57AD97C1"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lastRenderedPageBreak/>
        <w:t>V prípade, ak obec nedisponuje z vlastnej činnosti dostatočnými údajmi na účel sčítania domov a bytov, má obec možnosť požiadať spoločenstvo vlastníkov bytov a nebytových priestorov v bytovom dome alebo správcov podľa zákona o vlastníctve bytov o poskytnutie presne špecifikovaných údajov o domoch a bytoch. Spoločenstvo vlastníkov bytov a nebytových priestorov poskytne na základe tejto žiadosti obci požadované údaje o domoch a bytoch, ktoré spravuje, a to v lehote 60 dní od doručenia žiadosti obce. Nepredpokladá sa plošné zisťovanie údajov od všetkých osôb vykonávajúcich správu bytového domu, ale len v prípadoch, keď obec vyhodnotí, že nemá dostatočné údaje na zabezpečenie úplného sčítania domov a bytov.</w:t>
      </w:r>
    </w:p>
    <w:p w14:paraId="39A3A227" w14:textId="77777777" w:rsidR="00AA4C18" w:rsidRPr="00AA4C18" w:rsidRDefault="00AA4C18" w:rsidP="00AA4C18">
      <w:pPr>
        <w:pStyle w:val="Textvysvetlivky"/>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Sčítaniu domov a bytov podliehajú:</w:t>
      </w:r>
    </w:p>
    <w:p w14:paraId="5590803E" w14:textId="77777777" w:rsidR="00AA4C18" w:rsidRPr="00AA4C18" w:rsidRDefault="00AA4C18" w:rsidP="00AA4C18">
      <w:pPr>
        <w:pStyle w:val="Textvysvetlivky"/>
        <w:numPr>
          <w:ilvl w:val="0"/>
          <w:numId w:val="25"/>
        </w:numPr>
        <w:spacing w:after="120" w:line="276" w:lineRule="auto"/>
        <w:ind w:left="357" w:hanging="357"/>
        <w:jc w:val="both"/>
        <w:rPr>
          <w:rFonts w:ascii="Times New Roman" w:hAnsi="Times New Roman" w:cs="Times New Roman"/>
          <w:sz w:val="24"/>
          <w:szCs w:val="24"/>
        </w:rPr>
      </w:pPr>
      <w:r w:rsidRPr="00AA4C18">
        <w:rPr>
          <w:rFonts w:ascii="Times New Roman" w:hAnsi="Times New Roman" w:cs="Times New Roman"/>
          <w:sz w:val="24"/>
          <w:szCs w:val="24"/>
        </w:rPr>
        <w:t>domy, za ktoré sa na účely sčítania považuje bytová budova, tak ako ju vymedzuje § 43b ods. 1 zákona č. 50/1976 Zb. o územnom plánovaní a stavebnom poriadku (stavebný zákon) v znení neskorších predpisov a nebytová budova, tak ako ju vymedzuje § 43c stavebného zákona za podmienky, že je táto budova v rozhodujúci okamih sčítania aspoň sčasti obývaná. Sčítaniu domov a bytov nepodliehajú zastupiteľské úrady cudzích štátov.</w:t>
      </w:r>
    </w:p>
    <w:p w14:paraId="2394AEB4" w14:textId="77777777" w:rsidR="00AA4C18" w:rsidRPr="00AA4C18" w:rsidRDefault="00AA4C18" w:rsidP="00AA4C18">
      <w:pPr>
        <w:pStyle w:val="Textvysvetlivky"/>
        <w:numPr>
          <w:ilvl w:val="0"/>
          <w:numId w:val="25"/>
        </w:numPr>
        <w:spacing w:after="120" w:line="276" w:lineRule="auto"/>
        <w:ind w:left="357" w:hanging="357"/>
        <w:jc w:val="both"/>
        <w:rPr>
          <w:rFonts w:ascii="Times New Roman" w:hAnsi="Times New Roman" w:cs="Times New Roman"/>
          <w:sz w:val="24"/>
          <w:szCs w:val="24"/>
        </w:rPr>
      </w:pPr>
      <w:r w:rsidRPr="00AA4C18">
        <w:rPr>
          <w:rFonts w:ascii="Times New Roman" w:hAnsi="Times New Roman" w:cs="Times New Roman"/>
          <w:sz w:val="24"/>
          <w:szCs w:val="24"/>
        </w:rPr>
        <w:t xml:space="preserve">byty, za ktoré sa na účely sčítania považuje byt tak, ako ho vymedzuje § 43b ods. 4 stavebného zákona nachádzajúci sa v dome a iné obydlie. </w:t>
      </w:r>
    </w:p>
    <w:p w14:paraId="19FF039D" w14:textId="77777777" w:rsidR="00AA4C18" w:rsidRPr="00AA4C18" w:rsidRDefault="00AA4C18" w:rsidP="00AA4C18">
      <w:pPr>
        <w:pStyle w:val="Textvysvetlivky"/>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Pojem iné obydlie sa do zákona o sčítaní zavádza z dôvodu, aby bolo možné sčítaním zachytiť aj iné formy bývania, v ktorých obyvatelia môžu prebývať, avšak nespĺňajú zákonnú definíciu domu alebo bytu v zmysle stavebného zákona. Iným obydlím sa na účely zákona o sčítaní rozumie také obydlie, ktoré v rozhodujúcom okamihu sčítania slúži na bývanie, teda je reálne obývané, avšak nie je súčasťou domu, ani bytom, či obytnou miestnosťou. Je ním najmä stavebná konštrukcia, ktorá ale nespĺňa požiadavku na stavbu alebo iná obytná jednotka. </w:t>
      </w:r>
    </w:p>
    <w:p w14:paraId="673A57CE" w14:textId="77777777" w:rsidR="00AA4C18" w:rsidRPr="00AA4C18" w:rsidRDefault="00AA4C18" w:rsidP="00AA4C18">
      <w:pPr>
        <w:pStyle w:val="Textvysvetlivky"/>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10</w:t>
      </w:r>
    </w:p>
    <w:p w14:paraId="44475566"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Keďže sčítanie v roku 2021 bude realizované elektronicky, funkcia sčítacieho komisára známa z predchádzajúcich sčítaní nebude potrebná. Nie je samozrejme možné odôvodnene očakávať, že všetci obyvatelia, ktorí podliehajú sčítaniu sa budú schopní sčítať sami vyplnením elektronického formulára. Preto sa zriaďuje inštitút asistenta sčítania, ktorý môže pôsobiť v troch formách, a to ako stacionárny asistent v kontaktnom mieste, stacionárny asistent zariadenia alebo mobilný asistent. </w:t>
      </w:r>
    </w:p>
    <w:p w14:paraId="7FA4028B"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Na účely sčítania v roku 2021 budú zriadené kontaktné miesta, kde sa občania budú môcť sčítať a ktoré budú umiestnené tak, aby bola obyvateľom poskytnutá čo najlepšia dostupnosť kontaktných miest – na obecnom úrade, inom mieste v obci alebo na integrovanom obslužnom mieste občana. V kontaktných miestach budú obyvateľom po celú dobu sčítania k dispozícii tzv. stacionárni asistenti sčítania, ktorí im v prípade potreby poskytnú adekvátnu pomoc. Cieľom je ponúknuť občanovi čo najviac možností sčítať sa pri minimálnej záťaži z hľadiska času a prístupu.</w:t>
      </w:r>
    </w:p>
    <w:p w14:paraId="52027C31"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Predpokladá sa, že v zariadeniach podľa § 3 písm. j) tohto zákona môže byť väčší počet osôb, pre ktoré by sčítanie sa samostatne mohlo predstavovať určitú záťaž alebo by toho vôbec neboli schopné a ktorým zdravotný stav alebo režim v zariadení neumožňuje návštevu kontaktného miesta. Preto bude možné vymenovať stacionárneho asistenta zariadenia, ktorý bude asistovať </w:t>
      </w:r>
      <w:r w:rsidRPr="00AA4C18">
        <w:rPr>
          <w:rFonts w:ascii="Times New Roman" w:hAnsi="Times New Roman" w:cs="Times New Roman"/>
          <w:sz w:val="24"/>
          <w:szCs w:val="24"/>
        </w:rPr>
        <w:lastRenderedPageBreak/>
        <w:t>pri sčítaní v zariadení. Stacionárny asistent zariadenia môže byť podľa potreby vymenovaný len pre jedno zariadenie alebo aj pre viac zariadení, ak sa nachádzajú na území tej istej obce.</w:t>
      </w:r>
    </w:p>
    <w:p w14:paraId="44633AA5"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So sčítaním obyvateľov v teréne bude obyvateľom pomáhať mobilný asistent. Mobilnému asistentovi sa pridelí virtuálny asistenčný obvod (súbor blízkych alebo susediacich adries), pričom jeho úlohou bude asistovať pri sčítaní najmä sociálne vylúčeným osobám, digitálne vylúčeným osobám, to znamená osobám, ktoré nemajú prístup k digitálnym technológiám alebo s nimi nevedia pracovať, príslušníkom marginalizovaných komunít, osobám s ťažkým zdravotným postihnutím, dôchodcom a iným znevýhodneným skupinám. Jeho úlohou bude navštíviť v domácnosti osoby, ktoré nie sú schopné samé sa sčítať a tiež zabezpečiť zber údajov. Miera schopnosti sčítať sa formou tzv. samosčítania nebude asistentom sčítania, ani obcou, nijako zisťovaná a je ponechané na obyvateľovi, aby vyhodnotil, či požaduje vykonanie asistovaného sčítania. Ak asistenciu požaduje, môže obyvateľ navštíviť kontaktné miesto a využiť služby stacionárneho asistenta, alebo osloví obyvateľ obec, resp. kontaktnú osobu určenú obcou na účel sčítania, a požiada o asistenciu mobilného asistenta. </w:t>
      </w:r>
    </w:p>
    <w:p w14:paraId="2DCD936D"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Pri vypĺňaní e-formulára sa uprednostňuje vzhľadom na charakter zbieraných údajov samosčítanie. Samosčítanie je komfortnejšie a rýchlejšie. Ak sa obyvateľ rozhodne sám sčítať, svoju povinnosť si môže splniť kedykoľvek a kdekoľvek počas doby sčítania obyvateľov. Nie je obmedzený priestorom ani časom. Pri samosčítaní nedochádza k narušeniu komfortnej zóny obyvateľa. </w:t>
      </w:r>
    </w:p>
    <w:p w14:paraId="429D7B03"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11</w:t>
      </w:r>
    </w:p>
    <w:p w14:paraId="2E8507B2"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Ustanovujú sa predpoklady na vymenovanie za asistenta sčítania, ktorými sú občianstvo v členskej krajine EÚ, vek viac ako 18 rokov, ovládanie štátneho jazyka, najmenej úplné stredné vzdelanie, bezúhonnosť, spoľahlivosť, plná spôsobilosť na právne úkony a odborná spôsobilosť. Tieto základné požiadavky kladené na asistenta sčítania majú zabezpečiť, aby do tejto funkcie boli menované osoby, u ktorých je predpoklad, že vzhľadom na svoje vzdelanie a morálny profil uspokojivo zabezpečia potrebnú asistenciu pri sčítaní obyvateľom a zároveň dodržia diskrétnosť a mlčanlivosť vo vzťahu k údajom, s ktorými sa pri tom oboznámia.  </w:t>
      </w:r>
    </w:p>
    <w:p w14:paraId="4084F6D4"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Zákon ustanovuje, za ktoré úmyselné trestné činy nemohol byť asistent sčítania právoplatne odsúdený. Bezúhonnosť sa bude preukazovať výpisom z registra trestov. Na tento účel v súlade so snahou odbúrania byrokracie poskytne občan starostovi obce údaje potrebné na vyžiadanie výpisu; ten už bude priamo od prokuratúry žiadať obec a nebude touto skutočnosťou zaťažený samotný uchádzač o funkciu asistenta sčítania. </w:t>
      </w:r>
    </w:p>
    <w:p w14:paraId="47FE0193"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Požadované úplné stredné vzdelanie sa bude preukazovať vysvedčením o maturitnej skúške (úplné stredné vzdelanie je vzdelanie získané štúdiom na gymnáziu, strednej odbornej škole, strednej športovej škole). Ak sa o prácu asistenta sčítania uchádza osoba s vyšším stupňom vzdelania ako je úplné stredné vzdelanie, môže sa preukázať aj absolventským diplomom (vyššie odborné vzdelanie získané štúdiom na strednej odbornej škole, tanečnom konzervatóriu, škole umeleckého priemyslu) alebo vysokoškolským diplomom (vysokoškolské štúdium prvého až tretieho stupňa).</w:t>
      </w:r>
    </w:p>
    <w:p w14:paraId="768F4714"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Predpoklad odbornej spôsobilosti sa vyžaduje až od vymenovaného asistenta sčítania po tom, ako získa odbornú spôsobilosť z dôvodu, že splnenie tohto predpokladu sa viaže výlučne </w:t>
      </w:r>
      <w:r w:rsidRPr="00AA4C18">
        <w:rPr>
          <w:rFonts w:ascii="Times New Roman" w:hAnsi="Times New Roman" w:cs="Times New Roman"/>
          <w:sz w:val="24"/>
          <w:szCs w:val="24"/>
        </w:rPr>
        <w:lastRenderedPageBreak/>
        <w:t>na školenie organizované úradom, a nie je efektívne takéto školenie organizovať len pre potenciálnych záujemcov o prácu asistenta sčítania.</w:t>
      </w:r>
    </w:p>
    <w:p w14:paraId="71A6D2EF"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12</w:t>
      </w:r>
    </w:p>
    <w:p w14:paraId="27F700A7"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Upravuje sa vymenovanie asistenta sčítania. Osobou oprávnenou vymenovať asistenta sčítania bude starosta obce. Ten podľa potreby vymenuje jedného alebo viacerých stacionárnych asistentov pre každé kontaktné miesto zriadené obcou alebo poštovým podnikom (na základe personálneho návrhu poštového podniku) a jedného alebo viacerých stacionárnych asistentov sčítania pre jedno zariadenie alebo jedného asistenta sčítania pre viacero zariadení nachádzajúcich sa na území obce. Starosta pri určovaní počtu stacionárnych asistentov vychádza z poznania praktickej situácie v obci a v zariadeniach na jej území, aby zabezpečil plynulý priebeh sčítania a včasnosť poskytnutia potrebných údajov.</w:t>
      </w:r>
    </w:p>
    <w:p w14:paraId="49E0DAD0"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Starosta obce menuje aj stacionárneho asistenta zariadenia, a to spomedzi zamestnancov zariadenia, na návrh osoby zodpovednej za zariadenie v prípade zariadení uvedených v zákone a tiež v prípade zariadenia s kapacitou nad 100 lôžok. Proces menovania stacionárneho asistenta zariadenia sa navrhuje spôsobom, že obec vyzve najneskôr do </w:t>
      </w:r>
      <w:r w:rsidRPr="00AA4C18">
        <w:rPr>
          <w:rFonts w:ascii="Times New Roman" w:eastAsia="Times New Roman" w:hAnsi="Times New Roman" w:cs="Times New Roman"/>
          <w:sz w:val="24"/>
          <w:szCs w:val="24"/>
          <w:lang w:eastAsia="sk-SK"/>
        </w:rPr>
        <w:t xml:space="preserve">30. októbra 2020 </w:t>
      </w:r>
      <w:r w:rsidRPr="00AA4C18">
        <w:rPr>
          <w:rFonts w:ascii="Times New Roman" w:hAnsi="Times New Roman" w:cs="Times New Roman"/>
          <w:sz w:val="24"/>
          <w:szCs w:val="24"/>
        </w:rPr>
        <w:t>osobu zodpovednú za zariadenie aby jej navrhla, ktorý zo zamestnancov zariadenia bude stacionárnym asistentom zariadenia, za predpokladu, že tento spĺňa zákonné podmienky na vymenovanie za asistenta sčítania a s týmto vymenovaním súhlasí. Osoba zodpovedná za zariadenie doručí obci návrh na stacionárneho asistenta zariadenia do 30 dní od kedy jej bola doručená výzva obce.</w:t>
      </w:r>
    </w:p>
    <w:p w14:paraId="523736BA"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Pri vymenúvaní mobilných asistentov berie starosta obce do úvahy, aký počet týchto asistentov bude v rámci jeho obce potrebný, aby sčítanie prebehlo plynulo a včas. Starosta berie do úvahy aj národnostné zloženie obce a za mobilných asistentov vymenuje aj osoby, ktoré ovládajú jazyk národnostnej menšiny, ak ide o obec, ktorej obyvatelia majú v zmysle zákona o používaní jazykov národnostných menšín právo v tejto obci používať v úradnom styku jazyk menšiny. Starosta pri určovaní osoby, ktorá bude mobilným asistentom prihliada aj na to, či bude mobilný asistent pomáhať so sčítaním aj obyvateľom, ktorí používajú iný cudzí jazyk.</w:t>
      </w:r>
    </w:p>
    <w:p w14:paraId="2B3B5D41"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Za asistenta sčítania môže byť vymenovaná len osoba, ktorá spĺňa podmienky ustanovené týmto zákonom a ktorá súhlasí so svojim vymenovaním za asistenta sčítania. </w:t>
      </w:r>
    </w:p>
    <w:p w14:paraId="1F755EBB"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13</w:t>
      </w:r>
    </w:p>
    <w:p w14:paraId="74BFF6C9"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Odbornú spôsobilosť vo vzťahu k sčítaniu obyvateľov nadobudnú asistenti sčítania absolvovaním školenia, na ktorom sa oboznámia s príslušnými právnymi predpismi predovšetkým s týmto zákonom, právnymi predpismi vzťahujúcimi sa na ochranu osobných údajov, vykonávacími predpismi a metodickými pokynmi úradu, a získajú zručnosti potrebné na prácu s elektronickým sčítacím formulárom. Podrobnosti o týchto školeniach ustanoví úrad metodickým pokynom. </w:t>
      </w:r>
    </w:p>
    <w:p w14:paraId="036B6879"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V rámci súčinnosti poskytovanej podľa § 26 písm. a) a § 27 ods. 2 písm. b) návrhu zákona starosta obce oznámi v ustanovenej lehote príslušnému okresnému úradu osoby, ktoré vymenoval za asistentov sčítania, a okresný úrad to v ustanovenej lehote oznámi príslušnému kontaktnému bodu.</w:t>
      </w:r>
    </w:p>
    <w:p w14:paraId="4A93895A"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lastRenderedPageBreak/>
        <w:t xml:space="preserve">K § 14  </w:t>
      </w:r>
    </w:p>
    <w:p w14:paraId="19091FA8"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Úrad bude viesť zoznam asistentov sčítania, pričom asistent sčítania doň bude zapísaný odo dňa nadobudnutia odbornej spôsobilosti. Ustanovujú sa údaje, ktoré sa do tohto zoznamu budú zapisovať, ako aj dôvody na vyčiarknutie zo zoznamu.</w:t>
      </w:r>
    </w:p>
    <w:p w14:paraId="0E104155"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 xml:space="preserve">K § 15 </w:t>
      </w:r>
    </w:p>
    <w:p w14:paraId="20A7106E"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Asistent sčítania nadobúda práva a povinnosti asistenta sčítania najskôr dňom zápisu do zoznamu asistentov sčítania, pred týmto dňom nie je oprávnený konať ako asistent sčítania a neviažu ho zákonné povinnosti asistenta sčítania.</w:t>
      </w:r>
    </w:p>
    <w:p w14:paraId="442E086E" w14:textId="77777777" w:rsidR="00AA4C18" w:rsidRPr="00AA4C18" w:rsidRDefault="00AA4C18" w:rsidP="00AA4C18">
      <w:pPr>
        <w:pStyle w:val="Standard"/>
        <w:spacing w:after="120" w:line="276" w:lineRule="auto"/>
        <w:jc w:val="both"/>
        <w:rPr>
          <w:rStyle w:val="Zstupntext"/>
          <w:color w:val="auto"/>
          <w:sz w:val="24"/>
          <w:szCs w:val="24"/>
        </w:rPr>
      </w:pPr>
      <w:r w:rsidRPr="00AA4C18">
        <w:rPr>
          <w:rFonts w:ascii="Times New Roman" w:hAnsi="Times New Roman" w:cs="Times New Roman"/>
          <w:sz w:val="24"/>
          <w:szCs w:val="24"/>
        </w:rPr>
        <w:t xml:space="preserve">Asistent sčítania zapísaný do zoznamu je oprávnený oboznamovať sa s údajmi pre sčítanie obyvateľov a zároveň je oprávnený tieto údaje od povinných osôb požadovať. Asistent sčítania má nárok na poskytnutie technických pomôcok. </w:t>
      </w:r>
    </w:p>
    <w:p w14:paraId="35062DD7"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Zákon podrobne ustanovuje povinnosti asistenta sčítania, ktoré priamo súvisia s požiadavkou riadneho, včasného, pravdivého a úplného získania údajov pre sčítanie obyvateľov. Asistent bude povinný preukazovať sa pri výkone jeho činnosti preukazom asistenta sčítania, ktorého vzor ustanoví opatrenie.</w:t>
      </w:r>
    </w:p>
    <w:p w14:paraId="49196EB1"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16</w:t>
      </w:r>
    </w:p>
    <w:p w14:paraId="6FB8511E"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Funkcia asistenta sčítania bude odplatná, pričom činnosť asistenta je možné vykonávať v rámci plnenia pracovných úloh v pracovnom pomere, ak ide o zamestnancov obcí (stacionárni asistenti sčítania alebo mobilní asistenti sčítania v kontaktných miestach zriadených obcou), poštového podniku poskytujúceho univerzálnu poštovú službu (len stacionárni asistenti sčítania) alebo zariadení podľa § 3 písm. j) návrhu zákona (len stacionárni asistenti sčítania). Rozpočet sčítania predpokladá uvoľnenie peňažných prostriedkov v prospech zvýšenia hmotnej zainteresovanosti zamestnancov uvedených prevádzkovateľov, pretože výkon činnosti asistenta sčítania v rámci platenej prekážky v práci nemusí byť pri uchádzaní sa o túto funkciu motivujúci. Vzhľadom na potrebu úradu pokryť kategórie obyvateľstva znevýhodnené pri elektronickom sčítaní, absencia asistentov sčítania vykonávajúcich svoju činnosť v rámci plnenia pracovných úloh u prevádzkovateľa kontaktného miesta alebo zariadenia by mohla sťažiť sčítanie obyvateľov. Zákon však ponecháva aj možnosť výkonu činnosti asistenta sčítania v rámci platenej prekážky v práci, čo prichádza do úvahy aj pri asistentoch vykonávajúcich zárobkovú činnosť vo vzťahu k tretím osobám alebo pri samostatne zárobkovo činných osobách. Napokon existuje aj tretia možnosť – výkon činnosti za odmenu, ak bude asistent sčítania ako zamestnanec alebo osoba v obdobnom pracovnom vzťahu vykonávať činnosť mimo pracovného času dohodnutého s jej zamestnávateľom, ak bude asistent evidovaným uchádzačom o zamestnanie, alebo ak osoba nebude vykonávať sústavne zárobkovú činnosť z dôvodu, že je starobný alebo invalidný dôchodca, alebo študent</w:t>
      </w:r>
      <w:r w:rsidRPr="00AA4C18">
        <w:rPr>
          <w:rStyle w:val="Zstupntext"/>
          <w:color w:val="auto"/>
          <w:sz w:val="24"/>
          <w:szCs w:val="24"/>
        </w:rPr>
        <w:t xml:space="preserve">. Podrobnosti o určení výšky tejto odmeny a spôsobe jej úhrady ustanoví úrad opatrením. </w:t>
      </w:r>
    </w:p>
    <w:p w14:paraId="0D0CDD6B"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17</w:t>
      </w:r>
    </w:p>
    <w:p w14:paraId="41970C8A"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Úrad vytvorí Elektronický systém pre sčítanie, ktorý bude dostupný cez webové sídlo úradu, prostredníctvom ktorého bude možné vypĺňať formuláre pre sčítanie obyvateľov, ako aj pre sčítanie domov a bytov. Správcom tohto informačného systému verejnej správy bude úrad, </w:t>
      </w:r>
      <w:r w:rsidRPr="00AA4C18">
        <w:rPr>
          <w:rStyle w:val="Zstupntext"/>
          <w:color w:val="auto"/>
          <w:sz w:val="24"/>
          <w:szCs w:val="24"/>
        </w:rPr>
        <w:lastRenderedPageBreak/>
        <w:t xml:space="preserve">ktorému zákon ustanovuje ďalšie povinnosti nad rámec všeobecných povinností správcu informačného systému verejnej správy. Splnením týchto povinností úradu sa zabezpečí realizácia sčítania elektronickou formou. Úrad okrem vytvorenia a prevádzky portálu zabezpečí aj vytvorenie formulárov a ich bezodplatné sprístupnenie. Ďalej zabezpečí vytvorenie systému identifikácie elektronickej identity povinnej osoby podľa jedinečného identifikátora a systém na overenie tejto identity prostredníctvom autentifikácie osoby, podrobnosti o týchto systémoch ustanoví úrad opatrením. Návrh opatrenia bude predmetom konzultácie s Úradom na ochranu osobných údajov SR. </w:t>
      </w:r>
    </w:p>
    <w:p w14:paraId="5AC8EC96"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 xml:space="preserve">K § 18 </w:t>
      </w:r>
    </w:p>
    <w:p w14:paraId="69292A41" w14:textId="77777777" w:rsidR="00AA4C18" w:rsidRPr="00AA4C18" w:rsidRDefault="00AA4C18" w:rsidP="00AA4C18">
      <w:pPr>
        <w:shd w:val="clear" w:color="auto" w:fill="FFFFFF"/>
        <w:spacing w:after="120" w:line="276" w:lineRule="auto"/>
        <w:jc w:val="both"/>
      </w:pPr>
      <w:r w:rsidRPr="00AA4C18">
        <w:t xml:space="preserve">Kontaktným miestom bude miesto, kde môže povinná osoba uskutočniť svoje sčítanie sama alebo pomocou asistenta sčítania, a ktoré môže byť umiestnené na obecnom úrade, na inom mieste zriadenom obcou, alebo na integrovanom obslužnom mieste, známejšom pod označením integrované obslužné miesto občana (IOMO). </w:t>
      </w:r>
    </w:p>
    <w:p w14:paraId="6B46F1CD" w14:textId="77777777" w:rsidR="00AA4C18" w:rsidRPr="00AA4C18" w:rsidRDefault="00AA4C18" w:rsidP="00AA4C18">
      <w:pPr>
        <w:shd w:val="clear" w:color="auto" w:fill="FFFFFF"/>
        <w:spacing w:after="120" w:line="276" w:lineRule="auto"/>
        <w:jc w:val="both"/>
      </w:pPr>
      <w:r w:rsidRPr="00AA4C18">
        <w:t xml:space="preserve">Obec je povinná zriadiť kontaktné miesto najneskôr do 15 dní pred začiatkom doby sčítania obyvateľov, prevádzkovať kontaktné miesto zriadené obcou počas doby sčítania obyvateľov a zverejniť zoznam všetkých (nie len tých zriadených obcou) kontaktných miest na svojom území počas doby sčítania obyvateľov [§ 27 ods. 2 písm. i) návrhu zákona]. Do 31. decembra 2020 je obec povinná oznámiť kontaktnému bodu príslušné údaje o ňou zriadenom kontaktnom mieste [§ 27 ods. 2 písm. n) návrhu zákona]. Poštový podnik poskytujúci univerzálnu poštovú službu môže zriadiť kontaktné miesto po dohode s úradom. </w:t>
      </w:r>
    </w:p>
    <w:p w14:paraId="1BB73EC9" w14:textId="77777777" w:rsidR="00AA4C18" w:rsidRPr="00AA4C18" w:rsidRDefault="00AA4C18" w:rsidP="00AA4C18">
      <w:pPr>
        <w:shd w:val="clear" w:color="auto" w:fill="FFFFFF"/>
        <w:spacing w:after="120" w:line="276" w:lineRule="auto"/>
        <w:jc w:val="both"/>
      </w:pPr>
      <w:r w:rsidRPr="00AA4C18">
        <w:t>Kontaktné miesto musí spĺňať podmienky prevádzky ustanovené zákonom a musí byť úradom zapísané do zoznamu kontaktných miest. Konkrétne podmienky prevádzky ustanoví úrad opatrením. Medzi podmienky prevádzky patrí aj zabezpečenie čo najľahšej prístupnosti kontaktného miesta pre občanov so zdravotným postihnutím. Za plnenie podmienok prevádzky kontaktného miesta počas celého sčítania bude zodpovedať jeho prevádzkovateľ. Kontrolu podmienok prevádzky vykonáva úrad.</w:t>
      </w:r>
    </w:p>
    <w:p w14:paraId="5FF05B7E" w14:textId="77777777" w:rsidR="00AA4C18" w:rsidRPr="00AA4C18" w:rsidRDefault="00AA4C18" w:rsidP="00AA4C18">
      <w:pPr>
        <w:shd w:val="clear" w:color="auto" w:fill="FFFFFF"/>
        <w:spacing w:after="120" w:line="276" w:lineRule="auto"/>
        <w:jc w:val="both"/>
        <w:rPr>
          <w:u w:val="single"/>
        </w:rPr>
      </w:pPr>
      <w:r w:rsidRPr="00AA4C18">
        <w:rPr>
          <w:u w:val="single"/>
        </w:rPr>
        <w:t xml:space="preserve">K § 19 </w:t>
      </w:r>
    </w:p>
    <w:p w14:paraId="22F2CCA3" w14:textId="77777777" w:rsidR="00AA4C18" w:rsidRPr="00AA4C18" w:rsidRDefault="00AA4C18" w:rsidP="00AA4C18">
      <w:pPr>
        <w:shd w:val="clear" w:color="auto" w:fill="FFFFFF"/>
        <w:spacing w:after="120" w:line="276" w:lineRule="auto"/>
        <w:jc w:val="both"/>
      </w:pPr>
      <w:r w:rsidRPr="00AA4C18">
        <w:t xml:space="preserve">Úrad bude viesť zoznam kontaktných miest. Ustanovujú sa podrobnosti o spôsobe zápisu kontaktného miesta do zoznamu, o zapisovaných údajoch, o vyčiarknutí kontaktného miesta zo zoznamu. Zoznam kontaktných miest bude verejný, úrad je povinný zverejniť ho na svojom webovom sídle. </w:t>
      </w:r>
    </w:p>
    <w:p w14:paraId="57A15737" w14:textId="77777777" w:rsidR="00AA4C18" w:rsidRPr="00AA4C18" w:rsidRDefault="00AA4C18" w:rsidP="00AA4C18">
      <w:pPr>
        <w:shd w:val="clear" w:color="auto" w:fill="FFFFFF"/>
        <w:spacing w:after="120" w:line="276" w:lineRule="auto"/>
        <w:jc w:val="both"/>
        <w:rPr>
          <w:u w:val="single"/>
        </w:rPr>
      </w:pPr>
      <w:r w:rsidRPr="00AA4C18">
        <w:rPr>
          <w:u w:val="single"/>
        </w:rPr>
        <w:t>K § 20</w:t>
      </w:r>
    </w:p>
    <w:p w14:paraId="639BB630" w14:textId="77777777" w:rsidR="00AA4C18" w:rsidRPr="00AA4C18" w:rsidRDefault="00AA4C18" w:rsidP="00AA4C18">
      <w:pPr>
        <w:shd w:val="clear" w:color="auto" w:fill="FFFFFF"/>
        <w:spacing w:after="120" w:line="276" w:lineRule="auto"/>
        <w:jc w:val="both"/>
      </w:pPr>
      <w:r w:rsidRPr="00AA4C18">
        <w:rPr>
          <w:rStyle w:val="Zstupntext"/>
          <w:color w:val="auto"/>
        </w:rPr>
        <w:t xml:space="preserve">Sčítanie v roku 2021 </w:t>
      </w:r>
      <w:r w:rsidRPr="00AA4C18">
        <w:t xml:space="preserve">bude integrovaným sčítaním, to znamená, že bude kombinovať údaje z konkrétnych administratívnych zdrojov údajov s údajmi, ktoré je možné získať výlučne od obyvateľov. Keďže údaje z administratívnych zdrojov nie sú dostatočné pre využitie na účel sčítania, je potrebná ich kombinácia s údajmi z terénneho zisťovania. </w:t>
      </w:r>
    </w:p>
    <w:p w14:paraId="67A94E24" w14:textId="77777777" w:rsidR="00AA4C18" w:rsidRPr="00AA4C18" w:rsidRDefault="00AA4C18" w:rsidP="00AA4C18">
      <w:pPr>
        <w:shd w:val="clear" w:color="auto" w:fill="FFFFFF"/>
        <w:spacing w:after="120" w:line="276" w:lineRule="auto"/>
        <w:jc w:val="both"/>
      </w:pPr>
      <w:r w:rsidRPr="00AA4C18">
        <w:t xml:space="preserve">Na druhej strane je cieľom pripravovaného sčítania minimalizovať administratívnu záťaž obyvateľov, preto sa nebudú od obyvateľov zisťovať údaje, ktoré má štát k dispozícii z iného administratívneho zdroja, ak to nebude pre účely sčítania nevyhnutné. Konkrétnemu vymedzeniu údajov z administratívnych zdrojov pre účel sčítania predchádzal dotazník </w:t>
      </w:r>
      <w:r w:rsidRPr="00AA4C18">
        <w:lastRenderedPageBreak/>
        <w:t>prehľadu existujúcich zdrojov údajov o obyvateľoch, domoch, bytoch a domácnostiach, zhodnotenie dostupných zdrojov, komunikácia so správcami a prevádzkovateľmi informačných systémov verejnej správy, uzatváranie dohôd na poskytovanie údajov pre účel testovania, primárna analýza údajov z administratívnych zdrojov (obsah, štruktúry, číselníky, pokrytie atď.), vytvorenie modelu populačnej bázy, overovanie integrácie údajov z administratívnych zdrojov navzájom a pod.</w:t>
      </w:r>
    </w:p>
    <w:p w14:paraId="65279AD6" w14:textId="77777777" w:rsidR="00AA4C18" w:rsidRPr="00AA4C18" w:rsidRDefault="00AA4C18" w:rsidP="00AA4C18">
      <w:pPr>
        <w:shd w:val="clear" w:color="auto" w:fill="FFFFFF"/>
        <w:spacing w:after="120" w:line="276" w:lineRule="auto"/>
        <w:jc w:val="both"/>
      </w:pPr>
      <w:r w:rsidRPr="00AA4C18">
        <w:t xml:space="preserve">Zákon ustanovuje, že správca administratívneho zdroja je povinný poskytnúť úradu údaje na základe jeho žiadosti, a to na presne vymedzený účel, ktorým je príprava sčítania, zistenie údajov zisťovaných v rámci sčítania a dosčítavania a zabezpečenia kontinuity poskytovania údajov pre </w:t>
      </w:r>
      <w:proofErr w:type="spellStart"/>
      <w:r w:rsidRPr="00AA4C18">
        <w:t>postcenzus</w:t>
      </w:r>
      <w:proofErr w:type="spellEnd"/>
      <w:r w:rsidRPr="00AA4C18">
        <w:t>.</w:t>
      </w:r>
    </w:p>
    <w:p w14:paraId="3B6BE2D4" w14:textId="77777777" w:rsidR="00AA4C18" w:rsidRPr="00AA4C18" w:rsidRDefault="00AA4C18" w:rsidP="00AA4C18">
      <w:pPr>
        <w:shd w:val="clear" w:color="auto" w:fill="FFFFFF"/>
        <w:spacing w:after="120" w:line="276" w:lineRule="auto"/>
        <w:jc w:val="both"/>
      </w:pPr>
      <w:r w:rsidRPr="00AA4C18">
        <w:t xml:space="preserve">Odsek 2 ustanovuje, ktorí správcovia administratívnych zdrojov majú osobitné postavenie z hľadiska potreby Úradu získať údaje na účely sčítania od týchto správcov, pričom v prípade potreby je na základe žiadosti úradu aj iný správca administratívneho zdroja povinný poskytnúť údaje potrebné na účel sčítania. Neuzavretý výpočet subjektov verejnej moci, ktoré sú povinné poskytnúť údaje, je nevyhnutný z dôvodu bezproblémového zabezpečenia plnenia úloh úradu voči Eurostatu. Návrh zákona musí predstavovať dostatočné flexibilnú právnu úpravu, ktorá umožní aj v prípade akýchkoľvek technických, organizačných či legislatívnych zmien uskutočniť sčítanie s využitím administratívnych zdrojov údajov. Zároveň má zákon pokryť aj prípadnú potrebu realizácie </w:t>
      </w:r>
      <w:proofErr w:type="spellStart"/>
      <w:r w:rsidRPr="00AA4C18">
        <w:t>dosčítania</w:t>
      </w:r>
      <w:proofErr w:type="spellEnd"/>
      <w:r w:rsidRPr="00AA4C18">
        <w:t xml:space="preserve"> a postcenzu, čo bude aktuálne až v horizonte viac ako dvoch rokov od predpokladanej účinnosti tohto zákona. Preto zákon musí upravovať možnosť vyžiadať štatistické údaje aj od subjektov verejnej moci, ktoré nie sú v súčasnosti identifikované.</w:t>
      </w:r>
    </w:p>
    <w:p w14:paraId="34E9A5C0" w14:textId="77777777" w:rsidR="00AA4C18" w:rsidRPr="00AA4C18" w:rsidRDefault="00AA4C18" w:rsidP="00AA4C18">
      <w:pPr>
        <w:shd w:val="clear" w:color="auto" w:fill="FFFFFF"/>
        <w:spacing w:after="120" w:line="276" w:lineRule="auto"/>
        <w:jc w:val="both"/>
      </w:pPr>
      <w:r w:rsidRPr="00AA4C18">
        <w:t xml:space="preserve">Upravujú sa hlavné východiskové registre pre potreby sčítania a lehoty, v ktorých sú príslušní správcovia administratívneho zdroja povinní poskytnúť úradu požadované údaje. Z rovnakých dôvodov, aké boli uvedené vyššie, musí byť zákon flexibilný aj vo vzťahu k identifikácii registrov, z ktorých majú orgány verejnej moci povinnosť poskytnúť údaje na účel sčítania.  </w:t>
      </w:r>
    </w:p>
    <w:p w14:paraId="02887C36" w14:textId="77777777" w:rsidR="00AA4C18" w:rsidRPr="00AA4C18" w:rsidRDefault="00AA4C18" w:rsidP="00AA4C18">
      <w:pPr>
        <w:pStyle w:val="Standard"/>
        <w:tabs>
          <w:tab w:val="left" w:pos="284"/>
        </w:tabs>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 xml:space="preserve">K § 21 </w:t>
      </w:r>
    </w:p>
    <w:p w14:paraId="4911E5B4" w14:textId="77777777" w:rsidR="00AA4C18" w:rsidRPr="00AA4C18" w:rsidRDefault="00AA4C18" w:rsidP="00AA4C18">
      <w:pPr>
        <w:pStyle w:val="Standard"/>
        <w:tabs>
          <w:tab w:val="left" w:pos="284"/>
        </w:tabs>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Upravuje sa žiadosť úradu, na základe ktorej správca administratívneho zdroja poskytne úradu údaje na účely sčítania a predbežné prerokovanie jej obsahu s príslušným správcom administratívneho zdroja zo strany úradu. Obsah žiadosti úradu definuje odsek 3 (napríklad zoznam, rozsah a termín poskytnutých údajov). Ak obsahom dohôd účinných v čase nadobudnutia účinnosti zákona sú aj náležitosti žiadosti podľa ods. 3, úrad adresuje správcovi administratívneho zdroja žiadosť len v prípade, ak je potrebné zmeniť niektorú z obsahových náležitostí podľa odseku 3 (napríklad, ak je potrebná zmena rozsahu poskytovaných údajov).</w:t>
      </w:r>
    </w:p>
    <w:p w14:paraId="4EA60C2C" w14:textId="77777777" w:rsidR="00AA4C18" w:rsidRPr="00AA4C18" w:rsidRDefault="00AA4C18" w:rsidP="00AA4C18">
      <w:pPr>
        <w:pStyle w:val="Standard"/>
        <w:tabs>
          <w:tab w:val="left" w:pos="284"/>
        </w:tabs>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Zákon ustanovuje, že správca administratívneho zdroja je povinný poskytnúť úradu aj také údaje, ktorých obsah môže byť predmetom zákonom chráneného tajomstva, a to najmä daňového. Do úvahy však prichádzajú aj iné druhy zákonom chráneného tajomstva alebo inej zákonnom uloženej povinnosti mlčanlivosti. V tomto prípade sa na poskytnutie údajov nevyžaduje súhlas osoby, ktorá je podľa osobitných zákonov oprávnená tento súhlas udeliť. Táto zákonná výnimka umožní úradu získať v rámci sčítania prístup k množine údajov, ktoré fyzická osoba poskytuje Finančnej správe SR a ktoré sú nevyhnutné na účely sčítania. </w:t>
      </w:r>
      <w:r w:rsidRPr="00AA4C18">
        <w:rPr>
          <w:rFonts w:ascii="Times New Roman" w:hAnsi="Times New Roman" w:cs="Times New Roman"/>
          <w:sz w:val="24"/>
          <w:szCs w:val="24"/>
        </w:rPr>
        <w:lastRenderedPageBreak/>
        <w:t xml:space="preserve">Predmetom zisťovania nebude skúmanie príjmov a výdavkov fyzických osôb, ako to vyplýva i zo zoznamu tém a charakteristík zisťovaných pri sčítaní, ktoré sú súčasťou Prílohy. </w:t>
      </w:r>
    </w:p>
    <w:p w14:paraId="532DE666"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Upravujú sa náležitosti žiadosti úradu o poskytnutie údajov z administratívnych zdrojov. O poskytnutí údajov úrad vystaví písomné potvrdenie.</w:t>
      </w:r>
    </w:p>
    <w:p w14:paraId="22ECBEE8"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22</w:t>
      </w:r>
    </w:p>
    <w:p w14:paraId="6F649AAD"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Ustanovuje sa spôsob nakladania s údajmi získanými z administratívnych zdrojov tak, aby bola zabezpečená ochrana týchto údajov. Spôsob nakladania s týmito údajmi je oprávnený kontrolovať správca administratívneho zdroja, ktorý ich poskytol.</w:t>
      </w:r>
    </w:p>
    <w:p w14:paraId="018EDB3C"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23</w:t>
      </w:r>
    </w:p>
    <w:p w14:paraId="607D2DFD" w14:textId="77777777" w:rsidR="00AA4C18" w:rsidRPr="00AA4C18" w:rsidRDefault="00AA4C18" w:rsidP="00AA4C18">
      <w:pPr>
        <w:spacing w:after="120" w:line="276" w:lineRule="auto"/>
        <w:jc w:val="both"/>
      </w:pPr>
      <w:r w:rsidRPr="00AA4C18">
        <w:rPr>
          <w:rStyle w:val="Zstupntext"/>
          <w:color w:val="auto"/>
        </w:rPr>
        <w:t xml:space="preserve">Údaje z administratívnych zdrojov bude správca administratívneho zdroja poskytovať úradu elektronickými prostriedkami určenými úradom, pričom podrobnosti ustanoví úrad opatrením. </w:t>
      </w:r>
    </w:p>
    <w:p w14:paraId="3D5A2EA9" w14:textId="77777777" w:rsidR="00AA4C18" w:rsidRPr="00AA4C18" w:rsidRDefault="00AA4C18" w:rsidP="00AA4C18">
      <w:pPr>
        <w:spacing w:after="120" w:line="276" w:lineRule="auto"/>
        <w:jc w:val="both"/>
      </w:pPr>
      <w:r w:rsidRPr="00AA4C18">
        <w:t xml:space="preserve">Do znenia opatrenia sa inkorporujú spôsoby technického zabezpečenia poskytovania údajov z administratívnych zdrojov, ktorými sa realizuje poskytovanie údajov medzi úradom a príslušným správcom administratívneho zdroja podľa dohody o poskytovaní údajov účinnej v čase nadobudnutia účinnosti zákona. Dohody medzi úradom a správcom administratívneho zdroja, ktoré budú účinné v čase nadobudnutia účinnosti zákona, zostanú naďalej platné na základe prechodného ustanovenia § 39 ods. 2 zákona. </w:t>
      </w:r>
    </w:p>
    <w:p w14:paraId="47BCCFFA" w14:textId="77777777" w:rsidR="00AA4C18" w:rsidRPr="00AA4C18" w:rsidRDefault="00AA4C18" w:rsidP="00AA4C18">
      <w:pPr>
        <w:spacing w:after="120" w:line="276" w:lineRule="auto"/>
        <w:jc w:val="both"/>
      </w:pPr>
      <w:r w:rsidRPr="00AA4C18">
        <w:t>Prípadné zmeny technického zabezpečenia poskytovania údajov z administratívnych zdrojov medzi správcom administratívneho zdroja a úradom budú výsledkom obojstrannej akceptácie iného aktuálne dostupného technického spôsobu poskytovania údajov, ktoré skvalitnia spôsob poskytovania údajov, navrhnutého zmluvnou stranou, alebo budú vyplývať zo zmenených požiadaviek právnych predpisov vzťahujúcich sa všeobecne na informačné systémy verejnej správy (najmä zákon č. .../2019 Z. z. o informačných technológiách vo verejnej správe a o zmene a doplnení niektorých zákonov, výnos MF SR č. 55/2014 o štandardoch pre informačné systémy verejnej správy v znení neskorších predpisov).</w:t>
      </w:r>
    </w:p>
    <w:p w14:paraId="318387B5" w14:textId="77777777" w:rsidR="00AA4C18" w:rsidRPr="00AA4C18" w:rsidRDefault="00AA4C18" w:rsidP="00AA4C18">
      <w:pPr>
        <w:spacing w:after="120" w:line="276" w:lineRule="auto"/>
        <w:jc w:val="both"/>
      </w:pPr>
      <w:r w:rsidRPr="00AA4C18">
        <w:t>Zmeny sa vykonajú na základe novej písomnej dohody o poskytovaní administratívnych údajov alebo dodatku už platnej dohody medzi Štatistickým úradom Slovenskej republiky a správcom administratívneho zdroja v súlade s opatrením (§ 23 ods. 2 zákona). Dohoda je postavená na výbere technického zabezpečenia podľa opatrenia vrátane zabezpečenia záložného spôsobu poskytovania údajov v prípade nefunkčnosti informačných systémov. Z hľadiska obsahu môže byť dohodou resp. jej dodatkom dohoda o integračnom zámere a SLA dohoda.</w:t>
      </w:r>
    </w:p>
    <w:p w14:paraId="1DF9F516"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24</w:t>
      </w:r>
    </w:p>
    <w:p w14:paraId="193C07AA"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Vymedzujú sa úlohy a kompetencie úradu vo vzťahu k sčítaniu. Úrad má riadiace a koordinačné kompetencie vo vzťahu k sčítaniu, ako aj presne vymedzenú zodpovednosť. Úrad zodpovedá za prípravu sčítania, za funkčnosť portálu pre sčítanie, za obsah a funkčnosť formulárov a za ich sprístupnenie, zabezpečuje činnosti potrebné na zisťovanie, spracovanie a šírenie údajov pre sčítanie, propagáciu sčítania a informačnú kampaň, metodicky riadi sčítanie, zodpovedá za zverejnenie a poskytovanie výsledkov sčítania, môže preverovať dodržiavanie povinností uloženými týmto zákonom u obcí a vykonáva ďalšie povinnosti podľa tohto zákona.</w:t>
      </w:r>
    </w:p>
    <w:p w14:paraId="676F61C6" w14:textId="77777777" w:rsidR="00807565" w:rsidRDefault="00807565">
      <w:pPr>
        <w:widowControl/>
        <w:adjustRightInd/>
        <w:spacing w:after="200" w:line="276" w:lineRule="auto"/>
        <w:rPr>
          <w:rStyle w:val="Zstupntext"/>
          <w:rFonts w:eastAsia="SimSun"/>
          <w:color w:val="auto"/>
          <w:kern w:val="3"/>
          <w:u w:val="single"/>
          <w:lang w:eastAsia="en-US"/>
        </w:rPr>
      </w:pPr>
      <w:r>
        <w:rPr>
          <w:rStyle w:val="Zstupntext"/>
          <w:color w:val="auto"/>
          <w:u w:val="single"/>
        </w:rPr>
        <w:br w:type="page"/>
      </w:r>
    </w:p>
    <w:p w14:paraId="7E393898" w14:textId="70E04978"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lastRenderedPageBreak/>
        <w:t>K § 25</w:t>
      </w:r>
    </w:p>
    <w:p w14:paraId="743D1168"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Ustanovujú sa povinnosti niektorých ústredných orgánov štátnej správy v súvislosti so sčítaním, ktoré budú participovať na sčítaní z hľadiska jasne vymedzených úloh, ktoré spadajú do ich vecnej pôsobnosti.</w:t>
      </w:r>
    </w:p>
    <w:p w14:paraId="65D1BC17"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Osobitne je potrebné uviesť, že podľa § 2 ods. 1 zákona č. 281/1997 Z. z. o vojenských obvodoch a zákon, ktorým sa mení zákon Národnej rady Slovenskej republiky č. 222/1996 Z. z. o organizácii miestnej štátnej správy a o zmene a doplnení niektorých zákonov v znení neskorších predpisov je vojenský obvod územný celok a správny celok slúžiaci na zabezpečenie úloh obrany a bezpečnosti štátu. Podľa § 8 ods. 1 písm. a) a b) zákona č. 281/1997 Z. z. na území vojenského obvodu ministerstvo obrany okrem úloh na zabezpečenie obrany štátu plní úlohy štátnej správy, ak tak ustanovuje osobitný zákon (napríklad zákon č. 253/1998 Z. z. o hlásení pobytu občanov Slovenskej republiky a registri obyvateľov Slovenskej republiky v znení neskorších predpisov), obce (§ 4 ods. 3 zákona SNR č. 369/1990 Zb. o obecnom zriadení v znení neskorších predpisov).</w:t>
      </w:r>
    </w:p>
    <w:p w14:paraId="3A299B31"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26</w:t>
      </w:r>
    </w:p>
    <w:p w14:paraId="693382A9"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Vymedzuje sa pôsobnosť okresných úradov vo vzťahu k sčítaniu. Ide o povinnosti súvisiace so zabezpečením plynulého zberu údajov, najmä podpora kontaktných bodov pri školeniach na účel sčítania, podpora obcí v súvislosti so sčítaním.</w:t>
      </w:r>
    </w:p>
    <w:p w14:paraId="782881C1"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 xml:space="preserve">K § 27 </w:t>
      </w:r>
    </w:p>
    <w:p w14:paraId="4506CCB0"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Obce zohrávajú pri realizácii sčítania kľúčovú úlohu. Úlohy obce ustanovené týmto zákonom pri príprave, priebehu a vykonaní sčítania sú preneseným výkonom štátnej správy. Úlohou obcí bude propagácia sčítania na obecnej úrovni a spoluvytváranie pozitívneho obrazu o sčítaní prostredníctvom informačnej a propagačnej kampane, ktorú bude realizovať v spolupráci s úradom. Obec je povinná vytvoriť nevyhnutné podmienky na sčítanie na svojom území, realizuje sčítanie domov a bytov, vykoná nábor a výber osôb, ktoré budú vykonávať funkciu mobilných asistentov, stacionárnych asistentov v kontaktnom mieste, stacionárnych asistentov zariadenia a kontaktných osôb a zabezpečí výkon ich činnosti. </w:t>
      </w:r>
    </w:p>
    <w:p w14:paraId="30E75447"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Obec taktiež vyzýva osobu zodpovednú za zariadenie, aby navrhla osobu, ktorú vymenuje za stacionárneho asistenta zariadenia, vyzýva spoločenstvá vlastníkov bytov a nebytových priestorov a správcov na zaslanie údajov potrebných na vykonanie sčítania domov a bytov, ak danými údajmi obec nedisponuje z vlastnej činnosti. Vedie aj evidenciu obyvateľov, ktorí požiadali o službu asistovaného sčítania. </w:t>
      </w:r>
    </w:p>
    <w:p w14:paraId="3599078D"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Obec bude zabezpečovať prevádzku kontaktného miesta zriadeného na jej obecnom úrade, monitorovať činnosť asistentov sčítania a poskytovať im potrebnú pomoc. Obec bude zodpovedať za úplnosť sčítania z hľadiska počtu obyvateľov obce a vytvárať všetky predpoklady na dosiahnutie úplného sčítania. </w:t>
      </w:r>
    </w:p>
    <w:p w14:paraId="4AC38B4E"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Obec rovnako zodpovedá za vytvorenie virtuálnych asistenčných obvodov a plní ďalšie úlohy, ktoré jej ukladá tento zákon. Takto vymedzené úlohy obce majú zabezpečiť maximálnu možnú mieru sčítania obyvateľov vrátane obyvateľov v dôchodkovom veku, digitálne vylúčených obyvateľov, obyvateľov z marginalizovaných komunít a pod. Obce sú tiež podstatným zdrojom </w:t>
      </w:r>
      <w:r w:rsidRPr="00AA4C18">
        <w:rPr>
          <w:rStyle w:val="Zstupntext"/>
          <w:color w:val="auto"/>
          <w:sz w:val="24"/>
          <w:szCs w:val="24"/>
        </w:rPr>
        <w:lastRenderedPageBreak/>
        <w:t>informácií o špecifických skupinách obyvateľstva, ktoré prípadne nie sú evidované v administratívnych zdrojov údajov, napr. osoby bez domova, osoby bez trvalého pobytu, obyvatelia bývajúci v iných obydliach (napr. v prívesoch, iných prístreškoch, osadách) a pod.</w:t>
      </w:r>
    </w:p>
    <w:p w14:paraId="4AC41C6E"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28</w:t>
      </w:r>
    </w:p>
    <w:p w14:paraId="608393C8" w14:textId="023673EB"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Predseda úradu zriadi Ústrednú komisiu pre sčítanie (ďalej len „ústredná komisia“) ako svoj dočasný poradný orgán najneskôr do 1. októbra 2019</w:t>
      </w:r>
      <w:r w:rsidR="00817A15">
        <w:rPr>
          <w:rStyle w:val="Zstupntext"/>
          <w:color w:val="auto"/>
          <w:sz w:val="24"/>
          <w:szCs w:val="24"/>
        </w:rPr>
        <w:t>,</w:t>
      </w:r>
      <w:r w:rsidRPr="00AA4C18">
        <w:rPr>
          <w:rStyle w:val="Zstupntext"/>
          <w:color w:val="auto"/>
          <w:sz w:val="24"/>
          <w:szCs w:val="24"/>
        </w:rPr>
        <w:t xml:space="preserve"> kedy začína doba sčítania domov a bytov. Podrobnosti o ústrednej komisii upraví jej štatút, ktorý vydá predseda úradu. Predseda úradu bude zároveň aj predsedom ústrednej komisie a bude riadiť jej činnosť. Zákon ustanovuje, kto má byť zastúpený v ústrednej komisii, ako aj jej hlavné kompetencie.</w:t>
      </w:r>
    </w:p>
    <w:p w14:paraId="32C9481B"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29 a 30</w:t>
      </w:r>
    </w:p>
    <w:p w14:paraId="6EE01596"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Zákon ustanovuje, akým konaním sa osoba dopustí správneho deliktu, za spáchanie ktorého ustanovuje príslušnú sankciu. Primárnym cieľom tejto legislatívy nie je sankcionovanie a právne zakotvenie sankcií má mať skôr preventívny ako represívny účinok, aby sa zabezpečila potrebná súčinnosť obyvateľov a iných povinných subjektov na účely sčítania. </w:t>
      </w:r>
    </w:p>
    <w:p w14:paraId="25A91D45"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Zákon zároveň umožňuje fyzickým osobám pri správnych deliktoch spočívajúcich v riadnom neposkytnutí údajov alebo u asistentov sčítania v porušení niektorej z ich zákonných povinností zbaviť sa zodpovednosti za spáchanie správneho deliktu, ak preukážu, že zo závažných zdravotných alebo iných dôvodov alebo v dôsledku iných okolností hodných osobitného zreteľa, ktoré nemohli ovplyvniť svojím konaním, od nich nebolo možné spravodlivo požadovať splnenie príslušnej povinnosti. Liberačný dôvod ustanovuje zákon aj vo vzťahu k právnickej osobe (spoločenstvo vlastníkov bytov a nebytových priestorov, správca, osoba zodpovedná za zariadenie), ktorá sa zbaví svojej zodpovednosti za správny delikt spočívajúci v neposkytnutí údajov (resp. v prípade osoby zodpovednej za zariadenie ide aj o iný správny delikt spočívajúci v porušení jej povinnosti vo vzťahu k sčítaniu obyvateľov), ak preukáže, že vynaložila všetko úsilie, ktoré bolo možné požadovať, aby zabránila porušeniu povinnosti. Ustanovenie týchto liberačných dôvodov má predísť neprimeranému sankcionovaniu v prípadoch, ak povinné osoby chcú spolupracovať na sčítaní, ale neumožnia im to objektívne dôvody.</w:t>
      </w:r>
    </w:p>
    <w:p w14:paraId="63D4AA9E"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Pokuty bude oprávnená ukladať obec a úrad. Úrad bude ukladať pokuty v prípade, že pôjde o správny delikt porušenia mlčanlivosti, ktorého sa dopustí zamestnanec úradu, osoba vykonávajúca činnosť pre úrad alebo člen ústrednej komisie, ďalej v prípade, ak sa správneho deliktu dopustí správca administratívneho zdroja alebo orgán verejnej moci. Ostatné správne delikty bude sankcionovať obec. Úrad bude odvolacím orgánom v konaniach o pokutách uložených obcou.</w:t>
      </w:r>
    </w:p>
    <w:p w14:paraId="70A26555"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Zákon ustanovuje sadzby pokút za jednotlivé správne delikty, ktoré odrážajú závažnosť správneho deliktu s prihliadnutím na jeho skutkovú podstatu a osobu, ktorá sa ho dopustila. Zákon tiež vymedzuje skutočnosti, na ktoré obec a úrad pri ukladaní pokuty prihliada, pričom zakotvuje aj možnosť upustenia od uloženia pokuty, ak k náprave bude postačovať samotné </w:t>
      </w:r>
      <w:proofErr w:type="spellStart"/>
      <w:r w:rsidRPr="00AA4C18">
        <w:rPr>
          <w:rStyle w:val="Zstupntext"/>
          <w:color w:val="auto"/>
          <w:sz w:val="24"/>
          <w:szCs w:val="24"/>
        </w:rPr>
        <w:t>prejednanie</w:t>
      </w:r>
      <w:proofErr w:type="spellEnd"/>
      <w:r w:rsidRPr="00AA4C18">
        <w:rPr>
          <w:rStyle w:val="Zstupntext"/>
          <w:color w:val="auto"/>
          <w:sz w:val="24"/>
          <w:szCs w:val="24"/>
        </w:rPr>
        <w:t xml:space="preserve"> správneho deliktu. Zákon ukladá možnosť uložiť pokutu aj opakovane. Ustanovuje sa subjektívna a objektívna lehota, v ktorej možno začať konanie o uložení pokuty.</w:t>
      </w:r>
    </w:p>
    <w:p w14:paraId="21166A56" w14:textId="77777777" w:rsidR="00AA4C18" w:rsidRPr="00AA4C18" w:rsidRDefault="00AA4C18" w:rsidP="00AA4C18">
      <w:pPr>
        <w:spacing w:line="276" w:lineRule="auto"/>
        <w:rPr>
          <w:rStyle w:val="Zstupntext"/>
          <w:rFonts w:eastAsia="SimSun"/>
          <w:color w:val="auto"/>
          <w:kern w:val="3"/>
          <w:u w:val="single"/>
        </w:rPr>
      </w:pPr>
      <w:r w:rsidRPr="00AA4C18">
        <w:rPr>
          <w:rStyle w:val="Zstupntext"/>
          <w:color w:val="auto"/>
          <w:u w:val="single"/>
        </w:rPr>
        <w:br w:type="page"/>
      </w:r>
    </w:p>
    <w:p w14:paraId="73FA33D7"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lastRenderedPageBreak/>
        <w:t xml:space="preserve">K § 31 </w:t>
      </w:r>
    </w:p>
    <w:p w14:paraId="60A3ADB3"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Dodržiavanie povinností podľa tohto zákona kontroluje úrad, na výkon tejto kontroly sa aplikuje druhá časť zákona Národnej rady Slovenskej republiky č. 10/1996 Z. z. o kontrole v štátnej správe v znení neskorších predpisov. </w:t>
      </w:r>
    </w:p>
    <w:p w14:paraId="024B89C4"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32 a § 33</w:t>
      </w:r>
    </w:p>
    <w:p w14:paraId="26F0E099"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Ustanovuje sa miesto uloženia údajov získaných v rámci sčítania a upravuje sa ochrana získaných osobných údajov.</w:t>
      </w:r>
    </w:p>
    <w:p w14:paraId="01E51080"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Súčasťou sčítania bude zisťovanie údajov, ktoré sú v značnej časti aj osobnými údajmi, t. j. údajmi, ktoré sú schopné priamo alebo nepriamo identifikovať konkrétnu fyzickú osobu. </w:t>
      </w:r>
    </w:p>
    <w:p w14:paraId="4BB6AA7C"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Bez týchto údajov nie je možné dosiahnuť cieľ samotného sčítania, ktorým je získanie dostatočných, spoľahlivých, podrobných a porovnateľných údajov o obyvateľoch, domoch a bytoch s cieľom umožniť plniť úlohy, ktoré vyplývajú </w:t>
      </w:r>
    </w:p>
    <w:p w14:paraId="39B7226E" w14:textId="77777777" w:rsidR="00AA4C18" w:rsidRPr="00AA4C18" w:rsidRDefault="00AA4C18" w:rsidP="00AA4C18">
      <w:pPr>
        <w:pStyle w:val="Standard"/>
        <w:numPr>
          <w:ilvl w:val="0"/>
          <w:numId w:val="19"/>
        </w:numPr>
        <w:spacing w:after="120" w:line="276" w:lineRule="auto"/>
        <w:jc w:val="both"/>
        <w:rPr>
          <w:rStyle w:val="Zstupntext"/>
          <w:color w:val="auto"/>
          <w:sz w:val="24"/>
          <w:szCs w:val="24"/>
        </w:rPr>
      </w:pPr>
      <w:r w:rsidRPr="00AA4C18">
        <w:rPr>
          <w:rStyle w:val="Zstupntext"/>
          <w:color w:val="auto"/>
          <w:sz w:val="24"/>
          <w:szCs w:val="24"/>
        </w:rPr>
        <w:t>orgánom štátnej správy a orgánom územnej samosprávy z osobitných predpisov na rôznych úsekoch správy vecí verejných a</w:t>
      </w:r>
    </w:p>
    <w:p w14:paraId="41B0961A" w14:textId="77777777" w:rsidR="00AA4C18" w:rsidRPr="00AA4C18" w:rsidRDefault="00AA4C18" w:rsidP="00AA4C18">
      <w:pPr>
        <w:pStyle w:val="Standard"/>
        <w:numPr>
          <w:ilvl w:val="0"/>
          <w:numId w:val="19"/>
        </w:numPr>
        <w:spacing w:after="120" w:line="276" w:lineRule="auto"/>
        <w:jc w:val="both"/>
        <w:rPr>
          <w:rStyle w:val="Zstupntext"/>
          <w:color w:val="auto"/>
          <w:sz w:val="24"/>
          <w:szCs w:val="24"/>
        </w:rPr>
      </w:pPr>
      <w:r w:rsidRPr="00AA4C18">
        <w:rPr>
          <w:rStyle w:val="Zstupntext"/>
          <w:color w:val="auto"/>
          <w:sz w:val="24"/>
          <w:szCs w:val="24"/>
        </w:rPr>
        <w:t>Slovenskej republike zo záväzkov vo vzťahu k Európskej únii (osobitne z nariadenia o sčítaní).</w:t>
      </w:r>
    </w:p>
    <w:p w14:paraId="2E7B2981"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Návrh zákona predstavuje vo vzťahu k právnej úprave ochrany osobných údajov implementáciu právnych základov špecifikovaných nariadením Európskeho parlamentu a Rady (EÚ) č. 2016/679 z 27. apríla 2016 o ochrane fyzických osôb pri spracúvaní osobných údajov a o voľnom pohybe takýchto údajov, ktorým sa zrušuje smernica 95/46/ES (všeobecné nariadenie o ochrane údajov) (ďalej len „nariadenie GDPR“) a zákonom o ochrane osobných údajov.</w:t>
      </w:r>
    </w:p>
    <w:p w14:paraId="45F40D55"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Vnútroštátny právny základ spracúvania osobných údajov v rámci sčítania tvorí požiadavka a potreba </w:t>
      </w:r>
    </w:p>
    <w:p w14:paraId="3EB05D0E" w14:textId="77777777" w:rsidR="00AA4C18" w:rsidRPr="00AA4C18" w:rsidRDefault="00AA4C18" w:rsidP="00AA4C18">
      <w:pPr>
        <w:pStyle w:val="Standard"/>
        <w:numPr>
          <w:ilvl w:val="0"/>
          <w:numId w:val="19"/>
        </w:numPr>
        <w:spacing w:after="120" w:line="276" w:lineRule="auto"/>
        <w:jc w:val="both"/>
        <w:rPr>
          <w:rStyle w:val="Zstupntext"/>
          <w:color w:val="auto"/>
          <w:sz w:val="24"/>
          <w:szCs w:val="24"/>
        </w:rPr>
      </w:pPr>
      <w:r w:rsidRPr="00AA4C18">
        <w:rPr>
          <w:rStyle w:val="Zstupntext"/>
          <w:color w:val="auto"/>
          <w:sz w:val="24"/>
          <w:szCs w:val="24"/>
        </w:rPr>
        <w:t>spracúvania údajov nevyhnutných podľa osobitného predpisu, ktorým bude zákon o sčítaní obyvateľov, domov a bytov v roku 2021 [§ 13 ods. 1 písm. c) zákona o ochrane osobných údajov, čl. 6 ods. 1 písm. c) nariadenia GDPR] a</w:t>
      </w:r>
    </w:p>
    <w:p w14:paraId="0EEEC080" w14:textId="77777777" w:rsidR="00AA4C18" w:rsidRPr="00AA4C18" w:rsidRDefault="00AA4C18" w:rsidP="00AA4C18">
      <w:pPr>
        <w:pStyle w:val="Standard"/>
        <w:numPr>
          <w:ilvl w:val="0"/>
          <w:numId w:val="19"/>
        </w:numPr>
        <w:spacing w:after="120" w:line="276" w:lineRule="auto"/>
        <w:jc w:val="both"/>
        <w:rPr>
          <w:rStyle w:val="Zstupntext"/>
          <w:color w:val="auto"/>
          <w:sz w:val="24"/>
          <w:szCs w:val="24"/>
        </w:rPr>
      </w:pPr>
      <w:r w:rsidRPr="00AA4C18">
        <w:rPr>
          <w:rStyle w:val="Zstupntext"/>
          <w:color w:val="auto"/>
          <w:sz w:val="24"/>
          <w:szCs w:val="24"/>
        </w:rPr>
        <w:t>spracúvania údajov nevyhnutných na splnenie úloh realizovaných vnútroštátnymi orgánmi verejnej moci a orgánmi EÚ vo verejnom záujme [čl. 6 ods. 1 písm. e) nariadenia GDPR, § 13 ods. 1 písm. e) zákona o ochrane osobných údajov].</w:t>
      </w:r>
    </w:p>
    <w:p w14:paraId="785B9CE1"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Právny základ spracúvania osobných údajov podľa čl. 6 ods. 1 písm. e) nariadenia GDPR, resp. podľa § 13 ods. 1 písm. c) a e) zákona o ochrane osobných údajov musí byť špecifikovaný v osobitnom predpise tak, aby ustanovil minimálne: </w:t>
      </w:r>
    </w:p>
    <w:p w14:paraId="6D9E4E49" w14:textId="77777777" w:rsidR="00AA4C18" w:rsidRPr="00AA4C18" w:rsidRDefault="00AA4C18" w:rsidP="00AA4C18">
      <w:pPr>
        <w:pStyle w:val="Standard"/>
        <w:numPr>
          <w:ilvl w:val="0"/>
          <w:numId w:val="20"/>
        </w:numPr>
        <w:spacing w:after="120" w:line="276" w:lineRule="auto"/>
        <w:jc w:val="both"/>
        <w:rPr>
          <w:rStyle w:val="Zstupntext"/>
          <w:color w:val="auto"/>
          <w:sz w:val="24"/>
          <w:szCs w:val="24"/>
        </w:rPr>
      </w:pPr>
      <w:r w:rsidRPr="00AA4C18">
        <w:rPr>
          <w:rStyle w:val="Zstupntext"/>
          <w:color w:val="auto"/>
          <w:sz w:val="24"/>
          <w:szCs w:val="24"/>
        </w:rPr>
        <w:t xml:space="preserve">účel spracúvania osobných údajov, </w:t>
      </w:r>
    </w:p>
    <w:p w14:paraId="6D2E2BBF" w14:textId="77777777" w:rsidR="00AA4C18" w:rsidRPr="00AA4C18" w:rsidRDefault="00AA4C18" w:rsidP="00AA4C18">
      <w:pPr>
        <w:pStyle w:val="Standard"/>
        <w:numPr>
          <w:ilvl w:val="0"/>
          <w:numId w:val="20"/>
        </w:numPr>
        <w:spacing w:after="120" w:line="276" w:lineRule="auto"/>
        <w:jc w:val="both"/>
        <w:rPr>
          <w:rStyle w:val="Zstupntext"/>
          <w:color w:val="auto"/>
          <w:sz w:val="24"/>
          <w:szCs w:val="24"/>
        </w:rPr>
      </w:pPr>
      <w:r w:rsidRPr="00AA4C18">
        <w:rPr>
          <w:rStyle w:val="Zstupntext"/>
          <w:color w:val="auto"/>
          <w:sz w:val="24"/>
          <w:szCs w:val="24"/>
        </w:rPr>
        <w:t xml:space="preserve">kategóriu dotknutých osôb a </w:t>
      </w:r>
    </w:p>
    <w:p w14:paraId="1F512783" w14:textId="77777777" w:rsidR="00AA4C18" w:rsidRPr="00AA4C18" w:rsidRDefault="00AA4C18" w:rsidP="00AA4C18">
      <w:pPr>
        <w:pStyle w:val="Standard"/>
        <w:numPr>
          <w:ilvl w:val="0"/>
          <w:numId w:val="20"/>
        </w:numPr>
        <w:spacing w:after="120" w:line="276" w:lineRule="auto"/>
        <w:jc w:val="both"/>
        <w:rPr>
          <w:rStyle w:val="Zstupntext"/>
          <w:color w:val="auto"/>
          <w:sz w:val="24"/>
          <w:szCs w:val="24"/>
        </w:rPr>
      </w:pPr>
      <w:r w:rsidRPr="00AA4C18">
        <w:rPr>
          <w:rStyle w:val="Zstupntext"/>
          <w:color w:val="auto"/>
          <w:sz w:val="24"/>
          <w:szCs w:val="24"/>
        </w:rPr>
        <w:t xml:space="preserve">zoznam spracúvaných osobných údajov alebo ich rozsah. </w:t>
      </w:r>
    </w:p>
    <w:p w14:paraId="0765A070"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Návrh zákona vymedzuje účel získavania údajov v § 1 návrhu zákona. Návrh zákona definuje aj osobitné účely poskytnutia a využitia údajov poskytnutých formou administratívnych </w:t>
      </w:r>
      <w:r w:rsidRPr="00AA4C18">
        <w:rPr>
          <w:rStyle w:val="Zstupntext"/>
          <w:color w:val="auto"/>
          <w:sz w:val="24"/>
          <w:szCs w:val="24"/>
        </w:rPr>
        <w:lastRenderedPageBreak/>
        <w:t xml:space="preserve">zdrojov údajov (§ 35 návrhu zákona) tak, aby bol právny základ pre povinné subjekty jednoznačný. </w:t>
      </w:r>
    </w:p>
    <w:p w14:paraId="60C8A5FA"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Návrh zákona špecifikuje dotknuté osoby, o ktorých sa budú predmetné údaje vrátane osobných údajov zisťovať.</w:t>
      </w:r>
    </w:p>
    <w:p w14:paraId="0C9457FE"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Návrh zákona špecifikuje rozsah osobných údajov, ktoré sa budú zisťovať v rámci sčítania. Úrad aplikoval už pri definovaní rozsahu zisťovaných údajov test minimalizácie a primeranosti údajov, t. j. posúdil a vyhodnotil rozsah údajov nevyhnutných na generovanie výpovednej štatistickej informácie, ktorá bude pre užívateľov výstupov sčítania zmysluplná.</w:t>
      </w:r>
    </w:p>
    <w:p w14:paraId="32005B87"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Návrh zákona vyžaduje získavanie predovšetkým údajov podľa prílohy priamo aplikovateľného nariadenia o sčítaní. Návrh zákona zároveň predstavuje právny základ aj pre spracúvanie osobitných kategórií osobných údajov o národnosti, materinskom jazyku a náboženstve podľa § 16 ods. 2 písm. k) zákona o ochrane osobných údajov na štatistický účel podľa osobitného predpisu (tým je práve návrh zákona), pričom sledovaným cieľom spracúvania týchto osobitných kategórií osobných údajov je napr. uplatňovanie práv príslušníkov národnostných menšín podľa zákona č. 184/1999 Z. z. o používaní jazykov národnostných menšín v znení neskorších predpisov.</w:t>
      </w:r>
    </w:p>
    <w:p w14:paraId="52C422FB"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Úrad má vo vzťahu k získaným osobným údajom práva a povinnosti prevádzkovateľa podľa nariadenia o GDPR, resp. podľa zákona o ochrane osobných údajov. Realizácia sčítania úradom predstavuje v súlade s nariadením GDPR [čl. 6 ods. 1 písm. e), čl. 9 ods. 2 písm. j)] a zákonom o ochrane osobných údajov osobitné účely spracúvania osobných údajov, a to výkon verejnej moci zverenej prevádzkovateľovi a spracúvanie osobných údajov na štatistické účely. Preto sa úradu umožňuje postupovať pri spracúvaní osobných údajov s určitými odchýlkami – napr. disponuje výnimkami voči uplatneniu práv dotknutej osoby na vymazanie, obmedzenie spracúvania, prenosnosť alebo na namietnutie spracúvania osobných údajov [čl. 23 nariadenia o GDPR a napr. § 20 ods. 5 písm. b), § 23 ods. 4 písm. b) a d), § 26 ods. 2, § 27 zákona o ochrane osobných údajov]. Podľa čl. 89 nariadenia GDPR a § 78 zákona o ochrane osobných údajov má úrad povinnosť poskytnúť dotknutej osobe primerané záruky ustanovené týmito právnymi predpismi, v tomto zmysle ide napr. o technické a organizačné opatrenia uvedené v § 17 ods. 2 písm. c), § 18 ods. 2 a 3 alebo § 22 ods. 3 návrhu zákona.</w:t>
      </w:r>
    </w:p>
    <w:p w14:paraId="497EE853" w14:textId="77777777" w:rsidR="00AA4C18" w:rsidRPr="00AA4C18" w:rsidRDefault="00AA4C18" w:rsidP="00AA4C18">
      <w:pPr>
        <w:pStyle w:val="Standard"/>
        <w:spacing w:after="120" w:line="276" w:lineRule="auto"/>
        <w:jc w:val="both"/>
        <w:rPr>
          <w:rFonts w:ascii="Times New Roman" w:hAnsi="Times New Roman" w:cs="Times New Roman"/>
          <w:sz w:val="24"/>
          <w:szCs w:val="24"/>
          <w:u w:val="single"/>
        </w:rPr>
      </w:pPr>
      <w:r w:rsidRPr="00AA4C18">
        <w:rPr>
          <w:rFonts w:ascii="Times New Roman" w:hAnsi="Times New Roman" w:cs="Times New Roman"/>
          <w:sz w:val="24"/>
          <w:szCs w:val="24"/>
          <w:u w:val="single"/>
        </w:rPr>
        <w:t>K § 34</w:t>
      </w:r>
    </w:p>
    <w:p w14:paraId="24A39CA2"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 xml:space="preserve">Zákon kladie osobitný dôraz na povinnosť mlčanlivosti. Asistenta sčítania zaväzuje k mlčanlivosti o všetkých údajoch a podmienkach ich uchovávania, o ktorých sa dozvedel pri plnení svojich úloh asistenta sčítania, pričom táto povinnosť nie je časovo obmedzená. Zákon definuje aké konanie asistenta sčítania sa považuje za porušenie povinnosti mlčanlivosti. </w:t>
      </w:r>
    </w:p>
    <w:p w14:paraId="33BCBC95"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Povinnosťou mlčanlivosti v súvislosti so sčítaním zákon nezaväzuje len asistentov sčítania ale aj akékoľvek iné osoby, ktoré sa pri príprave sčítania, jeho priebehu a vykonaní a pri spracovaní jeho výsledkov oboznámia s údajmi, ktoré za účelom sčítania obyvateľov poskytli povinné osoby. Inými osobami, ktoré sú viazané povinnosťou mlčanlivosti môžu byť napríklad zamestnanci úradu alebo akékoľvek tretie osoby, ktoré sa s údajmi oboznámili napr. náhodne alebo v dôsledku porušenia povinností asistenta sčítania.</w:t>
      </w:r>
    </w:p>
    <w:p w14:paraId="6A9B6FC7"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Fonts w:ascii="Times New Roman" w:hAnsi="Times New Roman" w:cs="Times New Roman"/>
          <w:sz w:val="24"/>
          <w:szCs w:val="24"/>
        </w:rPr>
        <w:lastRenderedPageBreak/>
        <w:t xml:space="preserve">Zákon musí vytvárať dostatočný právny základ na poskytnutie všetkých potrebných údajov v rozsahu prílohy zákona a v rozsahu požiadavky </w:t>
      </w:r>
      <w:r w:rsidRPr="00AA4C18">
        <w:rPr>
          <w:rStyle w:val="Zstupntext"/>
          <w:color w:val="auto"/>
          <w:sz w:val="24"/>
          <w:szCs w:val="24"/>
        </w:rPr>
        <w:t>nariadenia o sčítaní. Je nevyhnutné predísť prípadom využívania zákonnej povinnosti mlčanlivosti alebo určitého druhu zákonom ustanoveného tajomstva ako dôvodu na odmietnutie spolupráce s úradom v rámci sčítania. Poskytnutie údajov na účely sčítania za podmienok určených podľa tohto zákona nijakým spôsobom neznižuje úroveň ochrany osobných údajov.</w:t>
      </w:r>
    </w:p>
    <w:p w14:paraId="681C025A"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35 a § 36</w:t>
      </w:r>
    </w:p>
    <w:p w14:paraId="15932777"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Upravuje sa poskytovanie údajov získaných sčítaním. Podľa § 2 písm. f) zákona č. 540/2001 Z. z. o štátnej štatistike v znení neskorších predpisov (ďalej len „zákon o štátnej štatistike“) je dôverným štatistickým údajom štatistický údaj, ktorý umožňuje priamu alebo nepriamu identifikáciu spravodajskej jednotky. Ak údaje získané sčítaním nie sú dôvernými štatistickými údajmi, poskytne ich úrad každému, kto o to požiada za úhradu účelne vynaložených nákladov. Povinnosť úhrady nemajú orgány verejnej moci v SR. Ak sú však získané údaje dôverným štatistickým údajom, môže ich úrad poskytnúť len za podmienok zákona o štátnej štatistike.</w:t>
      </w:r>
    </w:p>
    <w:p w14:paraId="495DC1DE"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Ustanovenie upravuje lehoty na zverejnenie výsledkov sčítania a základných výsledkov sčítania určených úradom.</w:t>
      </w:r>
    </w:p>
    <w:p w14:paraId="2CE33FFC"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Úrad môže poskytnúť záujemcovi aj ďalšie výstupy zo sčítania, ktoré neobsahujú dôverné štatistické údaje, za dohodnutú cenu. Ide o iný výstup ako ten, ktorý má byť voľne dostupným na webovom sídle úradu. Tento výstup bude vytvorený výlučne pre inú osobu a na základe jej požiadavky podľa dohody s úradom. Úrad tak získa možnosť zhodnotiť analyticky spracované údaje získané sčítaním, pričom však takéto výstupy nesmú umožňovať akékoľvek zneužitie osobných údajov, resp. dôverných štatistických údajov. Výstupy pre orgány verejnej moci v SR na základe dohôd poskytne úrad bezodplatne.</w:t>
      </w:r>
    </w:p>
    <w:p w14:paraId="251A7453"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37</w:t>
      </w:r>
    </w:p>
    <w:p w14:paraId="02ED5C76"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Výdavky spojené so sčítaním sa budú uhrádzať zo štátneho rozpočtu, výdavky obcí spojené so sčítaním sa budú uhrádzať zo štátneho rozpočtu z rozpočtovej kapitoly úradu prostredníctvom rozpočtovej kapitoly Ministerstva vnútra SR. Upravuje sa nakladanie s majetkom obcí nadobudnutým z prostriedkov štátneho rozpočtu poskytnutých obci na sčítanie. V prípade, že je obec v nútenej správe, vzťahuje sa na nakladanie s peňažnými prostriedkami určenými na sčítanie v súlade s § 19 zákona č. 583/2004 Z. z. o rozpočtových pravidlách územnej samosprávy a o zmene a doplnení niektorých zákonov, t. j. peňažné prostriedky môže počas nútenej správy obec použiť len s predchádzajúcim písomným súhlasom núteného správcu.</w:t>
      </w:r>
    </w:p>
    <w:p w14:paraId="6700D935"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Upravuje sa spôsob nakladania s majetkom obcí nadobudnutých z prostriedkov štátneho rozpočtu určených na sčítanie.</w:t>
      </w:r>
    </w:p>
    <w:p w14:paraId="2699A4E4"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t>K § 38</w:t>
      </w:r>
    </w:p>
    <w:p w14:paraId="6F57991D"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 xml:space="preserve">Spoločné ustanovenia upravujú, že správny poriadok sa vzťahuje len na konanie o uložení pokuty podľa tohto zákona a úrad sa pre toto konania ustanovuje ako odvolací orgán. Na postup sčítania sa použije zákon o štátnej štatistike. </w:t>
      </w:r>
    </w:p>
    <w:p w14:paraId="0E99E905" w14:textId="77777777" w:rsidR="00AA4C18" w:rsidRPr="00AA4C18" w:rsidRDefault="00AA4C18" w:rsidP="00AA4C18">
      <w:pPr>
        <w:pStyle w:val="Standard"/>
        <w:spacing w:after="120" w:line="276" w:lineRule="auto"/>
        <w:jc w:val="both"/>
        <w:rPr>
          <w:rStyle w:val="Zstupntext"/>
          <w:color w:val="auto"/>
          <w:sz w:val="24"/>
          <w:szCs w:val="24"/>
          <w:u w:val="single"/>
        </w:rPr>
      </w:pPr>
      <w:r w:rsidRPr="00AA4C18">
        <w:rPr>
          <w:rStyle w:val="Zstupntext"/>
          <w:color w:val="auto"/>
          <w:sz w:val="24"/>
          <w:szCs w:val="24"/>
          <w:u w:val="single"/>
        </w:rPr>
        <w:lastRenderedPageBreak/>
        <w:t>K § 39</w:t>
      </w:r>
    </w:p>
    <w:p w14:paraId="418D257B" w14:textId="77777777" w:rsidR="00AA4C18" w:rsidRPr="00AA4C18" w:rsidRDefault="00AA4C18" w:rsidP="00AA4C18">
      <w:pPr>
        <w:pStyle w:val="Standard"/>
        <w:spacing w:after="120" w:line="276" w:lineRule="auto"/>
        <w:jc w:val="both"/>
        <w:rPr>
          <w:rStyle w:val="Zstupntext"/>
          <w:color w:val="auto"/>
          <w:sz w:val="24"/>
          <w:szCs w:val="24"/>
        </w:rPr>
      </w:pPr>
      <w:r w:rsidRPr="00AA4C18">
        <w:rPr>
          <w:rStyle w:val="Zstupntext"/>
          <w:color w:val="auto"/>
          <w:sz w:val="24"/>
          <w:szCs w:val="24"/>
        </w:rPr>
        <w:t>Od začatia plynutia doby sčítania domov a bytov (1. jún 2020) do skončenia doby plynutia sčítania obyvateľov (31. marec 2021) nemožno pomenovanie ulíc a meniť číslovanie stavieb z dôvodu územnej prípravy sčítania.</w:t>
      </w:r>
    </w:p>
    <w:p w14:paraId="5EE3B028" w14:textId="77777777" w:rsidR="00AA4C18" w:rsidRPr="00AA4C18" w:rsidRDefault="00AA4C18" w:rsidP="00D1055A">
      <w:pPr>
        <w:pStyle w:val="Standard"/>
        <w:spacing w:after="360" w:line="276" w:lineRule="auto"/>
        <w:jc w:val="both"/>
        <w:rPr>
          <w:rStyle w:val="Zstupntext"/>
          <w:color w:val="auto"/>
          <w:sz w:val="24"/>
          <w:szCs w:val="24"/>
          <w:u w:val="single"/>
        </w:rPr>
      </w:pPr>
      <w:r w:rsidRPr="00AA4C18">
        <w:rPr>
          <w:rStyle w:val="Zstupntext"/>
          <w:color w:val="auto"/>
          <w:sz w:val="24"/>
          <w:szCs w:val="24"/>
        </w:rPr>
        <w:t>Upravujú sa podmienky platnosti dohody o poskytovaní údajov na účely sčítania v roku 2021 uzavreté medzi úradom a príslušným správcom administratívneho zdroja pred dátumom nadobudnutia účinnosti zákona.</w:t>
      </w:r>
    </w:p>
    <w:p w14:paraId="459DD8C2" w14:textId="77777777" w:rsidR="00D1055A" w:rsidRDefault="00D1055A">
      <w:pPr>
        <w:widowControl/>
        <w:adjustRightInd/>
        <w:spacing w:after="200" w:line="276" w:lineRule="auto"/>
        <w:rPr>
          <w:rStyle w:val="Zstupntext"/>
          <w:rFonts w:eastAsia="SimSun"/>
          <w:b/>
          <w:color w:val="auto"/>
          <w:kern w:val="3"/>
          <w:lang w:eastAsia="en-US"/>
        </w:rPr>
      </w:pPr>
      <w:r>
        <w:rPr>
          <w:rStyle w:val="Zstupntext"/>
          <w:b/>
          <w:color w:val="auto"/>
        </w:rPr>
        <w:br w:type="page"/>
      </w:r>
    </w:p>
    <w:p w14:paraId="5FE9CB84" w14:textId="64630403" w:rsidR="00AA4C18" w:rsidRPr="00AA4C18" w:rsidRDefault="00AA4C18" w:rsidP="00AA4C18">
      <w:pPr>
        <w:pStyle w:val="Standard"/>
        <w:spacing w:after="120" w:line="276" w:lineRule="auto"/>
        <w:jc w:val="both"/>
        <w:rPr>
          <w:rStyle w:val="Zstupntext"/>
          <w:b/>
          <w:color w:val="auto"/>
          <w:kern w:val="0"/>
          <w:sz w:val="24"/>
          <w:szCs w:val="24"/>
        </w:rPr>
      </w:pPr>
      <w:r w:rsidRPr="00AA4C18">
        <w:rPr>
          <w:rStyle w:val="Zstupntext"/>
          <w:b/>
          <w:color w:val="auto"/>
          <w:sz w:val="24"/>
          <w:szCs w:val="24"/>
        </w:rPr>
        <w:lastRenderedPageBreak/>
        <w:t>K čl. II</w:t>
      </w:r>
    </w:p>
    <w:p w14:paraId="273170C1" w14:textId="77777777" w:rsidR="00AA4C18" w:rsidRPr="00AA4C18" w:rsidRDefault="00AA4C18" w:rsidP="0012536B">
      <w:pPr>
        <w:pStyle w:val="Standard"/>
        <w:spacing w:after="240" w:line="276" w:lineRule="auto"/>
        <w:jc w:val="both"/>
        <w:rPr>
          <w:rStyle w:val="Zstupntext"/>
          <w:color w:val="auto"/>
          <w:sz w:val="24"/>
          <w:szCs w:val="24"/>
        </w:rPr>
      </w:pPr>
      <w:r w:rsidRPr="00AA4C18">
        <w:rPr>
          <w:rStyle w:val="Zstupntext"/>
          <w:color w:val="auto"/>
          <w:sz w:val="24"/>
          <w:szCs w:val="24"/>
        </w:rPr>
        <w:t>Úprava je potrebná z dôvodu zahrnutia odmeny asistenta sčítania podľa § 16 ods. 5 medzi príjmy fyzickej osoby zo závislej činnosti. Zároveň sa odstráni z tohto zákona obsolentný pojem „komisár sčítania“.</w:t>
      </w:r>
    </w:p>
    <w:p w14:paraId="2EBF61DF" w14:textId="77777777" w:rsidR="00AA4C18" w:rsidRPr="00AA4C18" w:rsidRDefault="00AA4C18" w:rsidP="00AA4C18">
      <w:pPr>
        <w:pStyle w:val="Standard"/>
        <w:spacing w:after="120" w:line="276" w:lineRule="auto"/>
        <w:jc w:val="both"/>
        <w:rPr>
          <w:rStyle w:val="Zstupntext"/>
          <w:b/>
          <w:color w:val="auto"/>
          <w:sz w:val="24"/>
          <w:szCs w:val="24"/>
        </w:rPr>
      </w:pPr>
      <w:r w:rsidRPr="00AA4C18">
        <w:rPr>
          <w:rStyle w:val="Zstupntext"/>
          <w:b/>
          <w:color w:val="auto"/>
          <w:sz w:val="24"/>
          <w:szCs w:val="24"/>
        </w:rPr>
        <w:t>K čl. III</w:t>
      </w:r>
    </w:p>
    <w:p w14:paraId="7F1A85F8" w14:textId="77777777" w:rsidR="00AA4C18" w:rsidRPr="00AA4C18" w:rsidRDefault="00AA4C18" w:rsidP="0012536B">
      <w:pPr>
        <w:pStyle w:val="Standard"/>
        <w:spacing w:after="240" w:line="276" w:lineRule="auto"/>
        <w:jc w:val="both"/>
        <w:rPr>
          <w:rFonts w:ascii="Times New Roman" w:eastAsia="Calibri" w:hAnsi="Times New Roman" w:cs="Times New Roman"/>
          <w:sz w:val="24"/>
          <w:szCs w:val="24"/>
        </w:rPr>
      </w:pPr>
      <w:r w:rsidRPr="00AA4C18">
        <w:rPr>
          <w:rFonts w:ascii="Times New Roman" w:eastAsia="Calibri" w:hAnsi="Times New Roman" w:cs="Times New Roman"/>
          <w:sz w:val="24"/>
          <w:szCs w:val="24"/>
        </w:rPr>
        <w:t xml:space="preserve">Ustanovuje sa výnimka pre výkon zárobkovej činnosti asistenta sčítania, ktorý bude vykonávať sčítanie obyvateľov, ak ide o evidovaného nezamestnaného uchádzača o zamestnanie. Cieľom je krátkodobé využitie pracovného potenciálu a možnosť vyššej časovej flexibility nezamestnaných pri realizácii sčítania. Z rovnakého dôvodu sa navrhuje doplniť výnimku pre členov a zapisovateľov volebných komisií. </w:t>
      </w:r>
    </w:p>
    <w:p w14:paraId="379272C1" w14:textId="77777777" w:rsidR="00AA4C18" w:rsidRPr="00AA4C18" w:rsidRDefault="00AA4C18" w:rsidP="00AA4C18">
      <w:pPr>
        <w:pStyle w:val="Standard"/>
        <w:spacing w:after="120" w:line="276" w:lineRule="auto"/>
        <w:jc w:val="both"/>
        <w:rPr>
          <w:rStyle w:val="Zstupntext"/>
          <w:b/>
          <w:color w:val="auto"/>
          <w:sz w:val="24"/>
          <w:szCs w:val="24"/>
        </w:rPr>
      </w:pPr>
      <w:r w:rsidRPr="00AA4C18">
        <w:rPr>
          <w:rStyle w:val="Zstupntext"/>
          <w:b/>
          <w:color w:val="auto"/>
          <w:sz w:val="24"/>
          <w:szCs w:val="24"/>
        </w:rPr>
        <w:t>K čl. IV</w:t>
      </w:r>
    </w:p>
    <w:p w14:paraId="0849331A" w14:textId="4E491A03" w:rsidR="00AA4C18" w:rsidRPr="00AA4C18" w:rsidRDefault="00AA4C18" w:rsidP="0012536B">
      <w:pPr>
        <w:pStyle w:val="Standard"/>
        <w:spacing w:after="240" w:line="276" w:lineRule="auto"/>
        <w:jc w:val="both"/>
        <w:rPr>
          <w:rFonts w:ascii="Times New Roman" w:eastAsia="Calibri" w:hAnsi="Times New Roman" w:cs="Times New Roman"/>
          <w:sz w:val="24"/>
          <w:szCs w:val="24"/>
        </w:rPr>
      </w:pPr>
      <w:r w:rsidRPr="00AA4C18">
        <w:rPr>
          <w:rFonts w:ascii="Times New Roman" w:eastAsia="Calibri" w:hAnsi="Times New Roman" w:cs="Times New Roman"/>
          <w:sz w:val="24"/>
          <w:szCs w:val="24"/>
        </w:rPr>
        <w:t>Pri posudzovaní nároku na peňažné príspevky na kompenzáciu sociálnych dôsledkov ťažkého zdravotného postihnutia je hranica príjmu dôležitá na priznanie príspevkov. Pretože pri odmeňovaní asistenta sčítania ide o jednorazový príjem, navrhuje sa nepovažovať túto odmenu za príjem na účely poskytovania peňažných príspevkov na kompenzáciu. Obdobným spôsobom už je v zákone č. 447/2008 Z. z. o peňažných príspevkoch na kompenzáciu ťažkého zdravotného postihnutia</w:t>
      </w:r>
      <w:r w:rsidR="00EA2E97">
        <w:rPr>
          <w:rFonts w:ascii="Times New Roman" w:eastAsia="Calibri" w:hAnsi="Times New Roman" w:cs="Times New Roman"/>
          <w:sz w:val="24"/>
          <w:szCs w:val="24"/>
        </w:rPr>
        <w:t xml:space="preserve"> a o zmene a doplnení niektorých zákonov</w:t>
      </w:r>
      <w:r w:rsidRPr="00AA4C18">
        <w:rPr>
          <w:rFonts w:ascii="Times New Roman" w:eastAsia="Calibri" w:hAnsi="Times New Roman" w:cs="Times New Roman"/>
          <w:sz w:val="24"/>
          <w:szCs w:val="24"/>
        </w:rPr>
        <w:t xml:space="preserve"> riešená napr. aj odmena za poskytnutie údajov pre štatistiku rodinných účtov, ktorá sa taktiež nepovažuje za príjem na účely tohto zákona.</w:t>
      </w:r>
    </w:p>
    <w:p w14:paraId="7B3A2FE1" w14:textId="77777777" w:rsidR="00AA4C18" w:rsidRPr="00AA4C18" w:rsidRDefault="00AA4C18" w:rsidP="00AA4C18">
      <w:pPr>
        <w:pStyle w:val="MZVnormal"/>
        <w:tabs>
          <w:tab w:val="left" w:pos="1134"/>
        </w:tabs>
        <w:spacing w:after="120" w:line="276" w:lineRule="auto"/>
        <w:jc w:val="both"/>
        <w:rPr>
          <w:rStyle w:val="Zstupntext"/>
          <w:b/>
          <w:color w:val="auto"/>
          <w:sz w:val="24"/>
        </w:rPr>
      </w:pPr>
      <w:r w:rsidRPr="00AA4C18">
        <w:rPr>
          <w:rStyle w:val="Zstupntext"/>
          <w:b/>
          <w:color w:val="auto"/>
          <w:sz w:val="24"/>
        </w:rPr>
        <w:t>K čl. V</w:t>
      </w:r>
    </w:p>
    <w:p w14:paraId="024BB6DD" w14:textId="77777777" w:rsidR="00AA4C18" w:rsidRPr="00AA4C18" w:rsidRDefault="00AA4C18" w:rsidP="0012536B">
      <w:pPr>
        <w:pStyle w:val="Standard"/>
        <w:spacing w:after="240" w:line="276" w:lineRule="auto"/>
        <w:jc w:val="both"/>
        <w:rPr>
          <w:rStyle w:val="Zstupntext"/>
          <w:b/>
          <w:color w:val="auto"/>
          <w:sz w:val="24"/>
          <w:szCs w:val="24"/>
        </w:rPr>
      </w:pPr>
      <w:r w:rsidRPr="00AA4C18">
        <w:rPr>
          <w:rFonts w:ascii="Times New Roman" w:eastAsia="Calibri" w:hAnsi="Times New Roman"/>
          <w:sz w:val="24"/>
        </w:rPr>
        <w:t xml:space="preserve">Z dôvodu, aby sa odmena asistenta sčítania nepovažovala za príjem, o ktorý sa znižuje pomoc v hmotnej núdzi, do príslušného ustanovenia zákona č. 417/2013 Z. z. o pomoci v hmotnej núdzi a o zmene a doplnení niektorých zákonov v znení neskorších predpisov sa dopĺňa nová výnimka z okruhu započítaných príjmov. </w:t>
      </w:r>
      <w:r w:rsidRPr="00AA4C18">
        <w:rPr>
          <w:rFonts w:ascii="Times New Roman" w:hAnsi="Times New Roman"/>
          <w:sz w:val="24"/>
        </w:rPr>
        <w:t>Ide o zvýšenie možnosti stať sa asistentom sčítania aj v prípade príjemcov pomoci v hmotnej núdzi, resp. členov jeho domácnosti obdobne ako u členov a zapisova</w:t>
      </w:r>
      <w:bookmarkStart w:id="1" w:name="_GoBack"/>
      <w:bookmarkEnd w:id="1"/>
      <w:r w:rsidRPr="00AA4C18">
        <w:rPr>
          <w:rFonts w:ascii="Times New Roman" w:hAnsi="Times New Roman"/>
          <w:sz w:val="24"/>
        </w:rPr>
        <w:t>teľov volebných komisií.</w:t>
      </w:r>
    </w:p>
    <w:p w14:paraId="2DB2F3F5" w14:textId="77777777" w:rsidR="00AA4C18" w:rsidRPr="00AA4C18" w:rsidRDefault="00AA4C18" w:rsidP="00AA4C18">
      <w:pPr>
        <w:pStyle w:val="Standard"/>
        <w:spacing w:after="120" w:line="276" w:lineRule="auto"/>
        <w:jc w:val="both"/>
        <w:rPr>
          <w:rStyle w:val="Zstupntext"/>
          <w:b/>
          <w:color w:val="auto"/>
          <w:sz w:val="24"/>
          <w:szCs w:val="24"/>
        </w:rPr>
      </w:pPr>
      <w:r w:rsidRPr="00AA4C18">
        <w:rPr>
          <w:rStyle w:val="Zstupntext"/>
          <w:b/>
          <w:color w:val="auto"/>
          <w:sz w:val="24"/>
          <w:szCs w:val="24"/>
        </w:rPr>
        <w:t>K čl. VI</w:t>
      </w:r>
    </w:p>
    <w:p w14:paraId="4545D646" w14:textId="77777777" w:rsidR="00AA4C18" w:rsidRPr="00AA4C18" w:rsidRDefault="00AA4C18" w:rsidP="00D1055A">
      <w:pPr>
        <w:pStyle w:val="Standard"/>
        <w:spacing w:after="360" w:line="276" w:lineRule="auto"/>
        <w:jc w:val="both"/>
        <w:rPr>
          <w:rStyle w:val="Zstupntext"/>
          <w:color w:val="auto"/>
          <w:sz w:val="24"/>
          <w:szCs w:val="24"/>
          <w:u w:val="single"/>
        </w:rPr>
      </w:pPr>
      <w:r w:rsidRPr="00AA4C18">
        <w:rPr>
          <w:rStyle w:val="Zstupntext"/>
          <w:color w:val="auto"/>
          <w:sz w:val="24"/>
          <w:szCs w:val="24"/>
        </w:rPr>
        <w:t>Ustanovuje sa dátum nadobudnutia účinnosti zákona vzhľadom na dĺžku legislatívneho procesu a bezporuchové zabezpečenie procesu sčítania.</w:t>
      </w:r>
    </w:p>
    <w:p w14:paraId="233A04DD" w14:textId="5DB5530B" w:rsidR="00AA4C18" w:rsidRPr="00AA4C18" w:rsidRDefault="00AA4C18" w:rsidP="00AA4C18">
      <w:pPr>
        <w:pStyle w:val="Standard"/>
        <w:spacing w:after="120" w:line="276" w:lineRule="auto"/>
        <w:jc w:val="both"/>
        <w:rPr>
          <w:rStyle w:val="Zstupntext"/>
          <w:b/>
          <w:color w:val="auto"/>
          <w:sz w:val="24"/>
          <w:szCs w:val="24"/>
        </w:rPr>
      </w:pPr>
      <w:r w:rsidRPr="00AA4C18">
        <w:rPr>
          <w:rStyle w:val="Zstupntext"/>
          <w:b/>
          <w:color w:val="auto"/>
          <w:sz w:val="24"/>
          <w:szCs w:val="24"/>
        </w:rPr>
        <w:t>K prílohe</w:t>
      </w:r>
    </w:p>
    <w:p w14:paraId="03D94611" w14:textId="77777777" w:rsidR="00AA4C18" w:rsidRPr="00AA4C18" w:rsidRDefault="00AA4C18" w:rsidP="00D1055A">
      <w:pPr>
        <w:pStyle w:val="Standard"/>
        <w:spacing w:after="360" w:line="276" w:lineRule="auto"/>
        <w:jc w:val="both"/>
        <w:rPr>
          <w:rFonts w:ascii="Times New Roman" w:hAnsi="Times New Roman" w:cs="Times New Roman"/>
          <w:sz w:val="24"/>
          <w:szCs w:val="24"/>
        </w:rPr>
      </w:pPr>
      <w:r w:rsidRPr="00AA4C18">
        <w:rPr>
          <w:rStyle w:val="Zstupntext"/>
          <w:color w:val="auto"/>
          <w:sz w:val="24"/>
          <w:szCs w:val="24"/>
        </w:rPr>
        <w:t>Príloha vymenúva témy a osobitné charakteristiky zisťované sčítaním v roku 2021, pričom ich rozdeľuje do troch okruhov (témy týkajúce sa obyvateľov, témy týkajúce sa bývania a </w:t>
      </w:r>
      <w:proofErr w:type="spellStart"/>
      <w:r w:rsidRPr="00AA4C18">
        <w:rPr>
          <w:rStyle w:val="Zstupntext"/>
          <w:color w:val="auto"/>
          <w:sz w:val="24"/>
          <w:szCs w:val="24"/>
        </w:rPr>
        <w:t>geopriestorové</w:t>
      </w:r>
      <w:proofErr w:type="spellEnd"/>
      <w:r w:rsidRPr="00AA4C18">
        <w:rPr>
          <w:rStyle w:val="Zstupntext"/>
          <w:color w:val="auto"/>
          <w:sz w:val="24"/>
          <w:szCs w:val="24"/>
        </w:rPr>
        <w:t xml:space="preserve"> a integračné charakteristiky). Témy sčítania vychádzajú zo skutočnosti, že sčítanie v</w:t>
      </w:r>
      <w:r w:rsidRPr="00AA4C18">
        <w:rPr>
          <w:rFonts w:ascii="Times New Roman" w:hAnsi="Times New Roman" w:cs="Times New Roman"/>
          <w:sz w:val="24"/>
          <w:szCs w:val="24"/>
        </w:rPr>
        <w:t> roku 2021 bude opätovne súčasťou celosvetového programu populačných, domových a bytových cenzov pod záštitou EÚ a OSN. Všetky členské štáty EÚ majú povinnosť zaradiť do sčítania rovnaké, resp. porovnateľné definície zisťovaných údajov, aby ich bolo možné používať a porovnávať aj na európskej a medzinárodnej úrovni.</w:t>
      </w:r>
    </w:p>
    <w:p w14:paraId="41619AFF" w14:textId="77777777" w:rsidR="00AA4C18" w:rsidRPr="00AA4C18" w:rsidRDefault="00AA4C18" w:rsidP="00AA4C18">
      <w:pPr>
        <w:pStyle w:val="Standard"/>
        <w:spacing w:after="120" w:line="276" w:lineRule="auto"/>
        <w:jc w:val="both"/>
        <w:rPr>
          <w:rFonts w:ascii="Times New Roman" w:hAnsi="Times New Roman" w:cs="Times New Roman"/>
          <w:b/>
          <w:sz w:val="24"/>
          <w:szCs w:val="24"/>
        </w:rPr>
      </w:pPr>
      <w:r w:rsidRPr="00AA4C18">
        <w:rPr>
          <w:rFonts w:ascii="Times New Roman" w:hAnsi="Times New Roman" w:cs="Times New Roman"/>
          <w:b/>
          <w:sz w:val="24"/>
          <w:szCs w:val="24"/>
        </w:rPr>
        <w:lastRenderedPageBreak/>
        <w:t>K vykonávacím predpisom zákona:</w:t>
      </w:r>
    </w:p>
    <w:p w14:paraId="5883F18A" w14:textId="77777777" w:rsidR="00AA4C18" w:rsidRPr="00AA4C18" w:rsidRDefault="00AA4C18" w:rsidP="00AA4C18">
      <w:pPr>
        <w:pStyle w:val="Standard"/>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Navrhuje sa, aby úrad vydal formou opatrení:</w:t>
      </w:r>
    </w:p>
    <w:p w14:paraId="58D63138" w14:textId="77777777" w:rsidR="00AA4C18" w:rsidRPr="00AA4C18" w:rsidRDefault="00AA4C18" w:rsidP="00AA4C18">
      <w:pPr>
        <w:pStyle w:val="Standard"/>
        <w:numPr>
          <w:ilvl w:val="0"/>
          <w:numId w:val="21"/>
        </w:numPr>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podrobnosti o charakteristikách a štruktúre zisťovaných údajov o témach podľa zoznamu, ktorý je prílohou návrhu zákona, podrobnosti o spôsobe a forme zisťovania údajov a vzory formulárov pre sčítanie obyvateľov a formulárov pre sčítanie domov a bytov ustanoví [§ 2 ods. 3 návrhu zákona];</w:t>
      </w:r>
    </w:p>
    <w:p w14:paraId="2C2B1560" w14:textId="77777777" w:rsidR="00AA4C18" w:rsidRPr="00AA4C18" w:rsidRDefault="00AA4C18" w:rsidP="00AA4C18">
      <w:pPr>
        <w:pStyle w:val="Standard"/>
        <w:numPr>
          <w:ilvl w:val="0"/>
          <w:numId w:val="21"/>
        </w:numPr>
        <w:spacing w:after="120" w:line="276" w:lineRule="auto"/>
        <w:jc w:val="both"/>
        <w:rPr>
          <w:rFonts w:ascii="Times New Roman" w:eastAsia="Times New Roman" w:hAnsi="Times New Roman" w:cs="Times New Roman"/>
          <w:sz w:val="24"/>
          <w:szCs w:val="24"/>
          <w:lang w:eastAsia="sk-SK"/>
        </w:rPr>
      </w:pPr>
      <w:r w:rsidRPr="00AA4C18">
        <w:rPr>
          <w:rFonts w:ascii="Times New Roman" w:hAnsi="Times New Roman" w:cs="Times New Roman"/>
          <w:sz w:val="24"/>
          <w:szCs w:val="24"/>
        </w:rPr>
        <w:t>vzor preukazu asistenta sčítania, údaje a náležitosti, ktoré preukaz asistenta sčítania obsahuje</w:t>
      </w:r>
      <w:r w:rsidRPr="00AA4C18">
        <w:rPr>
          <w:rFonts w:ascii="Times New Roman" w:eastAsia="Times New Roman" w:hAnsi="Times New Roman" w:cs="Times New Roman"/>
          <w:sz w:val="24"/>
          <w:szCs w:val="24"/>
          <w:lang w:eastAsia="sk-SK"/>
        </w:rPr>
        <w:t xml:space="preserve"> (§ 15 ods. 3 návrhu zákona),</w:t>
      </w:r>
    </w:p>
    <w:p w14:paraId="0BDFCA29" w14:textId="77777777" w:rsidR="00AA4C18" w:rsidRPr="00AA4C18" w:rsidRDefault="00AA4C18" w:rsidP="00AA4C18">
      <w:pPr>
        <w:pStyle w:val="Standard"/>
        <w:numPr>
          <w:ilvl w:val="0"/>
          <w:numId w:val="21"/>
        </w:numPr>
        <w:spacing w:after="120" w:line="276" w:lineRule="auto"/>
        <w:jc w:val="both"/>
        <w:rPr>
          <w:rFonts w:ascii="Times New Roman" w:hAnsi="Times New Roman" w:cs="Times New Roman"/>
          <w:sz w:val="24"/>
          <w:szCs w:val="24"/>
        </w:rPr>
      </w:pPr>
      <w:r w:rsidRPr="00AA4C18">
        <w:rPr>
          <w:rFonts w:ascii="Times New Roman" w:hAnsi="Times New Roman" w:cs="Times New Roman"/>
          <w:sz w:val="24"/>
          <w:szCs w:val="24"/>
        </w:rPr>
        <w:t>určení odmeny fyzickej osobe, ktorá nevykonáva činnosť asistenta sčítania v pracovnom pomere (§ 16 ods. 5 návrhu zákona);</w:t>
      </w:r>
    </w:p>
    <w:p w14:paraId="235B48E9" w14:textId="77777777" w:rsidR="00AA4C18" w:rsidRPr="00AA4C18" w:rsidRDefault="00AA4C18" w:rsidP="00AA4C18">
      <w:pPr>
        <w:pStyle w:val="Standard"/>
        <w:numPr>
          <w:ilvl w:val="0"/>
          <w:numId w:val="21"/>
        </w:numPr>
        <w:spacing w:after="120" w:line="276" w:lineRule="auto"/>
        <w:jc w:val="both"/>
        <w:rPr>
          <w:rFonts w:ascii="Times New Roman" w:eastAsia="Times New Roman" w:hAnsi="Times New Roman" w:cs="Times New Roman"/>
          <w:sz w:val="24"/>
          <w:szCs w:val="24"/>
          <w:lang w:eastAsia="sk-SK"/>
        </w:rPr>
      </w:pPr>
      <w:r w:rsidRPr="00AA4C18">
        <w:rPr>
          <w:rFonts w:ascii="Times New Roman" w:eastAsia="Times New Roman" w:hAnsi="Times New Roman" w:cs="Times New Roman"/>
          <w:sz w:val="24"/>
          <w:szCs w:val="24"/>
          <w:lang w:eastAsia="sk-SK"/>
        </w:rPr>
        <w:t>podrobnosti o systéme identifikácie elektronickej identity obyvateľa a systém overenia elektronickej identity obyvateľa prostredníctvom jeho autentifikácie [§ 17 ods. 3 písm. c) návrhu zákona],</w:t>
      </w:r>
    </w:p>
    <w:p w14:paraId="0008C719" w14:textId="77777777" w:rsidR="00AA4C18" w:rsidRPr="00AA4C18" w:rsidRDefault="00AA4C18" w:rsidP="00AA4C18">
      <w:pPr>
        <w:pStyle w:val="Standard"/>
        <w:numPr>
          <w:ilvl w:val="0"/>
          <w:numId w:val="21"/>
        </w:numPr>
        <w:spacing w:after="120" w:line="276" w:lineRule="auto"/>
        <w:jc w:val="both"/>
        <w:rPr>
          <w:rFonts w:ascii="Times New Roman" w:eastAsia="Times New Roman" w:hAnsi="Times New Roman" w:cs="Times New Roman"/>
          <w:sz w:val="24"/>
          <w:szCs w:val="24"/>
          <w:lang w:eastAsia="sk-SK"/>
        </w:rPr>
      </w:pPr>
      <w:r w:rsidRPr="00AA4C18">
        <w:rPr>
          <w:rFonts w:ascii="Times New Roman" w:eastAsia="Times New Roman" w:hAnsi="Times New Roman" w:cs="Times New Roman"/>
          <w:sz w:val="24"/>
          <w:szCs w:val="24"/>
          <w:lang w:eastAsia="sk-SK"/>
        </w:rPr>
        <w:t>podmienky prevádzky kontaktného miesta (§ 18 ods. 3 návrhu zákona),</w:t>
      </w:r>
    </w:p>
    <w:p w14:paraId="6BCAC340" w14:textId="77777777" w:rsidR="00AA4C18" w:rsidRPr="00AA4C18" w:rsidRDefault="00AA4C18" w:rsidP="00AA4C18">
      <w:pPr>
        <w:pStyle w:val="Standard"/>
        <w:numPr>
          <w:ilvl w:val="0"/>
          <w:numId w:val="21"/>
        </w:numPr>
        <w:spacing w:after="120" w:line="276" w:lineRule="auto"/>
        <w:jc w:val="both"/>
        <w:rPr>
          <w:rFonts w:ascii="Times New Roman" w:eastAsia="Times New Roman" w:hAnsi="Times New Roman" w:cs="Times New Roman"/>
          <w:sz w:val="24"/>
          <w:szCs w:val="24"/>
          <w:lang w:eastAsia="sk-SK"/>
        </w:rPr>
      </w:pPr>
      <w:r w:rsidRPr="00AA4C18">
        <w:rPr>
          <w:rFonts w:ascii="Times New Roman" w:hAnsi="Times New Roman" w:cs="Times New Roman"/>
          <w:sz w:val="24"/>
          <w:szCs w:val="24"/>
        </w:rPr>
        <w:t>p</w:t>
      </w:r>
      <w:r w:rsidRPr="00AA4C18">
        <w:rPr>
          <w:rFonts w:ascii="Times New Roman" w:eastAsia="Times New Roman" w:hAnsi="Times New Roman" w:cs="Times New Roman"/>
          <w:sz w:val="24"/>
          <w:szCs w:val="24"/>
          <w:lang w:eastAsia="sk-SK"/>
        </w:rPr>
        <w:t>odrobnosti o technickom zabezpečení poskytovania údajov z administratívnych zdrojov (§ 23 ods. 1 návrhu zákona).</w:t>
      </w:r>
    </w:p>
    <w:p w14:paraId="7A58DEBD" w14:textId="1CCEEA2F" w:rsidR="00601667" w:rsidRDefault="00AA4C18" w:rsidP="00D1055A">
      <w:pPr>
        <w:pStyle w:val="Standard"/>
        <w:spacing w:after="360" w:line="276" w:lineRule="auto"/>
        <w:jc w:val="both"/>
        <w:rPr>
          <w:rStyle w:val="Zstupntext"/>
          <w:color w:val="auto"/>
          <w:kern w:val="0"/>
          <w:sz w:val="24"/>
          <w:szCs w:val="24"/>
        </w:rPr>
      </w:pPr>
      <w:r w:rsidRPr="00AA4C18">
        <w:rPr>
          <w:rStyle w:val="Zstupntext"/>
          <w:color w:val="auto"/>
          <w:kern w:val="0"/>
          <w:sz w:val="24"/>
          <w:szCs w:val="24"/>
        </w:rPr>
        <w:t xml:space="preserve">Tieto opatrenia s výnimkou opatrenia podľa § 23 ods. 1 návrhu zákona nebudú vydané k účinnosti návrhu zákona. </w:t>
      </w:r>
      <w:r w:rsidRPr="00AA4C18">
        <w:rPr>
          <w:rFonts w:ascii="Times New Roman" w:hAnsi="Times New Roman" w:cs="Times New Roman"/>
          <w:sz w:val="24"/>
          <w:szCs w:val="24"/>
        </w:rPr>
        <w:t xml:space="preserve">Návrh zákona je potrebné prijať v dostatočnom časovom predstihu z dôvodu charakteru </w:t>
      </w:r>
      <w:r w:rsidRPr="00AA4C18">
        <w:rPr>
          <w:rStyle w:val="Zstupntext"/>
          <w:color w:val="auto"/>
          <w:kern w:val="0"/>
          <w:sz w:val="24"/>
          <w:szCs w:val="24"/>
        </w:rPr>
        <w:t>metodiky sčítania,</w:t>
      </w:r>
      <w:r w:rsidRPr="00AA4C18">
        <w:rPr>
          <w:rFonts w:ascii="Times New Roman" w:hAnsi="Times New Roman" w:cs="Times New Roman"/>
          <w:sz w:val="24"/>
          <w:szCs w:val="24"/>
        </w:rPr>
        <w:t xml:space="preserve"> </w:t>
      </w:r>
      <w:r w:rsidRPr="00AA4C18">
        <w:rPr>
          <w:rStyle w:val="Zstupntext"/>
          <w:color w:val="auto"/>
          <w:kern w:val="0"/>
          <w:sz w:val="24"/>
          <w:szCs w:val="24"/>
        </w:rPr>
        <w:t>ktorá si vyžaduje testovanie a pilotné overenie pred realizáciou samotného sčítania, a tiež vzhľadom na postupné budovanie elektronického systému pre čítanie podľa § 17 návrhu zákona.</w:t>
      </w:r>
    </w:p>
    <w:p w14:paraId="6D991ECE" w14:textId="70C2486A" w:rsidR="00D1055A" w:rsidRDefault="00D1055A" w:rsidP="00D1055A">
      <w:pPr>
        <w:pStyle w:val="Zkladntext"/>
      </w:pPr>
      <w:r>
        <w:t>Bratislava 17. apríla 2019</w:t>
      </w:r>
    </w:p>
    <w:p w14:paraId="263FC869" w14:textId="77777777" w:rsidR="00D1055A" w:rsidRDefault="00D1055A" w:rsidP="00D1055A">
      <w:pPr>
        <w:pStyle w:val="Zkladntext"/>
        <w:rPr>
          <w:b/>
        </w:rPr>
      </w:pPr>
    </w:p>
    <w:p w14:paraId="35F190BB" w14:textId="77777777" w:rsidR="00D1055A" w:rsidRDefault="00D1055A" w:rsidP="00D1055A">
      <w:pPr>
        <w:pStyle w:val="Zkladntext"/>
        <w:rPr>
          <w:b/>
        </w:rPr>
      </w:pPr>
    </w:p>
    <w:p w14:paraId="0F4A1A59" w14:textId="77777777" w:rsidR="00D1055A" w:rsidRDefault="00D1055A" w:rsidP="00D1055A">
      <w:pPr>
        <w:pStyle w:val="Zkladntext"/>
        <w:rPr>
          <w:b/>
        </w:rPr>
      </w:pPr>
    </w:p>
    <w:p w14:paraId="77F83C7B" w14:textId="77777777" w:rsidR="00D1055A" w:rsidRDefault="00D1055A" w:rsidP="00D1055A">
      <w:pPr>
        <w:jc w:val="center"/>
        <w:rPr>
          <w:b/>
          <w:bCs/>
        </w:rPr>
      </w:pPr>
    </w:p>
    <w:p w14:paraId="093540CF" w14:textId="77777777" w:rsidR="00D1055A" w:rsidRDefault="00D1055A" w:rsidP="00D1055A">
      <w:pPr>
        <w:jc w:val="center"/>
        <w:rPr>
          <w:b/>
          <w:bCs/>
        </w:rPr>
      </w:pPr>
    </w:p>
    <w:p w14:paraId="5B03FE12" w14:textId="77777777" w:rsidR="00D1055A" w:rsidRDefault="00D1055A" w:rsidP="00D1055A">
      <w:pPr>
        <w:jc w:val="center"/>
        <w:rPr>
          <w:b/>
          <w:bCs/>
        </w:rPr>
      </w:pPr>
      <w:r>
        <w:rPr>
          <w:b/>
          <w:bCs/>
        </w:rPr>
        <w:t>Peter Pellegrini, v. r.</w:t>
      </w:r>
    </w:p>
    <w:p w14:paraId="4336CD35" w14:textId="77777777" w:rsidR="00D1055A" w:rsidRDefault="00D1055A" w:rsidP="00D1055A">
      <w:pPr>
        <w:jc w:val="center"/>
      </w:pPr>
      <w:r>
        <w:t>predseda vlády</w:t>
      </w:r>
    </w:p>
    <w:p w14:paraId="286B4DD6" w14:textId="77777777" w:rsidR="00D1055A" w:rsidRDefault="00D1055A" w:rsidP="00D1055A">
      <w:pPr>
        <w:jc w:val="center"/>
      </w:pPr>
      <w:r>
        <w:t>Slovenskej republiky</w:t>
      </w:r>
    </w:p>
    <w:p w14:paraId="3795CD94" w14:textId="77777777" w:rsidR="00D1055A" w:rsidRDefault="00D1055A" w:rsidP="00D1055A">
      <w:pPr>
        <w:spacing w:before="120"/>
      </w:pPr>
    </w:p>
    <w:p w14:paraId="28E17597" w14:textId="77777777" w:rsidR="00D1055A" w:rsidRDefault="00D1055A" w:rsidP="00D1055A">
      <w:pPr>
        <w:spacing w:before="120"/>
      </w:pPr>
    </w:p>
    <w:p w14:paraId="74F9EC42" w14:textId="77777777" w:rsidR="00D1055A" w:rsidRDefault="00D1055A" w:rsidP="00D1055A">
      <w:pPr>
        <w:spacing w:before="120"/>
      </w:pPr>
    </w:p>
    <w:p w14:paraId="32E99910" w14:textId="6DD09AB1" w:rsidR="00D1055A" w:rsidRDefault="00D1055A" w:rsidP="00D1055A">
      <w:pPr>
        <w:jc w:val="center"/>
        <w:rPr>
          <w:b/>
          <w:bCs/>
        </w:rPr>
      </w:pPr>
      <w:r>
        <w:rPr>
          <w:b/>
          <w:bCs/>
        </w:rPr>
        <w:t>Alexander Ballek, v. r.</w:t>
      </w:r>
    </w:p>
    <w:p w14:paraId="15D7DF94" w14:textId="77777777" w:rsidR="00D1055A" w:rsidRDefault="00D1055A" w:rsidP="00D1055A">
      <w:pPr>
        <w:jc w:val="center"/>
      </w:pPr>
      <w:r>
        <w:t>predseda Štatistického úradu</w:t>
      </w:r>
    </w:p>
    <w:p w14:paraId="615BC6E8" w14:textId="1EB63601" w:rsidR="00D1055A" w:rsidRPr="00AA4C18" w:rsidRDefault="00D1055A" w:rsidP="00D1055A">
      <w:pPr>
        <w:jc w:val="center"/>
      </w:pPr>
      <w:r>
        <w:t>Slovenskej republiky</w:t>
      </w:r>
    </w:p>
    <w:sectPr w:rsidR="00D1055A" w:rsidRPr="00AA4C18" w:rsidSect="00437FA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29889" w14:textId="77777777" w:rsidR="005E0942" w:rsidRDefault="005E0942" w:rsidP="00182BC0">
      <w:r>
        <w:separator/>
      </w:r>
    </w:p>
  </w:endnote>
  <w:endnote w:type="continuationSeparator" w:id="0">
    <w:p w14:paraId="2278E77A" w14:textId="77777777" w:rsidR="005E0942" w:rsidRDefault="005E0942" w:rsidP="0018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EE"/>
    <w:family w:val="auto"/>
    <w:pitch w:val="variable"/>
    <w:sig w:usb0="00000001"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A080" w14:textId="77777777" w:rsidR="0076357A" w:rsidRDefault="0076357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16DFD7B" w14:textId="77777777" w:rsidR="0076357A" w:rsidRDefault="0076357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DAB8" w14:textId="293D0C86" w:rsidR="0076357A" w:rsidRDefault="0076357A">
    <w:pPr>
      <w:pStyle w:val="Pta"/>
      <w:jc w:val="right"/>
    </w:pPr>
    <w:r>
      <w:fldChar w:fldCharType="begin"/>
    </w:r>
    <w:r>
      <w:instrText>PAGE   \* MERGEFORMAT</w:instrText>
    </w:r>
    <w:r>
      <w:fldChar w:fldCharType="separate"/>
    </w:r>
    <w:r w:rsidR="0012536B">
      <w:rPr>
        <w:noProof/>
      </w:rPr>
      <w:t>22</w:t>
    </w:r>
    <w:r>
      <w:rPr>
        <w:noProof/>
      </w:rPr>
      <w:fldChar w:fldCharType="end"/>
    </w:r>
  </w:p>
  <w:p w14:paraId="7209C950" w14:textId="77777777" w:rsidR="0076357A" w:rsidRDefault="0076357A">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3F4A" w14:textId="77777777" w:rsidR="0076357A" w:rsidRDefault="0076357A">
    <w:pPr>
      <w:pStyle w:val="Pta"/>
      <w:jc w:val="right"/>
    </w:pPr>
    <w:r>
      <w:fldChar w:fldCharType="begin"/>
    </w:r>
    <w:r>
      <w:instrText>PAGE   \* MERGEFORMAT</w:instrText>
    </w:r>
    <w:r>
      <w:fldChar w:fldCharType="separate"/>
    </w:r>
    <w:r>
      <w:rPr>
        <w:noProof/>
      </w:rPr>
      <w:t>0</w:t>
    </w:r>
    <w:r>
      <w:rPr>
        <w:noProof/>
      </w:rPr>
      <w:fldChar w:fldCharType="end"/>
    </w:r>
  </w:p>
  <w:p w14:paraId="279BD0E0" w14:textId="77777777" w:rsidR="0076357A" w:rsidRDefault="0076357A">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64166"/>
      <w:docPartObj>
        <w:docPartGallery w:val="Page Numbers (Bottom of Page)"/>
        <w:docPartUnique/>
      </w:docPartObj>
    </w:sdtPr>
    <w:sdtEndPr/>
    <w:sdtContent>
      <w:p w14:paraId="7F3C6D38" w14:textId="07FAD251" w:rsidR="0076357A" w:rsidRDefault="0076357A" w:rsidP="00182BC0">
        <w:pPr>
          <w:pStyle w:val="Pta"/>
          <w:jc w:val="center"/>
        </w:pPr>
        <w:r>
          <w:fldChar w:fldCharType="begin"/>
        </w:r>
        <w:r>
          <w:instrText>PAGE   \* MERGEFORMAT</w:instrText>
        </w:r>
        <w:r>
          <w:fldChar w:fldCharType="separate"/>
        </w:r>
        <w:r w:rsidR="0012536B">
          <w:rPr>
            <w:noProof/>
          </w:rPr>
          <w:t>51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80923" w14:textId="77777777" w:rsidR="005E0942" w:rsidRDefault="005E0942" w:rsidP="00182BC0">
      <w:r>
        <w:separator/>
      </w:r>
    </w:p>
  </w:footnote>
  <w:footnote w:type="continuationSeparator" w:id="0">
    <w:p w14:paraId="3B206801" w14:textId="77777777" w:rsidR="005E0942" w:rsidRDefault="005E0942" w:rsidP="00182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9FA4" w14:textId="77777777" w:rsidR="0076357A" w:rsidRDefault="0076357A" w:rsidP="0076357A">
    <w:pPr>
      <w:pStyle w:val="Hlavika"/>
      <w:jc w:val="right"/>
    </w:pPr>
    <w:r>
      <w:t>Príloha č. 2</w:t>
    </w:r>
  </w:p>
  <w:p w14:paraId="4E475907" w14:textId="77777777" w:rsidR="0076357A" w:rsidRPr="00EB59C8" w:rsidRDefault="0076357A" w:rsidP="0076357A">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BB323" w14:textId="77777777" w:rsidR="0076357A" w:rsidRPr="000A15AE" w:rsidRDefault="0076357A" w:rsidP="0076357A">
    <w:pPr>
      <w:pStyle w:val="Hlavika"/>
      <w:jc w:val="right"/>
    </w:pPr>
    <w: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540F"/>
    <w:multiLevelType w:val="hybridMultilevel"/>
    <w:tmpl w:val="F64EA924"/>
    <w:lvl w:ilvl="0" w:tplc="AA76FE42">
      <w:start w:val="127"/>
      <w:numFmt w:val="bullet"/>
      <w:lvlText w:val=""/>
      <w:lvlJc w:val="left"/>
      <w:pPr>
        <w:ind w:left="720" w:hanging="360"/>
      </w:pPr>
      <w:rPr>
        <w:rFonts w:ascii="Symbol" w:eastAsia="Times New Roman"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57B3B"/>
    <w:multiLevelType w:val="hybridMultilevel"/>
    <w:tmpl w:val="9FB67C7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3D76407"/>
    <w:multiLevelType w:val="hybridMultilevel"/>
    <w:tmpl w:val="5726E39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59935F5"/>
    <w:multiLevelType w:val="hybridMultilevel"/>
    <w:tmpl w:val="D1F8A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6" w15:restartNumberingAfterBreak="0">
    <w:nsid w:val="20F3444F"/>
    <w:multiLevelType w:val="multilevel"/>
    <w:tmpl w:val="2C7283B0"/>
    <w:lvl w:ilvl="0">
      <w:start w:val="1"/>
      <w:numFmt w:val="decimal"/>
      <w:lvlText w:val="%1"/>
      <w:lvlJc w:val="left"/>
      <w:pPr>
        <w:ind w:left="432" w:hanging="432"/>
      </w:pPr>
    </w:lvl>
    <w:lvl w:ilvl="1">
      <w:start w:val="1"/>
      <w:numFmt w:val="decimal"/>
      <w:lvlText w:val="%1.%2"/>
      <w:lvlJc w:val="left"/>
      <w:pPr>
        <w:ind w:left="576" w:hanging="576"/>
      </w:pPr>
      <w:rPr>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A97AB5"/>
    <w:multiLevelType w:val="hybridMultilevel"/>
    <w:tmpl w:val="8F702182"/>
    <w:lvl w:ilvl="0" w:tplc="041B0001">
      <w:start w:val="12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E80CBA"/>
    <w:multiLevelType w:val="hybridMultilevel"/>
    <w:tmpl w:val="E8664736"/>
    <w:lvl w:ilvl="0" w:tplc="9CB8EF38">
      <w:start w:val="202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148DE"/>
    <w:multiLevelType w:val="hybridMultilevel"/>
    <w:tmpl w:val="83CE1994"/>
    <w:lvl w:ilvl="0" w:tplc="A1801AA4">
      <w:start w:val="2"/>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76C199F"/>
    <w:multiLevelType w:val="hybridMultilevel"/>
    <w:tmpl w:val="44FCD71E"/>
    <w:lvl w:ilvl="0" w:tplc="A1801AA4">
      <w:start w:val="2"/>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1862DD2"/>
    <w:multiLevelType w:val="hybridMultilevel"/>
    <w:tmpl w:val="16D68976"/>
    <w:lvl w:ilvl="0" w:tplc="A1801AA4">
      <w:start w:val="2"/>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16" w15:restartNumberingAfterBreak="0">
    <w:nsid w:val="3D2036CE"/>
    <w:multiLevelType w:val="hybridMultilevel"/>
    <w:tmpl w:val="8B862060"/>
    <w:lvl w:ilvl="0" w:tplc="A1801AA4">
      <w:start w:val="2"/>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621267"/>
    <w:multiLevelType w:val="hybridMultilevel"/>
    <w:tmpl w:val="40D22170"/>
    <w:lvl w:ilvl="0" w:tplc="A1801AA4">
      <w:start w:val="2"/>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47C7F92"/>
    <w:multiLevelType w:val="multilevel"/>
    <w:tmpl w:val="932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560D4"/>
    <w:multiLevelType w:val="hybridMultilevel"/>
    <w:tmpl w:val="ED08146E"/>
    <w:lvl w:ilvl="0" w:tplc="A1801AA4">
      <w:start w:val="2"/>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8EF3629"/>
    <w:multiLevelType w:val="hybridMultilevel"/>
    <w:tmpl w:val="EA3ED9A2"/>
    <w:lvl w:ilvl="0" w:tplc="D5F2539E">
      <w:start w:val="1"/>
      <w:numFmt w:val="lowerLetter"/>
      <w:lvlText w:val="%1)"/>
      <w:lvlJc w:val="left"/>
      <w:pPr>
        <w:ind w:left="840" w:hanging="420"/>
      </w:pPr>
      <w:rPr>
        <w:rFonts w:hint="default"/>
      </w:rPr>
    </w:lvl>
    <w:lvl w:ilvl="1" w:tplc="041B0019" w:tentative="1">
      <w:start w:val="1"/>
      <w:numFmt w:val="lowerLetter"/>
      <w:lvlText w:val="%2."/>
      <w:lvlJc w:val="left"/>
      <w:pPr>
        <w:ind w:left="1576" w:hanging="360"/>
      </w:pPr>
    </w:lvl>
    <w:lvl w:ilvl="2" w:tplc="041B001B" w:tentative="1">
      <w:start w:val="1"/>
      <w:numFmt w:val="lowerRoman"/>
      <w:lvlText w:val="%3."/>
      <w:lvlJc w:val="right"/>
      <w:pPr>
        <w:ind w:left="2296" w:hanging="180"/>
      </w:pPr>
    </w:lvl>
    <w:lvl w:ilvl="3" w:tplc="041B000F" w:tentative="1">
      <w:start w:val="1"/>
      <w:numFmt w:val="decimal"/>
      <w:lvlText w:val="%4."/>
      <w:lvlJc w:val="left"/>
      <w:pPr>
        <w:ind w:left="3016" w:hanging="360"/>
      </w:pPr>
    </w:lvl>
    <w:lvl w:ilvl="4" w:tplc="041B0019" w:tentative="1">
      <w:start w:val="1"/>
      <w:numFmt w:val="lowerLetter"/>
      <w:lvlText w:val="%5."/>
      <w:lvlJc w:val="left"/>
      <w:pPr>
        <w:ind w:left="3736" w:hanging="360"/>
      </w:pPr>
    </w:lvl>
    <w:lvl w:ilvl="5" w:tplc="041B001B" w:tentative="1">
      <w:start w:val="1"/>
      <w:numFmt w:val="lowerRoman"/>
      <w:lvlText w:val="%6."/>
      <w:lvlJc w:val="right"/>
      <w:pPr>
        <w:ind w:left="4456" w:hanging="180"/>
      </w:pPr>
    </w:lvl>
    <w:lvl w:ilvl="6" w:tplc="041B000F" w:tentative="1">
      <w:start w:val="1"/>
      <w:numFmt w:val="decimal"/>
      <w:lvlText w:val="%7."/>
      <w:lvlJc w:val="left"/>
      <w:pPr>
        <w:ind w:left="5176" w:hanging="360"/>
      </w:pPr>
    </w:lvl>
    <w:lvl w:ilvl="7" w:tplc="041B0019" w:tentative="1">
      <w:start w:val="1"/>
      <w:numFmt w:val="lowerLetter"/>
      <w:lvlText w:val="%8."/>
      <w:lvlJc w:val="left"/>
      <w:pPr>
        <w:ind w:left="5896" w:hanging="360"/>
      </w:pPr>
    </w:lvl>
    <w:lvl w:ilvl="8" w:tplc="041B001B" w:tentative="1">
      <w:start w:val="1"/>
      <w:numFmt w:val="lowerRoman"/>
      <w:lvlText w:val="%9."/>
      <w:lvlJc w:val="right"/>
      <w:pPr>
        <w:ind w:left="6616" w:hanging="180"/>
      </w:pPr>
    </w:lvl>
  </w:abstractNum>
  <w:abstractNum w:abstractNumId="21" w15:restartNumberingAfterBreak="0">
    <w:nsid w:val="6233186B"/>
    <w:multiLevelType w:val="multilevel"/>
    <w:tmpl w:val="DF1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F72BE"/>
    <w:multiLevelType w:val="hybridMultilevel"/>
    <w:tmpl w:val="C818F666"/>
    <w:lvl w:ilvl="0" w:tplc="548873A4">
      <w:start w:val="5"/>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719E1AAF"/>
    <w:multiLevelType w:val="hybridMultilevel"/>
    <w:tmpl w:val="BB90F33A"/>
    <w:lvl w:ilvl="0" w:tplc="EBA48D06">
      <w:start w:val="2"/>
      <w:numFmt w:val="bullet"/>
      <w:lvlText w:val="-"/>
      <w:lvlJc w:val="left"/>
      <w:pPr>
        <w:ind w:left="-540" w:hanging="360"/>
      </w:pPr>
      <w:rPr>
        <w:rFonts w:ascii="Times New Roman" w:eastAsia="Times New Roman" w:hAnsi="Times New Roman" w:cs="Times New Roman" w:hint="default"/>
      </w:rPr>
    </w:lvl>
    <w:lvl w:ilvl="1" w:tplc="041B0003" w:tentative="1">
      <w:start w:val="1"/>
      <w:numFmt w:val="bullet"/>
      <w:lvlText w:val="o"/>
      <w:lvlJc w:val="left"/>
      <w:pPr>
        <w:ind w:left="180" w:hanging="360"/>
      </w:pPr>
      <w:rPr>
        <w:rFonts w:ascii="Courier New" w:hAnsi="Courier New" w:cs="Courier New" w:hint="default"/>
      </w:rPr>
    </w:lvl>
    <w:lvl w:ilvl="2" w:tplc="041B0005" w:tentative="1">
      <w:start w:val="1"/>
      <w:numFmt w:val="bullet"/>
      <w:lvlText w:val=""/>
      <w:lvlJc w:val="left"/>
      <w:pPr>
        <w:ind w:left="900" w:hanging="360"/>
      </w:pPr>
      <w:rPr>
        <w:rFonts w:ascii="Wingdings" w:hAnsi="Wingdings" w:hint="default"/>
      </w:rPr>
    </w:lvl>
    <w:lvl w:ilvl="3" w:tplc="041B0001" w:tentative="1">
      <w:start w:val="1"/>
      <w:numFmt w:val="bullet"/>
      <w:lvlText w:val=""/>
      <w:lvlJc w:val="left"/>
      <w:pPr>
        <w:ind w:left="1620" w:hanging="360"/>
      </w:pPr>
      <w:rPr>
        <w:rFonts w:ascii="Symbol" w:hAnsi="Symbol" w:hint="default"/>
      </w:rPr>
    </w:lvl>
    <w:lvl w:ilvl="4" w:tplc="041B0003" w:tentative="1">
      <w:start w:val="1"/>
      <w:numFmt w:val="bullet"/>
      <w:lvlText w:val="o"/>
      <w:lvlJc w:val="left"/>
      <w:pPr>
        <w:ind w:left="2340" w:hanging="360"/>
      </w:pPr>
      <w:rPr>
        <w:rFonts w:ascii="Courier New" w:hAnsi="Courier New" w:cs="Courier New" w:hint="default"/>
      </w:rPr>
    </w:lvl>
    <w:lvl w:ilvl="5" w:tplc="041B0005" w:tentative="1">
      <w:start w:val="1"/>
      <w:numFmt w:val="bullet"/>
      <w:lvlText w:val=""/>
      <w:lvlJc w:val="left"/>
      <w:pPr>
        <w:ind w:left="3060" w:hanging="360"/>
      </w:pPr>
      <w:rPr>
        <w:rFonts w:ascii="Wingdings" w:hAnsi="Wingdings" w:hint="default"/>
      </w:rPr>
    </w:lvl>
    <w:lvl w:ilvl="6" w:tplc="041B0001" w:tentative="1">
      <w:start w:val="1"/>
      <w:numFmt w:val="bullet"/>
      <w:lvlText w:val=""/>
      <w:lvlJc w:val="left"/>
      <w:pPr>
        <w:ind w:left="3780" w:hanging="360"/>
      </w:pPr>
      <w:rPr>
        <w:rFonts w:ascii="Symbol" w:hAnsi="Symbol" w:hint="default"/>
      </w:rPr>
    </w:lvl>
    <w:lvl w:ilvl="7" w:tplc="041B0003" w:tentative="1">
      <w:start w:val="1"/>
      <w:numFmt w:val="bullet"/>
      <w:lvlText w:val="o"/>
      <w:lvlJc w:val="left"/>
      <w:pPr>
        <w:ind w:left="4500" w:hanging="360"/>
      </w:pPr>
      <w:rPr>
        <w:rFonts w:ascii="Courier New" w:hAnsi="Courier New" w:cs="Courier New" w:hint="default"/>
      </w:rPr>
    </w:lvl>
    <w:lvl w:ilvl="8" w:tplc="041B0005" w:tentative="1">
      <w:start w:val="1"/>
      <w:numFmt w:val="bullet"/>
      <w:lvlText w:val=""/>
      <w:lvlJc w:val="left"/>
      <w:pPr>
        <w:ind w:left="5220" w:hanging="360"/>
      </w:pPr>
      <w:rPr>
        <w:rFonts w:ascii="Wingdings" w:hAnsi="Wingdings" w:hint="default"/>
      </w:rPr>
    </w:lvl>
  </w:abstractNum>
  <w:abstractNum w:abstractNumId="24" w15:restartNumberingAfterBreak="0">
    <w:nsid w:val="78162815"/>
    <w:multiLevelType w:val="hybridMultilevel"/>
    <w:tmpl w:val="BCBE7918"/>
    <w:lvl w:ilvl="0" w:tplc="041B0001">
      <w:start w:val="12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EC7BFE"/>
    <w:multiLevelType w:val="hybridMultilevel"/>
    <w:tmpl w:val="924620A2"/>
    <w:lvl w:ilvl="0" w:tplc="36826260">
      <w:start w:val="1"/>
      <w:numFmt w:val="lowerLetter"/>
      <w:lvlText w:val="%1)"/>
      <w:lvlJc w:val="left"/>
      <w:pPr>
        <w:ind w:left="360" w:hanging="360"/>
      </w:pPr>
      <w:rPr>
        <w:i/>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15"/>
  </w:num>
  <w:num w:numId="3">
    <w:abstractNumId w:val="25"/>
  </w:num>
  <w:num w:numId="4">
    <w:abstractNumId w:val="11"/>
  </w:num>
  <w:num w:numId="5">
    <w:abstractNumId w:val="18"/>
  </w:num>
  <w:num w:numId="6">
    <w:abstractNumId w:val="21"/>
  </w:num>
  <w:num w:numId="7">
    <w:abstractNumId w:val="9"/>
  </w:num>
  <w:num w:numId="8">
    <w:abstractNumId w:val="13"/>
  </w:num>
  <w:num w:numId="9">
    <w:abstractNumId w:val="1"/>
  </w:num>
  <w:num w:numId="10">
    <w:abstractNumId w:val="6"/>
  </w:num>
  <w:num w:numId="11">
    <w:abstractNumId w:val="4"/>
  </w:num>
  <w:num w:numId="12">
    <w:abstractNumId w:val="24"/>
  </w:num>
  <w:num w:numId="13">
    <w:abstractNumId w:val="7"/>
  </w:num>
  <w:num w:numId="14">
    <w:abstractNumId w:val="0"/>
  </w:num>
  <w:num w:numId="15">
    <w:abstractNumId w:val="8"/>
  </w:num>
  <w:num w:numId="16">
    <w:abstractNumId w:val="23"/>
  </w:num>
  <w:num w:numId="17">
    <w:abstractNumId w:val="14"/>
  </w:num>
  <w:num w:numId="18">
    <w:abstractNumId w:val="22"/>
  </w:num>
  <w:num w:numId="19">
    <w:abstractNumId w:val="19"/>
  </w:num>
  <w:num w:numId="20">
    <w:abstractNumId w:val="3"/>
  </w:num>
  <w:num w:numId="21">
    <w:abstractNumId w:val="12"/>
  </w:num>
  <w:num w:numId="22">
    <w:abstractNumId w:val="2"/>
  </w:num>
  <w:num w:numId="23">
    <w:abstractNumId w:val="10"/>
  </w:num>
  <w:num w:numId="24">
    <w:abstractNumId w:val="16"/>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EA"/>
    <w:rsid w:val="00042095"/>
    <w:rsid w:val="00061A73"/>
    <w:rsid w:val="000D62DC"/>
    <w:rsid w:val="001227EC"/>
    <w:rsid w:val="0012536B"/>
    <w:rsid w:val="0013620A"/>
    <w:rsid w:val="00182BC0"/>
    <w:rsid w:val="001C0E4E"/>
    <w:rsid w:val="001E5A87"/>
    <w:rsid w:val="002C143A"/>
    <w:rsid w:val="003A620E"/>
    <w:rsid w:val="004358F0"/>
    <w:rsid w:val="00437FA0"/>
    <w:rsid w:val="005123A1"/>
    <w:rsid w:val="005E0942"/>
    <w:rsid w:val="00601667"/>
    <w:rsid w:val="00687BE6"/>
    <w:rsid w:val="00706181"/>
    <w:rsid w:val="0076357A"/>
    <w:rsid w:val="00807565"/>
    <w:rsid w:val="00817A15"/>
    <w:rsid w:val="00832CE6"/>
    <w:rsid w:val="008641CA"/>
    <w:rsid w:val="008E6F96"/>
    <w:rsid w:val="00986A6C"/>
    <w:rsid w:val="00A222FD"/>
    <w:rsid w:val="00A51299"/>
    <w:rsid w:val="00A64365"/>
    <w:rsid w:val="00AA4C18"/>
    <w:rsid w:val="00AA52C2"/>
    <w:rsid w:val="00AB2CD0"/>
    <w:rsid w:val="00AE1DC7"/>
    <w:rsid w:val="00AF47A9"/>
    <w:rsid w:val="00B00281"/>
    <w:rsid w:val="00B52840"/>
    <w:rsid w:val="00B65132"/>
    <w:rsid w:val="00B67B8E"/>
    <w:rsid w:val="00BB0270"/>
    <w:rsid w:val="00D1055A"/>
    <w:rsid w:val="00D968EA"/>
    <w:rsid w:val="00DB31F2"/>
    <w:rsid w:val="00DC25BB"/>
    <w:rsid w:val="00DE6374"/>
    <w:rsid w:val="00E17DB6"/>
    <w:rsid w:val="00E330A6"/>
    <w:rsid w:val="00EA2E97"/>
    <w:rsid w:val="00ED6E7F"/>
    <w:rsid w:val="00F43ECD"/>
    <w:rsid w:val="00F82828"/>
    <w:rsid w:val="00FC5D71"/>
    <w:rsid w:val="00FD5E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D6BF"/>
  <w15:docId w15:val="{E8B28AED-A6AE-45FB-A9CB-A240CB6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968EA"/>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aliases w:val="Čo robí (časť),h1,Heading 11111"/>
    <w:basedOn w:val="Normlny"/>
    <w:next w:val="Normlny"/>
    <w:link w:val="Nadpis1Char"/>
    <w:qFormat/>
    <w:rsid w:val="005123A1"/>
    <w:pPr>
      <w:keepNext/>
      <w:widowControl/>
      <w:numPr>
        <w:numId w:val="1"/>
      </w:numPr>
      <w:adjustRightInd/>
      <w:spacing w:before="360"/>
      <w:outlineLvl w:val="0"/>
    </w:pPr>
    <w:rPr>
      <w:b/>
      <w:bCs/>
      <w:kern w:val="32"/>
      <w:sz w:val="28"/>
      <w:szCs w:val="28"/>
    </w:rPr>
  </w:style>
  <w:style w:type="paragraph" w:styleId="Nadpis2">
    <w:name w:val="heading 2"/>
    <w:aliases w:val="Úloha,h2,h2 main heading,B Sub/Bold"/>
    <w:basedOn w:val="Normlny"/>
    <w:link w:val="Nadpis2Char"/>
    <w:qFormat/>
    <w:rsid w:val="005123A1"/>
    <w:pPr>
      <w:widowControl/>
      <w:numPr>
        <w:ilvl w:val="1"/>
        <w:numId w:val="1"/>
      </w:numPr>
      <w:adjustRightInd/>
      <w:spacing w:before="120"/>
      <w:jc w:val="both"/>
      <w:outlineLvl w:val="1"/>
    </w:pPr>
  </w:style>
  <w:style w:type="paragraph" w:styleId="Nadpis3">
    <w:name w:val="heading 3"/>
    <w:aliases w:val="Podúloha,h3"/>
    <w:basedOn w:val="Normlny"/>
    <w:link w:val="Nadpis3Char"/>
    <w:qFormat/>
    <w:rsid w:val="005123A1"/>
    <w:pPr>
      <w:keepNext/>
      <w:widowControl/>
      <w:numPr>
        <w:ilvl w:val="2"/>
        <w:numId w:val="1"/>
      </w:numPr>
      <w:adjustRightInd/>
      <w:spacing w:before="120"/>
      <w:ind w:left="2269"/>
      <w:outlineLvl w:val="2"/>
    </w:pPr>
  </w:style>
  <w:style w:type="paragraph" w:styleId="Nadpis4">
    <w:name w:val="heading 4"/>
    <w:aliases w:val="Termín,h4"/>
    <w:basedOn w:val="Normlny"/>
    <w:next w:val="Nadpis2"/>
    <w:link w:val="Nadpis4Char"/>
    <w:qFormat/>
    <w:rsid w:val="005123A1"/>
    <w:pPr>
      <w:widowControl/>
      <w:numPr>
        <w:ilvl w:val="3"/>
        <w:numId w:val="1"/>
      </w:numPr>
      <w:adjustRightInd/>
      <w:spacing w:before="120" w:after="120"/>
      <w:outlineLvl w:val="3"/>
    </w:pPr>
    <w:rPr>
      <w:i/>
      <w:iCs/>
    </w:rPr>
  </w:style>
  <w:style w:type="paragraph" w:styleId="Nadpis5">
    <w:name w:val="heading 5"/>
    <w:basedOn w:val="Normlny"/>
    <w:next w:val="Normlny"/>
    <w:link w:val="Nadpis5Char"/>
    <w:qFormat/>
    <w:rsid w:val="005123A1"/>
    <w:pPr>
      <w:widowControl/>
      <w:numPr>
        <w:ilvl w:val="4"/>
        <w:numId w:val="1"/>
      </w:numPr>
      <w:adjustRightInd/>
      <w:spacing w:before="240" w:after="60"/>
      <w:outlineLvl w:val="4"/>
    </w:pPr>
    <w:rPr>
      <w:b/>
      <w:bCs/>
      <w:i/>
      <w:iCs/>
      <w:sz w:val="26"/>
      <w:szCs w:val="26"/>
    </w:rPr>
  </w:style>
  <w:style w:type="paragraph" w:styleId="Nadpis6">
    <w:name w:val="heading 6"/>
    <w:basedOn w:val="Normlny"/>
    <w:next w:val="Normlny"/>
    <w:link w:val="Nadpis6Char"/>
    <w:qFormat/>
    <w:rsid w:val="005123A1"/>
    <w:pPr>
      <w:widowControl/>
      <w:numPr>
        <w:ilvl w:val="5"/>
        <w:numId w:val="1"/>
      </w:numPr>
      <w:adjustRightInd/>
      <w:spacing w:before="240" w:after="60"/>
      <w:outlineLvl w:val="5"/>
    </w:pPr>
    <w:rPr>
      <w:b/>
      <w:bCs/>
      <w:sz w:val="22"/>
      <w:szCs w:val="22"/>
    </w:rPr>
  </w:style>
  <w:style w:type="paragraph" w:styleId="Nadpis7">
    <w:name w:val="heading 7"/>
    <w:basedOn w:val="Normlny"/>
    <w:next w:val="Normlny"/>
    <w:link w:val="Nadpis7Char"/>
    <w:qFormat/>
    <w:rsid w:val="005123A1"/>
    <w:pPr>
      <w:widowControl/>
      <w:numPr>
        <w:ilvl w:val="6"/>
        <w:numId w:val="1"/>
      </w:numPr>
      <w:adjustRightInd/>
      <w:spacing w:before="240" w:after="60"/>
      <w:outlineLvl w:val="6"/>
    </w:pPr>
  </w:style>
  <w:style w:type="paragraph" w:styleId="Nadpis8">
    <w:name w:val="heading 8"/>
    <w:basedOn w:val="Normlny"/>
    <w:next w:val="Normlny"/>
    <w:link w:val="Nadpis8Char"/>
    <w:qFormat/>
    <w:rsid w:val="005123A1"/>
    <w:pPr>
      <w:widowControl/>
      <w:numPr>
        <w:ilvl w:val="7"/>
        <w:numId w:val="1"/>
      </w:numPr>
      <w:adjustRightInd/>
      <w:spacing w:before="240" w:after="60"/>
      <w:outlineLvl w:val="7"/>
    </w:pPr>
    <w:rPr>
      <w:i/>
      <w:iCs/>
    </w:rPr>
  </w:style>
  <w:style w:type="paragraph" w:styleId="Nadpis9">
    <w:name w:val="heading 9"/>
    <w:basedOn w:val="Normlny"/>
    <w:next w:val="Normlny"/>
    <w:link w:val="Nadpis9Char"/>
    <w:qFormat/>
    <w:rsid w:val="005123A1"/>
    <w:pPr>
      <w:widowControl/>
      <w:numPr>
        <w:ilvl w:val="8"/>
        <w:numId w:val="1"/>
      </w:numPr>
      <w:adjustRightInd/>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h1 Char,Heading 11111 Char"/>
    <w:basedOn w:val="Predvolenpsmoodseku"/>
    <w:link w:val="Nadpis1"/>
    <w:rsid w:val="005123A1"/>
    <w:rPr>
      <w:rFonts w:ascii="Times New Roman" w:eastAsia="Times New Roman" w:hAnsi="Times New Roman" w:cs="Times New Roman"/>
      <w:b/>
      <w:bCs/>
      <w:kern w:val="32"/>
      <w:sz w:val="28"/>
      <w:szCs w:val="28"/>
      <w:lang w:eastAsia="sk-SK"/>
    </w:rPr>
  </w:style>
  <w:style w:type="character" w:customStyle="1" w:styleId="Nadpis2Char">
    <w:name w:val="Nadpis 2 Char"/>
    <w:aliases w:val="Úloha Char,h2 Char,h2 main heading Char,B Sub/Bold Char"/>
    <w:basedOn w:val="Predvolenpsmoodseku"/>
    <w:link w:val="Nadpis2"/>
    <w:rsid w:val="005123A1"/>
    <w:rPr>
      <w:rFonts w:ascii="Times New Roman" w:eastAsia="Times New Roman" w:hAnsi="Times New Roman" w:cs="Times New Roman"/>
      <w:sz w:val="24"/>
      <w:szCs w:val="24"/>
      <w:lang w:eastAsia="sk-SK"/>
    </w:rPr>
  </w:style>
  <w:style w:type="character" w:customStyle="1" w:styleId="Nadpis3Char">
    <w:name w:val="Nadpis 3 Char"/>
    <w:aliases w:val="Podúloha Char,h3 Char"/>
    <w:basedOn w:val="Predvolenpsmoodseku"/>
    <w:link w:val="Nadpis3"/>
    <w:rsid w:val="005123A1"/>
    <w:rPr>
      <w:rFonts w:ascii="Times New Roman" w:eastAsia="Times New Roman" w:hAnsi="Times New Roman" w:cs="Times New Roman"/>
      <w:sz w:val="24"/>
      <w:szCs w:val="24"/>
      <w:lang w:eastAsia="sk-SK"/>
    </w:rPr>
  </w:style>
  <w:style w:type="character" w:customStyle="1" w:styleId="Nadpis4Char">
    <w:name w:val="Nadpis 4 Char"/>
    <w:aliases w:val="Termín Char,h4 Char"/>
    <w:basedOn w:val="Predvolenpsmoodseku"/>
    <w:link w:val="Nadpis4"/>
    <w:rsid w:val="005123A1"/>
    <w:rPr>
      <w:rFonts w:ascii="Times New Roman" w:eastAsia="Times New Roman" w:hAnsi="Times New Roman" w:cs="Times New Roman"/>
      <w:i/>
      <w:iCs/>
      <w:sz w:val="24"/>
      <w:szCs w:val="24"/>
      <w:lang w:eastAsia="sk-SK"/>
    </w:rPr>
  </w:style>
  <w:style w:type="character" w:customStyle="1" w:styleId="Nadpis5Char">
    <w:name w:val="Nadpis 5 Char"/>
    <w:basedOn w:val="Predvolenpsmoodseku"/>
    <w:link w:val="Nadpis5"/>
    <w:rsid w:val="005123A1"/>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5123A1"/>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5123A1"/>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5123A1"/>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5123A1"/>
    <w:rPr>
      <w:rFonts w:ascii="Arial" w:eastAsia="Times New Roman" w:hAnsi="Arial" w:cs="Arial"/>
      <w:lang w:eastAsia="sk-SK"/>
    </w:rPr>
  </w:style>
  <w:style w:type="paragraph" w:customStyle="1" w:styleId="EYNormal">
    <w:name w:val="EY Normal"/>
    <w:link w:val="EYNormalChar"/>
    <w:rsid w:val="001227EC"/>
    <w:pPr>
      <w:spacing w:after="0" w:line="240" w:lineRule="auto"/>
    </w:pPr>
    <w:rPr>
      <w:rFonts w:ascii="EYInterstate Light" w:eastAsia="Times New Roman" w:hAnsi="EYInterstate Light" w:cs="Times New Roman"/>
      <w:kern w:val="12"/>
      <w:sz w:val="20"/>
      <w:szCs w:val="24"/>
      <w:lang w:val="en-US"/>
    </w:rPr>
  </w:style>
  <w:style w:type="paragraph" w:customStyle="1" w:styleId="EYBulletedList1">
    <w:name w:val="EY Bulleted List 1"/>
    <w:rsid w:val="001227EC"/>
    <w:pPr>
      <w:numPr>
        <w:numId w:val="2"/>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1227EC"/>
    <w:pPr>
      <w:numPr>
        <w:ilvl w:val="1"/>
        <w:numId w:val="2"/>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1227EC"/>
    <w:pPr>
      <w:numPr>
        <w:ilvl w:val="2"/>
        <w:numId w:val="2"/>
      </w:numPr>
      <w:spacing w:after="0" w:line="240" w:lineRule="auto"/>
    </w:pPr>
    <w:rPr>
      <w:rFonts w:ascii="EYInterstate Light" w:eastAsia="Times New Roman" w:hAnsi="EYInterstate Light" w:cs="Times New Roman"/>
      <w:kern w:val="12"/>
      <w:sz w:val="20"/>
      <w:szCs w:val="24"/>
      <w:lang w:val="en-US"/>
    </w:rPr>
  </w:style>
  <w:style w:type="character" w:customStyle="1" w:styleId="EYNormalChar">
    <w:name w:val="EY Normal Char"/>
    <w:basedOn w:val="Predvolenpsmoodseku"/>
    <w:link w:val="EYNormal"/>
    <w:rsid w:val="001227EC"/>
    <w:rPr>
      <w:rFonts w:ascii="EYInterstate Light" w:eastAsia="Times New Roman" w:hAnsi="EYInterstate Light" w:cs="Times New Roman"/>
      <w:kern w:val="12"/>
      <w:sz w:val="20"/>
      <w:szCs w:val="24"/>
      <w:lang w:val="en-US"/>
    </w:rPr>
  </w:style>
  <w:style w:type="character" w:styleId="Odkaznakomentr">
    <w:name w:val="annotation reference"/>
    <w:basedOn w:val="Predvolenpsmoodseku"/>
    <w:uiPriority w:val="99"/>
    <w:semiHidden/>
    <w:unhideWhenUsed/>
    <w:rsid w:val="008641CA"/>
    <w:rPr>
      <w:sz w:val="16"/>
      <w:szCs w:val="16"/>
    </w:rPr>
  </w:style>
  <w:style w:type="paragraph" w:styleId="Textkomentra">
    <w:name w:val="annotation text"/>
    <w:basedOn w:val="Normlny"/>
    <w:link w:val="TextkomentraChar"/>
    <w:uiPriority w:val="99"/>
    <w:unhideWhenUsed/>
    <w:rsid w:val="008641CA"/>
    <w:rPr>
      <w:sz w:val="20"/>
      <w:szCs w:val="20"/>
    </w:rPr>
  </w:style>
  <w:style w:type="character" w:customStyle="1" w:styleId="TextkomentraChar">
    <w:name w:val="Text komentára Char"/>
    <w:basedOn w:val="Predvolenpsmoodseku"/>
    <w:link w:val="Textkomentra"/>
    <w:uiPriority w:val="99"/>
    <w:rsid w:val="008641C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641CA"/>
    <w:rPr>
      <w:b/>
      <w:bCs/>
    </w:rPr>
  </w:style>
  <w:style w:type="character" w:customStyle="1" w:styleId="PredmetkomentraChar">
    <w:name w:val="Predmet komentára Char"/>
    <w:basedOn w:val="TextkomentraChar"/>
    <w:link w:val="Predmetkomentra"/>
    <w:uiPriority w:val="99"/>
    <w:semiHidden/>
    <w:rsid w:val="008641C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8641C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41CA"/>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182BC0"/>
    <w:pPr>
      <w:tabs>
        <w:tab w:val="center" w:pos="4536"/>
        <w:tab w:val="right" w:pos="9072"/>
      </w:tabs>
    </w:pPr>
  </w:style>
  <w:style w:type="character" w:customStyle="1" w:styleId="HlavikaChar">
    <w:name w:val="Hlavička Char"/>
    <w:basedOn w:val="Predvolenpsmoodseku"/>
    <w:link w:val="Hlavika"/>
    <w:uiPriority w:val="99"/>
    <w:rsid w:val="00182BC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82BC0"/>
    <w:pPr>
      <w:tabs>
        <w:tab w:val="center" w:pos="4536"/>
        <w:tab w:val="right" w:pos="9072"/>
      </w:tabs>
    </w:pPr>
  </w:style>
  <w:style w:type="character" w:customStyle="1" w:styleId="PtaChar">
    <w:name w:val="Päta Char"/>
    <w:basedOn w:val="Predvolenpsmoodseku"/>
    <w:link w:val="Pta"/>
    <w:uiPriority w:val="99"/>
    <w:rsid w:val="00182BC0"/>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76357A"/>
    <w:pPr>
      <w:autoSpaceDE w:val="0"/>
      <w:autoSpaceDN w:val="0"/>
      <w:ind w:left="720"/>
      <w:contextualSpacing/>
    </w:pPr>
  </w:style>
  <w:style w:type="table" w:styleId="Mriekatabuky">
    <w:name w:val="Table Grid"/>
    <w:basedOn w:val="Normlnatabuka"/>
    <w:uiPriority w:val="59"/>
    <w:unhideWhenUsed/>
    <w:rsid w:val="0076357A"/>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76357A"/>
    <w:pPr>
      <w:widowControl/>
      <w:adjustRightInd/>
      <w:spacing w:before="100" w:beforeAutospacing="1" w:after="100" w:afterAutospacing="1"/>
    </w:pPr>
  </w:style>
  <w:style w:type="character" w:styleId="Hypertextovprepojenie">
    <w:name w:val="Hyperlink"/>
    <w:uiPriority w:val="99"/>
    <w:semiHidden/>
    <w:unhideWhenUsed/>
    <w:rsid w:val="0076357A"/>
    <w:rPr>
      <w:color w:val="0000FF"/>
      <w:u w:val="single"/>
    </w:rPr>
  </w:style>
  <w:style w:type="character" w:styleId="Zvraznenie">
    <w:name w:val="Emphasis"/>
    <w:uiPriority w:val="20"/>
    <w:qFormat/>
    <w:rsid w:val="0076357A"/>
    <w:rPr>
      <w:i/>
      <w:iCs/>
    </w:rPr>
  </w:style>
  <w:style w:type="character" w:styleId="Siln">
    <w:name w:val="Strong"/>
    <w:uiPriority w:val="22"/>
    <w:qFormat/>
    <w:rsid w:val="0076357A"/>
    <w:rPr>
      <w:b/>
      <w:bCs/>
    </w:rPr>
  </w:style>
  <w:style w:type="character" w:styleId="slostrany">
    <w:name w:val="page number"/>
    <w:basedOn w:val="Predvolenpsmoodseku"/>
    <w:uiPriority w:val="99"/>
    <w:rsid w:val="0076357A"/>
    <w:rPr>
      <w:rFonts w:cs="Times New Roman"/>
    </w:rPr>
  </w:style>
  <w:style w:type="paragraph" w:customStyle="1" w:styleId="Standard">
    <w:name w:val="Standard"/>
    <w:rsid w:val="00AA4C18"/>
    <w:pPr>
      <w:suppressAutoHyphens/>
      <w:autoSpaceDN w:val="0"/>
      <w:spacing w:after="160" w:line="247" w:lineRule="auto"/>
      <w:textAlignment w:val="baseline"/>
    </w:pPr>
    <w:rPr>
      <w:rFonts w:ascii="Calibri" w:eastAsia="SimSun" w:hAnsi="Calibri" w:cs="F"/>
      <w:kern w:val="3"/>
    </w:rPr>
  </w:style>
  <w:style w:type="character" w:styleId="Zstupntext">
    <w:name w:val="Placeholder Text"/>
    <w:basedOn w:val="Predvolenpsmoodseku"/>
    <w:uiPriority w:val="99"/>
    <w:semiHidden/>
    <w:rsid w:val="00AA4C18"/>
    <w:rPr>
      <w:rFonts w:ascii="Times New Roman" w:hAnsi="Times New Roman" w:cs="Times New Roman" w:hint="default"/>
      <w:color w:val="808080"/>
    </w:rPr>
  </w:style>
  <w:style w:type="paragraph" w:styleId="Textvysvetlivky">
    <w:name w:val="endnote text"/>
    <w:basedOn w:val="Normlny"/>
    <w:link w:val="TextvysvetlivkyChar"/>
    <w:uiPriority w:val="99"/>
    <w:unhideWhenUsed/>
    <w:rsid w:val="00AA4C18"/>
    <w:pPr>
      <w:widowControl/>
      <w:adjustRightInd/>
    </w:pPr>
    <w:rPr>
      <w:rFonts w:asciiTheme="minorHAnsi" w:eastAsiaTheme="minorHAnsi" w:hAnsiTheme="minorHAnsi" w:cstheme="minorBidi"/>
      <w:sz w:val="20"/>
      <w:szCs w:val="20"/>
      <w:lang w:eastAsia="en-US"/>
    </w:rPr>
  </w:style>
  <w:style w:type="character" w:customStyle="1" w:styleId="TextvysvetlivkyChar">
    <w:name w:val="Text vysvetlivky Char"/>
    <w:basedOn w:val="Predvolenpsmoodseku"/>
    <w:link w:val="Textvysvetlivky"/>
    <w:uiPriority w:val="99"/>
    <w:rsid w:val="00AA4C18"/>
    <w:rPr>
      <w:sz w:val="20"/>
      <w:szCs w:val="20"/>
    </w:rPr>
  </w:style>
  <w:style w:type="character" w:styleId="Odkaznavysvetlivku">
    <w:name w:val="endnote reference"/>
    <w:basedOn w:val="Predvolenpsmoodseku"/>
    <w:uiPriority w:val="99"/>
    <w:semiHidden/>
    <w:unhideWhenUsed/>
    <w:rsid w:val="00AA4C18"/>
    <w:rPr>
      <w:vertAlign w:val="superscript"/>
    </w:rPr>
  </w:style>
  <w:style w:type="paragraph" w:customStyle="1" w:styleId="MZVnormal">
    <w:name w:val="MZV normal"/>
    <w:basedOn w:val="Normlny"/>
    <w:rsid w:val="00AA4C18"/>
    <w:pPr>
      <w:widowControl/>
      <w:adjustRightInd/>
    </w:pPr>
    <w:rPr>
      <w:rFonts w:ascii="Arial" w:hAnsi="Arial"/>
      <w:color w:val="000000"/>
      <w:sz w:val="22"/>
    </w:rPr>
  </w:style>
  <w:style w:type="paragraph" w:styleId="Zkladntext">
    <w:name w:val="Body Text"/>
    <w:basedOn w:val="Normlny"/>
    <w:link w:val="ZkladntextChar"/>
    <w:uiPriority w:val="99"/>
    <w:semiHidden/>
    <w:unhideWhenUsed/>
    <w:rsid w:val="00D1055A"/>
    <w:pPr>
      <w:widowControl/>
      <w:adjustRightInd/>
      <w:jc w:val="both"/>
    </w:pPr>
  </w:style>
  <w:style w:type="character" w:customStyle="1" w:styleId="ZkladntextChar">
    <w:name w:val="Základný text Char"/>
    <w:basedOn w:val="Predvolenpsmoodseku"/>
    <w:link w:val="Zkladntext"/>
    <w:uiPriority w:val="99"/>
    <w:semiHidden/>
    <w:rsid w:val="00D1055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mila.ivancikova@statistics.s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etra.szokeova@statistics.sk" TargetMode="External"/><Relationship Id="rId4" Type="http://schemas.openxmlformats.org/officeDocument/2006/relationships/settings" Target="settings.xml"/><Relationship Id="rId9" Type="http://schemas.openxmlformats.org/officeDocument/2006/relationships/hyperlink" Target="mailto:jan.papol@statistics.sk"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SODB2021_dôvodová-správa_všeobecná-časť"/>
    <f:field ref="objsubject" par="" edit="true" text=""/>
    <f:field ref="objcreatedby" par="" text="Bokol, Viliam, Mgr."/>
    <f:field ref="objcreatedat" par="" text="9.4.2019 14:36:02"/>
    <f:field ref="objchangedby" par="" text="Administrator, System"/>
    <f:field ref="objmodifiedat" par="" text="9.4.2019 14:36: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19346</Words>
  <Characters>110277</Characters>
  <Application>Microsoft Office Word</Application>
  <DocSecurity>0</DocSecurity>
  <Lines>918</Lines>
  <Paragraphs>258</Paragraphs>
  <ScaleCrop>false</ScaleCrop>
  <HeadingPairs>
    <vt:vector size="2" baseType="variant">
      <vt:variant>
        <vt:lpstr>Názov</vt:lpstr>
      </vt:variant>
      <vt:variant>
        <vt:i4>1</vt:i4>
      </vt:variant>
    </vt:vector>
  </HeadingPairs>
  <TitlesOfParts>
    <vt:vector size="1" baseType="lpstr">
      <vt:lpstr/>
    </vt:vector>
  </TitlesOfParts>
  <Company>Hamala Kluch Viglasky s.r.o.</Company>
  <LinksUpToDate>false</LinksUpToDate>
  <CharactersWithSpaces>129365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Bokol Viliam</cp:lastModifiedBy>
  <cp:revision>6</cp:revision>
  <dcterms:created xsi:type="dcterms:W3CDTF">2019-04-18T11:14:00Z</dcterms:created>
  <dcterms:modified xsi:type="dcterms:W3CDTF">2019-04-18T12:19:00Z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style="text-align:justify"&gt;&lt;span style="font-size:16px;"&gt;&lt;span style="color: black;"&gt;Od 1. marca 2017 do 1. júna 2017 prebehla výzva &lt;/span&gt;&lt;/span&gt;&lt;span style="font-size: 16px; text-align: justify;"&gt;odbornej verejnosti&amp;nbsp;&lt;/span&gt;&lt;span style="font-siz</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Štatistiky_x000d_
Ochrana osobných údajov_x000d_
Miestna štátna správa_x000d_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Viliam Bokol</vt:lpwstr>
  </property>
  <property fmtid="{D5CDD505-2E9C-101B-9397-08002B2CF9AE}" pid="12" name="FSC#SKEDITIONSLOVLEX@103.510:zodppredkladatel">
    <vt:lpwstr>Ing. Alexander Ballek</vt:lpwstr>
  </property>
  <property fmtid="{D5CDD505-2E9C-101B-9397-08002B2CF9AE}" pid="13" name="FSC#SKEDITIONSLOVLEX@103.510:dalsipredkladatel">
    <vt:lpwstr/>
  </property>
  <property fmtid="{D5CDD505-2E9C-101B-9397-08002B2CF9AE}" pid="14" name="FSC#SKEDITIONSLOVLEX@103.510:nazovpredpis">
    <vt:lpwstr> o sčítaní obyvateľov, domov a bytov v roku 2021 a ktorým sa mení zákon č. 595/2003 Z. z. o dani z príjmov v znení neskorších predpisov a ktorým sa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Štatistický úrad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2019_x000d_
Uznesenie vlády Slovenskej republiky č. 587 z 13. decembra 2017 k návrhu Legislatívneho zámeru zákona o sčítaní obyvateľov, domov a bytov v roku 2021</vt:lpwstr>
  </property>
  <property fmtid="{D5CDD505-2E9C-101B-9397-08002B2CF9AE}" pid="23" name="FSC#SKEDITIONSLOVLEX@103.510:plnynazovpredpis">
    <vt:lpwstr> Zákon o sčítaní obyvateľov, domov a bytov v roku 2021 a ktorým sa mení zákon č. 595/2003 Z. z. o dani z príjmov v znení neskorších predpisov a ktorým sa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10001-0029/2019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LP/2019/139</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159 a 175 Zmluvy o fungovaní Európskej únie.</vt:lpwstr>
  </property>
  <property fmtid="{D5CDD505-2E9C-101B-9397-08002B2CF9AE}" pid="47" name="FSC#SKEDITIONSLOVLEX@103.510:AttrStrListDocPropSekundarneLegPravoPO">
    <vt:lpwstr>-	nariadenie Európskeho parlamentu a Rady (ES) č. 763/2008 z 9. júla 2008 o sčítaní obyvateľov, domov a bytov (Ú. v. EÚ L 218, 13.8.2008), gestori: ŠÚ SR, MF SR, MV SR, MŽP SR, ÚGKK SR, -	nariadenie Európskeho parlamentu a Rady (EÚ) č. 1260/2013 z 20. nov</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upravený v judikatúre Súdneho dvora Európskej únie</vt:lpwstr>
  </property>
  <property fmtid="{D5CDD505-2E9C-101B-9397-08002B2CF9AE}" pid="52" name="FSC#SKEDITIONSLOVLEX@103.510:AttrStrListDocPropLehotaPrebratieSmernice">
    <vt:lpwstr>Bezpredmetné vzhľadom na druh právnych aktov Európskej únie.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konanie v rámci „EÚ Pilot“, nebol začatý postup EK ani nebolo začaté konanie Súdneho dvora EÚ proti SR podľa čl. 258 až 260 Zmluvy o fungovaní Európskej únie.</vt:lpwstr>
  </property>
  <property fmtid="{D5CDD505-2E9C-101B-9397-08002B2CF9AE}" pid="55" name="FSC#SKEDITIONSLOVLEX@103.510:AttrStrListDocPropInfoUzPreberanePP">
    <vt:lpwstr>Bezpredmetné. Nariadenia a vykonávacie nariadenia sú záväzné v celom rozsahu a priamo uplatniteľné vo všetkých členských štátoch.</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5. 2. 2019</vt:lpwstr>
  </property>
  <property fmtid="{D5CDD505-2E9C-101B-9397-08002B2CF9AE}" pid="59" name="FSC#SKEDITIONSLOVLEX@103.510:AttrDateDocPropUkonceniePKK">
    <vt:lpwstr>19. 2. 2019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Vzhľadom na skutočnosť, že nesplnenie povinností súvisiacich so sčítaním bude sankcionované v&amp;nbsp;záujme dosiahnutia cieľov sčítania, predpokladá sa pozitívny vplyv na rozpočet verejnej správy. Uviesť odhad navýšenia príjmov za vybrané pokuty však v súča</vt:lpwstr>
  </property>
  <property fmtid="{D5CDD505-2E9C-101B-9397-08002B2CF9AE}" pid="66" name="FSC#SKEDITIONSLOVLEX@103.510:AttrStrListDocPropAltRiesenia">
    <vt:lpwstr>Úrad v rámci prípravy konceptu sčítania v roku 2021 zvažoval viaceré spôsoby jeho vykonania. Rozhodnutie nepokračovať v realizácii tradičných sčítaní v SR (zber všetkých údajov priamo od obyvateľov) ovplyvnila najmä vysoká administratívna záťaž respondent</vt:lpwstr>
  </property>
  <property fmtid="{D5CDD505-2E9C-101B-9397-08002B2CF9AE}" pid="67" name="FSC#SKEDITIONSLOVLEX@103.510:AttrStrListDocPropStanoviskoGest">
    <vt:lpwstr>&lt;p&gt;Uveďte stanovisko Komisie pre posudzovanie vybraných vplyvov, ktoré Vám bolo zaslané v&amp;nbsp;rámci predbežného pripomienkového konania&lt;/p&gt;&lt;p&gt;Komisia pre posudzovanie vybraných vplyvov vydala nasledujúce stanovisko k materiálu návrhu zákona o&amp;nbsp;sčítan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podpredseda vlády a minister financií_x000d_
predseda Štatistického úradu SR_x000d_
splnomocnenec vlády SR pre rómske komunity</vt:lpwstr>
  </property>
  <property fmtid="{D5CDD505-2E9C-101B-9397-08002B2CF9AE}" pid="137" name="FSC#SKEDITIONSLOVLEX@103.510:AttrStrListDocPropUznesenieNaVedomie">
    <vt:lpwstr>predseda Národnej rady SR</vt:lpwstr>
  </property>
  <property fmtid="{D5CDD505-2E9C-101B-9397-08002B2CF9AE}" pid="138" name="FSC#SKEDITIONSLOVLEX@103.510:funkciaPred">
    <vt:lpwstr>legislatívec</vt:lpwstr>
  </property>
  <property fmtid="{D5CDD505-2E9C-101B-9397-08002B2CF9AE}" pid="139" name="FSC#SKEDITIONSLOVLEX@103.510:funkciaPredAkuzativ">
    <vt:lpwstr>legislatívca</vt:lpwstr>
  </property>
  <property fmtid="{D5CDD505-2E9C-101B-9397-08002B2CF9AE}" pid="140" name="FSC#SKEDITIONSLOVLEX@103.510:funkciaPredDativ">
    <vt:lpwstr>legislatívcovi</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Alexander Ballek_x000d_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&lt;p&gt;Štatistický úrad Slovenskej republiky (ďalej len „štatistický úrad“) predkladá návrh zákona o&amp;nbsp;sčítaní obyvateľov, domov a&amp;nbsp;bytov v&amp;nbsp;roku 2021 (ďalej len „návrh zákona“). Návrh zákona sa predkladá na rokovanie na základe uznesenia vlády Slo</vt:lpwstr>
  </property>
  <property fmtid="{D5CDD505-2E9C-101B-9397-08002B2CF9AE}" pid="150" name="FSC#SKEDITIONSLOVLEX@103.510:vytvorenedna">
    <vt:lpwstr>9. 4. 2019</vt:lpwstr>
  </property>
  <property fmtid="{D5CDD505-2E9C-101B-9397-08002B2CF9AE}" pid="151" name="FSC#COOSYSTEM@1.1:Container">
    <vt:lpwstr>COO.2145.1000.3.3296112</vt:lpwstr>
  </property>
  <property fmtid="{D5CDD505-2E9C-101B-9397-08002B2CF9AE}" pid="152" name="FSC#FSCFOLIO@1.1001:docpropproject">
    <vt:lpwstr/>
  </property>
</Properties>
</file>