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7E6B87" w:rsidRDefault="00B326AA">
      <w:pPr>
        <w:jc w:val="center"/>
        <w:rPr>
          <w:b/>
          <w:caps/>
          <w:spacing w:val="30"/>
          <w:sz w:val="23"/>
          <w:szCs w:val="23"/>
        </w:rPr>
      </w:pPr>
      <w:bookmarkStart w:id="0" w:name="_GoBack"/>
      <w:bookmarkEnd w:id="0"/>
      <w:r w:rsidRPr="007E6B87">
        <w:rPr>
          <w:b/>
          <w:caps/>
          <w:spacing w:val="30"/>
          <w:sz w:val="23"/>
          <w:szCs w:val="23"/>
        </w:rPr>
        <w:t>Doložka zlučiteľnosti</w:t>
      </w:r>
    </w:p>
    <w:p w:rsidR="001F0AA3" w:rsidRPr="007E6B87" w:rsidRDefault="00C12975" w:rsidP="00DC377E">
      <w:pPr>
        <w:jc w:val="center"/>
        <w:rPr>
          <w:b/>
          <w:sz w:val="23"/>
          <w:szCs w:val="23"/>
        </w:rPr>
      </w:pPr>
      <w:r w:rsidRPr="007E6B87">
        <w:rPr>
          <w:b/>
          <w:sz w:val="23"/>
          <w:szCs w:val="23"/>
        </w:rPr>
        <w:t xml:space="preserve">návrhu </w:t>
      </w:r>
      <w:r w:rsidR="00E70215">
        <w:rPr>
          <w:b/>
          <w:sz w:val="23"/>
          <w:szCs w:val="23"/>
        </w:rPr>
        <w:t>zákona</w:t>
      </w:r>
      <w:r w:rsidR="00DC377E" w:rsidRPr="007E6B87">
        <w:rPr>
          <w:b/>
          <w:sz w:val="23"/>
          <w:szCs w:val="23"/>
        </w:rPr>
        <w:t xml:space="preserve"> s právom Európskej únie</w:t>
      </w:r>
    </w:p>
    <w:p w:rsidR="001E22B5" w:rsidRPr="007E6B87" w:rsidRDefault="001E22B5" w:rsidP="00EF7E02">
      <w:pPr>
        <w:ind w:left="425"/>
        <w:jc w:val="center"/>
        <w:rPr>
          <w:b/>
          <w:sz w:val="23"/>
          <w:szCs w:val="23"/>
        </w:rPr>
      </w:pPr>
    </w:p>
    <w:p w:rsidR="00EF7E02" w:rsidRPr="007E6B87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>Navrhova</w:t>
      </w:r>
      <w:r w:rsidR="00EF7E02" w:rsidRPr="007E6B87">
        <w:rPr>
          <w:b/>
          <w:bCs/>
          <w:sz w:val="23"/>
          <w:szCs w:val="23"/>
        </w:rPr>
        <w:t xml:space="preserve">teľ </w:t>
      </w:r>
      <w:r w:rsidR="00A029EA" w:rsidRPr="007E6B87">
        <w:rPr>
          <w:b/>
          <w:bCs/>
          <w:sz w:val="23"/>
          <w:szCs w:val="23"/>
        </w:rPr>
        <w:t>zákona</w:t>
      </w:r>
      <w:r w:rsidR="00EF7E02" w:rsidRPr="007E6B87">
        <w:rPr>
          <w:b/>
          <w:bCs/>
          <w:sz w:val="23"/>
          <w:szCs w:val="23"/>
        </w:rPr>
        <w:t>:</w:t>
      </w:r>
      <w:r w:rsidR="00EF7E02" w:rsidRPr="007E6B87">
        <w:rPr>
          <w:sz w:val="23"/>
          <w:szCs w:val="23"/>
        </w:rPr>
        <w:t xml:space="preserve"> </w:t>
      </w:r>
      <w:r w:rsidR="00C71160">
        <w:rPr>
          <w:sz w:val="23"/>
          <w:szCs w:val="23"/>
        </w:rPr>
        <w:t>vláda</w:t>
      </w:r>
      <w:r w:rsidR="00587BE5" w:rsidRPr="007E6B87">
        <w:rPr>
          <w:sz w:val="23"/>
          <w:szCs w:val="23"/>
        </w:rPr>
        <w:t xml:space="preserve"> Slovenskej republiky</w:t>
      </w:r>
    </w:p>
    <w:p w:rsidR="00EF7E02" w:rsidRPr="007E6B87" w:rsidRDefault="00EF7E02" w:rsidP="00EF7E02">
      <w:pPr>
        <w:jc w:val="both"/>
        <w:rPr>
          <w:bCs/>
          <w:sz w:val="23"/>
          <w:szCs w:val="23"/>
        </w:rPr>
      </w:pPr>
    </w:p>
    <w:p w:rsidR="00EF7E02" w:rsidRPr="007E6B87" w:rsidRDefault="00EF7E02" w:rsidP="00587B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Názov návrhu </w:t>
      </w:r>
      <w:r w:rsidR="00A029EA" w:rsidRPr="007E6B87">
        <w:rPr>
          <w:b/>
          <w:bCs/>
          <w:sz w:val="23"/>
          <w:szCs w:val="23"/>
        </w:rPr>
        <w:t>zákona</w:t>
      </w:r>
      <w:r w:rsidRPr="007E6B87">
        <w:rPr>
          <w:b/>
          <w:bCs/>
          <w:sz w:val="23"/>
          <w:szCs w:val="23"/>
        </w:rPr>
        <w:t xml:space="preserve">: </w:t>
      </w:r>
      <w:r w:rsidR="00C71160" w:rsidRPr="00C71160">
        <w:rPr>
          <w:bCs/>
          <w:sz w:val="23"/>
          <w:szCs w:val="23"/>
        </w:rPr>
        <w:t xml:space="preserve">vládny </w:t>
      </w:r>
      <w:r w:rsidR="00F41028" w:rsidRPr="00F41028">
        <w:rPr>
          <w:bCs/>
          <w:sz w:val="23"/>
          <w:szCs w:val="23"/>
        </w:rPr>
        <w:t>n</w:t>
      </w:r>
      <w:r w:rsidR="00BA351C" w:rsidRPr="007E6B87">
        <w:rPr>
          <w:sz w:val="23"/>
          <w:szCs w:val="23"/>
        </w:rPr>
        <w:t xml:space="preserve">ávrh zákona, ktorým sa mení </w:t>
      </w:r>
      <w:r w:rsidR="00A029EA" w:rsidRPr="007E6B87">
        <w:rPr>
          <w:sz w:val="23"/>
          <w:szCs w:val="23"/>
        </w:rPr>
        <w:t xml:space="preserve">a </w:t>
      </w:r>
      <w:r w:rsidR="00BA351C" w:rsidRPr="007E6B87">
        <w:rPr>
          <w:sz w:val="23"/>
          <w:szCs w:val="23"/>
        </w:rPr>
        <w:t>dopĺňa zákon č. 592/2006 Z. z. o poskytovaní vianočného príspevku niektorým poberateľom dôchodku a o doplnení niektorých zákon</w:t>
      </w:r>
      <w:r w:rsidR="00C377CF">
        <w:rPr>
          <w:sz w:val="23"/>
          <w:szCs w:val="23"/>
        </w:rPr>
        <w:t>ov v znení neskorších predpisov</w:t>
      </w:r>
    </w:p>
    <w:p w:rsidR="00EF7E02" w:rsidRPr="007E6B87" w:rsidRDefault="00EF7E02" w:rsidP="00EF7E02">
      <w:pPr>
        <w:jc w:val="both"/>
        <w:rPr>
          <w:sz w:val="23"/>
          <w:szCs w:val="23"/>
        </w:rPr>
      </w:pPr>
    </w:p>
    <w:p w:rsidR="00EF7E02" w:rsidRPr="007E6B87" w:rsidRDefault="004306CC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Pr</w:t>
      </w:r>
      <w:r w:rsidR="00B0680D" w:rsidRPr="007E6B87">
        <w:rPr>
          <w:b/>
          <w:bCs/>
          <w:sz w:val="23"/>
          <w:szCs w:val="23"/>
        </w:rPr>
        <w:t xml:space="preserve">edmet návrhu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="00B0680D" w:rsidRPr="007E6B87">
        <w:rPr>
          <w:b/>
          <w:bCs/>
          <w:sz w:val="23"/>
          <w:szCs w:val="23"/>
        </w:rPr>
        <w:t>je upravený v práve Európskej únie</w:t>
      </w:r>
      <w:r w:rsidRPr="007E6B87">
        <w:rPr>
          <w:b/>
          <w:bCs/>
          <w:sz w:val="23"/>
          <w:szCs w:val="23"/>
        </w:rPr>
        <w:t>:</w:t>
      </w:r>
    </w:p>
    <w:p w:rsidR="00EB2A4A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v primárnom práve</w:t>
      </w:r>
      <w:r w:rsidR="00EB2A4A" w:rsidRPr="007E6B87">
        <w:rPr>
          <w:sz w:val="23"/>
          <w:szCs w:val="23"/>
        </w:rPr>
        <w:t xml:space="preserve"> (uviesť názov zmluvy a číslo článku)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F7E02" w:rsidRPr="007E6B87" w:rsidRDefault="00FF7258" w:rsidP="00EB2A4A">
      <w:pPr>
        <w:pStyle w:val="Zkladntext"/>
        <w:spacing w:after="0"/>
        <w:ind w:left="850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č</w:t>
      </w:r>
      <w:r w:rsidR="00BA351C" w:rsidRPr="007E6B87">
        <w:rPr>
          <w:i/>
          <w:sz w:val="23"/>
          <w:szCs w:val="23"/>
        </w:rPr>
        <w:t xml:space="preserve">l. 151 a 153 Zmluvy o fungovaní Európskej únie, </w:t>
      </w:r>
      <w:r w:rsidR="00B0680D" w:rsidRPr="007E6B87">
        <w:rPr>
          <w:i/>
          <w:sz w:val="23"/>
          <w:szCs w:val="23"/>
        </w:rPr>
        <w:t>(Konsolidované znenie)</w:t>
      </w:r>
      <w:r w:rsidR="00BA351C" w:rsidRPr="007E6B87">
        <w:rPr>
          <w:i/>
          <w:sz w:val="23"/>
          <w:szCs w:val="23"/>
        </w:rPr>
        <w:t>,</w:t>
      </w:r>
      <w:r w:rsidR="00B0680D" w:rsidRPr="007E6B87">
        <w:rPr>
          <w:i/>
          <w:sz w:val="23"/>
          <w:szCs w:val="23"/>
        </w:rPr>
        <w:t xml:space="preserve"> 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EB2A4A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v sekundárnom práve</w:t>
      </w:r>
      <w:r w:rsidR="00EB2A4A" w:rsidRPr="007E6B87">
        <w:rPr>
          <w:sz w:val="23"/>
          <w:szCs w:val="23"/>
        </w:rPr>
        <w:t xml:space="preserve"> (uviesť druh, inštitúciu, číslo, názov a dátum vydania právneho aktu vzťahujúceho sa na upravovanú problematiku, vrátane jeho gestora)</w:t>
      </w:r>
      <w:r w:rsidRPr="007E6B87">
        <w:rPr>
          <w:sz w:val="23"/>
          <w:szCs w:val="23"/>
        </w:rPr>
        <w:t xml:space="preserve"> </w:t>
      </w:r>
    </w:p>
    <w:p w:rsidR="00EB2A4A" w:rsidRPr="007E6B87" w:rsidRDefault="00EB2A4A" w:rsidP="00EB2A4A">
      <w:pPr>
        <w:pStyle w:val="Zkladntext"/>
        <w:spacing w:after="0"/>
        <w:ind w:left="850"/>
        <w:rPr>
          <w:sz w:val="23"/>
          <w:szCs w:val="23"/>
        </w:rPr>
      </w:pPr>
    </w:p>
    <w:p w:rsidR="0084357F" w:rsidRPr="007E6B87" w:rsidRDefault="00BA351C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nie je upravená</w:t>
      </w:r>
      <w:r w:rsidR="00B0680D" w:rsidRPr="007E6B87">
        <w:rPr>
          <w:i/>
          <w:sz w:val="23"/>
          <w:szCs w:val="23"/>
        </w:rPr>
        <w:t>,</w:t>
      </w:r>
    </w:p>
    <w:p w:rsidR="0084357F" w:rsidRPr="007E6B87" w:rsidRDefault="0084357F" w:rsidP="00EB2A4A">
      <w:pPr>
        <w:pStyle w:val="Zkladntext"/>
        <w:spacing w:after="0"/>
        <w:ind w:left="850"/>
        <w:jc w:val="both"/>
        <w:rPr>
          <w:i/>
          <w:sz w:val="23"/>
          <w:szCs w:val="23"/>
        </w:rPr>
      </w:pPr>
    </w:p>
    <w:p w:rsidR="00B0680D" w:rsidRPr="007E6B87" w:rsidRDefault="00B0680D" w:rsidP="00EB2A4A">
      <w:pPr>
        <w:pStyle w:val="Zkladntext"/>
        <w:numPr>
          <w:ilvl w:val="1"/>
          <w:numId w:val="8"/>
        </w:numPr>
        <w:spacing w:after="0"/>
        <w:rPr>
          <w:sz w:val="23"/>
          <w:szCs w:val="23"/>
        </w:rPr>
      </w:pPr>
      <w:r w:rsidRPr="007E6B87">
        <w:rPr>
          <w:sz w:val="23"/>
          <w:szCs w:val="23"/>
        </w:rPr>
        <w:t>judikatúre Súdneho dvora Európskej únie: nie je upravená</w:t>
      </w:r>
      <w:r w:rsidR="00EB2A4A" w:rsidRPr="007E6B87">
        <w:rPr>
          <w:sz w:val="23"/>
          <w:szCs w:val="23"/>
        </w:rPr>
        <w:t xml:space="preserve"> (uviesť číslo a označenie relevantného rozhodnutia a stručne jeho výrok alebo relevantné právne vety)</w:t>
      </w:r>
    </w:p>
    <w:p w:rsidR="00666BFE" w:rsidRPr="007E6B87" w:rsidRDefault="00666BFE" w:rsidP="00EF7E02">
      <w:pPr>
        <w:ind w:left="896"/>
        <w:jc w:val="both"/>
        <w:rPr>
          <w:sz w:val="23"/>
          <w:szCs w:val="23"/>
        </w:rPr>
      </w:pPr>
    </w:p>
    <w:p w:rsidR="001357E2" w:rsidRPr="007E6B87" w:rsidRDefault="00BA351C" w:rsidP="00EF7E02">
      <w:pPr>
        <w:ind w:left="896"/>
        <w:jc w:val="both"/>
        <w:rPr>
          <w:i/>
          <w:sz w:val="23"/>
          <w:szCs w:val="23"/>
        </w:rPr>
      </w:pPr>
      <w:r w:rsidRPr="007E6B87">
        <w:rPr>
          <w:i/>
          <w:sz w:val="23"/>
          <w:szCs w:val="23"/>
        </w:rPr>
        <w:t>rozsudok ESD C-361/13 Európska komisia proti Slovenskej republike (žaloba bola zamietnutá)</w:t>
      </w:r>
      <w:r w:rsidR="00EB2A4A" w:rsidRPr="007E6B87">
        <w:rPr>
          <w:i/>
          <w:sz w:val="23"/>
          <w:szCs w:val="23"/>
        </w:rPr>
        <w:t>.</w:t>
      </w:r>
    </w:p>
    <w:p w:rsidR="004306CC" w:rsidRPr="007E6B87" w:rsidRDefault="004306CC" w:rsidP="00EF7E02">
      <w:pPr>
        <w:ind w:left="896"/>
        <w:jc w:val="both"/>
        <w:rPr>
          <w:sz w:val="23"/>
          <w:szCs w:val="23"/>
        </w:rPr>
      </w:pPr>
    </w:p>
    <w:p w:rsidR="00EF7E02" w:rsidRPr="007E6B87" w:rsidRDefault="00EF7E02" w:rsidP="00EF7E02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>Záväzky Slovenskej republiky vo vzťahu k Európskej únii:</w:t>
      </w:r>
    </w:p>
    <w:p w:rsidR="00EF7E02" w:rsidRPr="007E6B87" w:rsidRDefault="00EF7E02" w:rsidP="00EF7E02">
      <w:pPr>
        <w:tabs>
          <w:tab w:val="left" w:pos="340"/>
        </w:tabs>
        <w:ind w:left="425"/>
        <w:jc w:val="both"/>
        <w:rPr>
          <w:b/>
          <w:bCs/>
          <w:sz w:val="23"/>
          <w:szCs w:val="23"/>
        </w:rPr>
      </w:pPr>
    </w:p>
    <w:p w:rsidR="00EF7E02" w:rsidRPr="007E6B87" w:rsidRDefault="00EF7E0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L</w:t>
      </w:r>
      <w:r w:rsidR="001357E2" w:rsidRPr="007E6B87">
        <w:rPr>
          <w:bCs/>
          <w:sz w:val="23"/>
          <w:szCs w:val="23"/>
        </w:rPr>
        <w:t>ehota na prebranie príslušného právneho aktu Európskej únie, príp. aj osobitná lehota účinnosti jeho ustanovení</w:t>
      </w:r>
      <w:r w:rsidRPr="007E6B87">
        <w:rPr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84357F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bezpredmetné,</w:t>
      </w:r>
    </w:p>
    <w:p w:rsidR="00D0004A" w:rsidRPr="007E6B87" w:rsidRDefault="00D0004A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1357E2" w:rsidP="001357E2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sz w:val="23"/>
          <w:szCs w:val="23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1013A" w:rsidRPr="007E6B87" w:rsidRDefault="00A006F0" w:rsidP="00EF7E02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</w:t>
      </w:r>
      <w:r>
        <w:rPr>
          <w:i/>
          <w:sz w:val="23"/>
          <w:szCs w:val="23"/>
        </w:rPr>
        <w:t>,</w:t>
      </w:r>
    </w:p>
    <w:p w:rsidR="0084357F" w:rsidRPr="007E6B87" w:rsidRDefault="0084357F" w:rsidP="00EF7E02">
      <w:pPr>
        <w:pStyle w:val="Zkladntext"/>
        <w:tabs>
          <w:tab w:val="left" w:pos="360"/>
        </w:tabs>
        <w:spacing w:after="0"/>
        <w:ind w:left="850"/>
        <w:jc w:val="both"/>
        <w:rPr>
          <w:sz w:val="23"/>
          <w:szCs w:val="23"/>
        </w:rPr>
      </w:pPr>
    </w:p>
    <w:p w:rsidR="00EF7E02" w:rsidRPr="007E6B87" w:rsidRDefault="00EF7E02" w:rsidP="00426895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 w:val="23"/>
          <w:szCs w:val="23"/>
        </w:rPr>
      </w:pPr>
      <w:r w:rsidRPr="007E6B87">
        <w:rPr>
          <w:bCs/>
          <w:sz w:val="23"/>
          <w:szCs w:val="23"/>
        </w:rPr>
        <w:t>I</w:t>
      </w:r>
      <w:r w:rsidR="00426895" w:rsidRPr="007E6B87">
        <w:rPr>
          <w:bCs/>
          <w:sz w:val="23"/>
          <w:szCs w:val="23"/>
        </w:rPr>
        <w:t xml:space="preserve">nformácia o právnych predpisoch, v ktorých sú uvádzané právne akty Európskej únie už prebrané, spolu s uvedením rozsahu ich prebrania, príp. potreby prijatia ďalších úprav </w:t>
      </w:r>
      <w:r w:rsidRPr="007E6B87">
        <w:rPr>
          <w:bCs/>
          <w:sz w:val="23"/>
          <w:szCs w:val="23"/>
        </w:rPr>
        <w:t xml:space="preserve"> 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ind w:left="850"/>
        <w:jc w:val="both"/>
        <w:rPr>
          <w:bCs/>
          <w:sz w:val="23"/>
          <w:szCs w:val="23"/>
        </w:rPr>
      </w:pPr>
    </w:p>
    <w:p w:rsidR="00D0004A" w:rsidRPr="007E6B87" w:rsidRDefault="00A006F0" w:rsidP="00D0004A">
      <w:pPr>
        <w:pStyle w:val="Zkladntext"/>
        <w:tabs>
          <w:tab w:val="left" w:pos="360"/>
        </w:tabs>
        <w:spacing w:after="0"/>
        <w:ind w:left="85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b</w:t>
      </w:r>
      <w:r w:rsidR="00D0004A" w:rsidRPr="007E6B87">
        <w:rPr>
          <w:i/>
          <w:sz w:val="23"/>
          <w:szCs w:val="23"/>
        </w:rPr>
        <w:t>ezpredmetné.</w:t>
      </w:r>
    </w:p>
    <w:p w:rsidR="00EF7E02" w:rsidRPr="007E6B87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  <w:sz w:val="23"/>
          <w:szCs w:val="23"/>
        </w:rPr>
      </w:pPr>
    </w:p>
    <w:p w:rsidR="0084357F" w:rsidRPr="007E6B87" w:rsidRDefault="00426895" w:rsidP="00EF7E02">
      <w:pPr>
        <w:widowControl/>
        <w:numPr>
          <w:ilvl w:val="0"/>
          <w:numId w:val="8"/>
        </w:numPr>
        <w:autoSpaceDE/>
        <w:autoSpaceDN/>
        <w:adjustRightInd/>
        <w:jc w:val="both"/>
        <w:rPr>
          <w:bCs/>
          <w:sz w:val="23"/>
          <w:szCs w:val="23"/>
        </w:rPr>
      </w:pPr>
      <w:r w:rsidRPr="007E6B87">
        <w:rPr>
          <w:b/>
          <w:bCs/>
          <w:sz w:val="23"/>
          <w:szCs w:val="23"/>
        </w:rPr>
        <w:t xml:space="preserve">Návrh </w:t>
      </w:r>
      <w:r w:rsidR="00A029EA" w:rsidRPr="007E6B87">
        <w:rPr>
          <w:b/>
          <w:bCs/>
          <w:sz w:val="23"/>
          <w:szCs w:val="23"/>
        </w:rPr>
        <w:t xml:space="preserve">zákona </w:t>
      </w:r>
      <w:r w:rsidRPr="007E6B87">
        <w:rPr>
          <w:b/>
          <w:bCs/>
          <w:sz w:val="23"/>
          <w:szCs w:val="23"/>
        </w:rPr>
        <w:t xml:space="preserve">je zlučiteľný </w:t>
      </w:r>
      <w:r w:rsidR="00EF7E02" w:rsidRPr="007E6B87">
        <w:rPr>
          <w:b/>
          <w:bCs/>
          <w:sz w:val="23"/>
          <w:szCs w:val="23"/>
        </w:rPr>
        <w:t xml:space="preserve">s právom Európskej únie: </w:t>
      </w:r>
    </w:p>
    <w:p w:rsidR="0084357F" w:rsidRPr="007E6B87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  <w:sz w:val="23"/>
          <w:szCs w:val="23"/>
        </w:rPr>
      </w:pPr>
    </w:p>
    <w:p w:rsidR="00EF7E02" w:rsidRPr="00BD43E1" w:rsidRDefault="00C71160" w:rsidP="007E6B87">
      <w:pPr>
        <w:widowControl/>
        <w:autoSpaceDE/>
        <w:autoSpaceDN/>
        <w:adjustRightInd/>
        <w:ind w:left="851"/>
        <w:jc w:val="both"/>
      </w:pPr>
      <w:r>
        <w:rPr>
          <w:bCs/>
          <w:i/>
          <w:sz w:val="23"/>
          <w:szCs w:val="23"/>
        </w:rPr>
        <w:t>ú</w:t>
      </w:r>
      <w:r w:rsidR="00EF7E02" w:rsidRPr="007E6B87">
        <w:rPr>
          <w:bCs/>
          <w:i/>
          <w:sz w:val="23"/>
          <w:szCs w:val="23"/>
        </w:rPr>
        <w:t>pln</w:t>
      </w:r>
      <w:r w:rsidR="00426895" w:rsidRPr="007E6B87">
        <w:rPr>
          <w:bCs/>
          <w:i/>
          <w:sz w:val="23"/>
          <w:szCs w:val="23"/>
        </w:rPr>
        <w:t>e</w:t>
      </w:r>
      <w:r>
        <w:rPr>
          <w:bCs/>
          <w:i/>
          <w:sz w:val="23"/>
          <w:szCs w:val="23"/>
        </w:rPr>
        <w:t>.</w:t>
      </w:r>
      <w:r w:rsidR="00D97C69">
        <w:t xml:space="preserve"> </w:t>
      </w:r>
    </w:p>
    <w:sectPr w:rsidR="00EF7E02" w:rsidRPr="00BD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D9" w:rsidRDefault="005C28D9" w:rsidP="00BD43E1">
      <w:r>
        <w:separator/>
      </w:r>
    </w:p>
  </w:endnote>
  <w:endnote w:type="continuationSeparator" w:id="0">
    <w:p w:rsidR="005C28D9" w:rsidRDefault="005C28D9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D9" w:rsidRDefault="005C28D9" w:rsidP="00BD43E1">
      <w:r>
        <w:separator/>
      </w:r>
    </w:p>
  </w:footnote>
  <w:footnote w:type="continuationSeparator" w:id="0">
    <w:p w:rsidR="005C28D9" w:rsidRDefault="005C28D9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7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ShadeFormData/>
  <w:characterSpacingControl w:val="doNotCompress"/>
  <w:savePreviewPicture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37977"/>
    <w:rsid w:val="00054456"/>
    <w:rsid w:val="000B1A59"/>
    <w:rsid w:val="000C03E4"/>
    <w:rsid w:val="000C5887"/>
    <w:rsid w:val="000E0681"/>
    <w:rsid w:val="00113E98"/>
    <w:rsid w:val="00117A7E"/>
    <w:rsid w:val="001357E2"/>
    <w:rsid w:val="00142762"/>
    <w:rsid w:val="00155B35"/>
    <w:rsid w:val="00182BF7"/>
    <w:rsid w:val="001D60ED"/>
    <w:rsid w:val="001E22B5"/>
    <w:rsid w:val="001F0AA3"/>
    <w:rsid w:val="0020025E"/>
    <w:rsid w:val="002071DE"/>
    <w:rsid w:val="00211C71"/>
    <w:rsid w:val="0023485C"/>
    <w:rsid w:val="00240FDA"/>
    <w:rsid w:val="002445DC"/>
    <w:rsid w:val="00246C78"/>
    <w:rsid w:val="00271585"/>
    <w:rsid w:val="00276BB9"/>
    <w:rsid w:val="00285E47"/>
    <w:rsid w:val="002B14DD"/>
    <w:rsid w:val="002B4595"/>
    <w:rsid w:val="002B6DE4"/>
    <w:rsid w:val="002C08EE"/>
    <w:rsid w:val="002E435F"/>
    <w:rsid w:val="002E6AC0"/>
    <w:rsid w:val="002E791C"/>
    <w:rsid w:val="003215E6"/>
    <w:rsid w:val="00341EC3"/>
    <w:rsid w:val="00344702"/>
    <w:rsid w:val="0035400A"/>
    <w:rsid w:val="003718B0"/>
    <w:rsid w:val="003841E0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54FA"/>
    <w:rsid w:val="00435BB9"/>
    <w:rsid w:val="0044691D"/>
    <w:rsid w:val="00450D5C"/>
    <w:rsid w:val="00454837"/>
    <w:rsid w:val="0047240E"/>
    <w:rsid w:val="00482868"/>
    <w:rsid w:val="004A3CCB"/>
    <w:rsid w:val="004B021D"/>
    <w:rsid w:val="004B1E6E"/>
    <w:rsid w:val="004D2B1E"/>
    <w:rsid w:val="004E7F23"/>
    <w:rsid w:val="00507EDE"/>
    <w:rsid w:val="005104A3"/>
    <w:rsid w:val="00516D1E"/>
    <w:rsid w:val="005622BE"/>
    <w:rsid w:val="005658B5"/>
    <w:rsid w:val="00567CA2"/>
    <w:rsid w:val="00587BE5"/>
    <w:rsid w:val="00596545"/>
    <w:rsid w:val="005C28D9"/>
    <w:rsid w:val="005E6D46"/>
    <w:rsid w:val="00621CBC"/>
    <w:rsid w:val="00632C56"/>
    <w:rsid w:val="006341A1"/>
    <w:rsid w:val="0065501E"/>
    <w:rsid w:val="00660F2E"/>
    <w:rsid w:val="00666BFE"/>
    <w:rsid w:val="00686D1F"/>
    <w:rsid w:val="00695786"/>
    <w:rsid w:val="006B4937"/>
    <w:rsid w:val="006B6EA7"/>
    <w:rsid w:val="006B7FBC"/>
    <w:rsid w:val="006C0FA0"/>
    <w:rsid w:val="006E1D9C"/>
    <w:rsid w:val="006E2064"/>
    <w:rsid w:val="006F3E6F"/>
    <w:rsid w:val="00707A48"/>
    <w:rsid w:val="00723D18"/>
    <w:rsid w:val="0072772E"/>
    <w:rsid w:val="00733620"/>
    <w:rsid w:val="0075334B"/>
    <w:rsid w:val="00755D81"/>
    <w:rsid w:val="0076250F"/>
    <w:rsid w:val="0077683C"/>
    <w:rsid w:val="00785F65"/>
    <w:rsid w:val="007A7118"/>
    <w:rsid w:val="007D53DD"/>
    <w:rsid w:val="007D7422"/>
    <w:rsid w:val="007D7D7B"/>
    <w:rsid w:val="007E6612"/>
    <w:rsid w:val="007E6B87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5F3C"/>
    <w:rsid w:val="008570D4"/>
    <w:rsid w:val="008655C8"/>
    <w:rsid w:val="008703B8"/>
    <w:rsid w:val="00872B90"/>
    <w:rsid w:val="008979A9"/>
    <w:rsid w:val="008C23C0"/>
    <w:rsid w:val="008D1C9C"/>
    <w:rsid w:val="008E2891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C3C41"/>
    <w:rsid w:val="009C5B0D"/>
    <w:rsid w:val="009C63EB"/>
    <w:rsid w:val="009C6FE2"/>
    <w:rsid w:val="009E0371"/>
    <w:rsid w:val="009E504F"/>
    <w:rsid w:val="00A006F0"/>
    <w:rsid w:val="00A025FE"/>
    <w:rsid w:val="00A029EA"/>
    <w:rsid w:val="00A1469A"/>
    <w:rsid w:val="00A21745"/>
    <w:rsid w:val="00A263FB"/>
    <w:rsid w:val="00A60A2B"/>
    <w:rsid w:val="00A73284"/>
    <w:rsid w:val="00AB1DB9"/>
    <w:rsid w:val="00AB6F16"/>
    <w:rsid w:val="00AD1244"/>
    <w:rsid w:val="00AF544A"/>
    <w:rsid w:val="00B0680D"/>
    <w:rsid w:val="00B128CD"/>
    <w:rsid w:val="00B2011F"/>
    <w:rsid w:val="00B326AA"/>
    <w:rsid w:val="00B55DE7"/>
    <w:rsid w:val="00B56913"/>
    <w:rsid w:val="00B744D0"/>
    <w:rsid w:val="00B77262"/>
    <w:rsid w:val="00B84C26"/>
    <w:rsid w:val="00BA351C"/>
    <w:rsid w:val="00BB4538"/>
    <w:rsid w:val="00BD43E1"/>
    <w:rsid w:val="00C12975"/>
    <w:rsid w:val="00C14EA0"/>
    <w:rsid w:val="00C24A30"/>
    <w:rsid w:val="00C377CF"/>
    <w:rsid w:val="00C447A2"/>
    <w:rsid w:val="00C45BC3"/>
    <w:rsid w:val="00C544A3"/>
    <w:rsid w:val="00C65F88"/>
    <w:rsid w:val="00C71160"/>
    <w:rsid w:val="00C83404"/>
    <w:rsid w:val="00C850C2"/>
    <w:rsid w:val="00C90146"/>
    <w:rsid w:val="00C90471"/>
    <w:rsid w:val="00CA43BA"/>
    <w:rsid w:val="00CA5D08"/>
    <w:rsid w:val="00CB2297"/>
    <w:rsid w:val="00CC4CA2"/>
    <w:rsid w:val="00D0004A"/>
    <w:rsid w:val="00D03462"/>
    <w:rsid w:val="00D07920"/>
    <w:rsid w:val="00D14B99"/>
    <w:rsid w:val="00D3580A"/>
    <w:rsid w:val="00D465F6"/>
    <w:rsid w:val="00D5344B"/>
    <w:rsid w:val="00D7275F"/>
    <w:rsid w:val="00D75FDD"/>
    <w:rsid w:val="00D97C69"/>
    <w:rsid w:val="00DA4F85"/>
    <w:rsid w:val="00DB3DB1"/>
    <w:rsid w:val="00DC377E"/>
    <w:rsid w:val="00DC3BFE"/>
    <w:rsid w:val="00E01A11"/>
    <w:rsid w:val="00E034C0"/>
    <w:rsid w:val="00E1013A"/>
    <w:rsid w:val="00E70215"/>
    <w:rsid w:val="00E85F6B"/>
    <w:rsid w:val="00EB2A4A"/>
    <w:rsid w:val="00EB625F"/>
    <w:rsid w:val="00EC5BF8"/>
    <w:rsid w:val="00EF7E02"/>
    <w:rsid w:val="00F0081A"/>
    <w:rsid w:val="00F169A3"/>
    <w:rsid w:val="00F172C6"/>
    <w:rsid w:val="00F41028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F50085-6405-4831-AAFB-5C697B4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Duricova Elena</cp:lastModifiedBy>
  <cp:revision>2</cp:revision>
  <cp:lastPrinted>2019-03-27T08:25:00Z</cp:lastPrinted>
  <dcterms:created xsi:type="dcterms:W3CDTF">2019-04-23T11:52:00Z</dcterms:created>
  <dcterms:modified xsi:type="dcterms:W3CDTF">2019-04-23T11:52:00Z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