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C43CD" w14:textId="77777777" w:rsidR="003501A1" w:rsidRPr="00A179AE" w:rsidRDefault="003501A1" w:rsidP="003501A1">
      <w:pPr>
        <w:jc w:val="center"/>
        <w:rPr>
          <w:b/>
          <w:bCs/>
          <w:sz w:val="28"/>
          <w:szCs w:val="28"/>
        </w:rPr>
      </w:pPr>
      <w:bookmarkStart w:id="0" w:name="_GoBack"/>
      <w:bookmarkEnd w:id="0"/>
      <w:r>
        <w:rPr>
          <w:b/>
          <w:bCs/>
          <w:sz w:val="28"/>
          <w:szCs w:val="28"/>
        </w:rPr>
        <w:t>Doložka vybraných vplyvov</w:t>
      </w:r>
    </w:p>
    <w:p w14:paraId="6C41E6E9" w14:textId="77777777" w:rsidR="003501A1" w:rsidRPr="00BF3078" w:rsidRDefault="003501A1" w:rsidP="003501A1">
      <w:pPr>
        <w:pStyle w:val="Odsekzoznamu"/>
        <w:ind w:left="426"/>
        <w:rPr>
          <w:b/>
        </w:rPr>
      </w:pPr>
    </w:p>
    <w:tbl>
      <w:tblPr>
        <w:tblStyle w:val="Mriekatabuky"/>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3501A1" w:rsidRPr="00A179AE" w14:paraId="58B79055" w14:textId="77777777" w:rsidTr="003501A1">
        <w:tc>
          <w:tcPr>
            <w:tcW w:w="9180" w:type="dxa"/>
            <w:gridSpan w:val="10"/>
            <w:tcBorders>
              <w:bottom w:val="single" w:sz="4" w:space="0" w:color="FFFFFF" w:themeColor="background1"/>
            </w:tcBorders>
            <w:shd w:val="clear" w:color="auto" w:fill="E2E2E2"/>
          </w:tcPr>
          <w:p w14:paraId="374477E0" w14:textId="77777777"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Základné údaje</w:t>
            </w:r>
          </w:p>
        </w:tc>
      </w:tr>
      <w:tr w:rsidR="003501A1" w:rsidRPr="00A179AE" w14:paraId="6174E0FB" w14:textId="77777777" w:rsidTr="003501A1">
        <w:tc>
          <w:tcPr>
            <w:tcW w:w="9180" w:type="dxa"/>
            <w:gridSpan w:val="10"/>
            <w:tcBorders>
              <w:bottom w:val="single" w:sz="4" w:space="0" w:color="FFFFFF" w:themeColor="background1"/>
            </w:tcBorders>
            <w:shd w:val="clear" w:color="auto" w:fill="E2E2E2"/>
          </w:tcPr>
          <w:p w14:paraId="1529036B" w14:textId="77777777" w:rsidR="003501A1" w:rsidRPr="00A179AE" w:rsidRDefault="003501A1" w:rsidP="007B71A4">
            <w:pPr>
              <w:pStyle w:val="Odsekzoznamu"/>
              <w:ind w:left="142"/>
              <w:rPr>
                <w:rFonts w:ascii="Times New Roman" w:hAnsi="Times New Roman" w:cs="Times New Roman"/>
                <w:b/>
              </w:rPr>
            </w:pPr>
            <w:r w:rsidRPr="00A179AE">
              <w:rPr>
                <w:rFonts w:ascii="Times New Roman" w:hAnsi="Times New Roman" w:cs="Times New Roman"/>
                <w:b/>
              </w:rPr>
              <w:t>Názov materiálu</w:t>
            </w:r>
          </w:p>
        </w:tc>
      </w:tr>
      <w:tr w:rsidR="003501A1" w:rsidRPr="00A179AE" w14:paraId="6D0D7ADA" w14:textId="77777777" w:rsidTr="003501A1">
        <w:tc>
          <w:tcPr>
            <w:tcW w:w="9180" w:type="dxa"/>
            <w:gridSpan w:val="10"/>
            <w:tcBorders>
              <w:top w:val="single" w:sz="4" w:space="0" w:color="FFFFFF" w:themeColor="background1"/>
              <w:bottom w:val="single" w:sz="4" w:space="0" w:color="auto"/>
            </w:tcBorders>
          </w:tcPr>
          <w:p w14:paraId="5BE7F777" w14:textId="2A7775E4" w:rsidR="003501A1" w:rsidRPr="00A179AE" w:rsidRDefault="009C70AE" w:rsidP="009C70AE">
            <w:pPr>
              <w:jc w:val="both"/>
            </w:pPr>
            <w:r>
              <w:t>Vládny n</w:t>
            </w:r>
            <w:r w:rsidR="00CF6197" w:rsidRPr="00CF6197">
              <w:t>ávrh zákona</w:t>
            </w:r>
            <w:r w:rsidR="00D76598" w:rsidRPr="00CF6197">
              <w:t>, ktorým</w:t>
            </w:r>
            <w:r w:rsidR="00D76598" w:rsidRPr="00D76598">
              <w:t xml:space="preserve"> sa</w:t>
            </w:r>
            <w:r w:rsidR="00CF6197">
              <w:t xml:space="preserve"> mení a </w:t>
            </w:r>
            <w:r w:rsidR="00D76598" w:rsidRPr="00D76598">
              <w:t xml:space="preserve">dopĺňa zákon č. 592/2006 Z. z. o poskytovaní vianočného príspevku niektorým poberateľom dôchodku a o doplnení niektorých zákonov v znení neskorších predpisov </w:t>
            </w:r>
          </w:p>
        </w:tc>
      </w:tr>
      <w:tr w:rsidR="003501A1" w:rsidRPr="00A179AE" w14:paraId="57B6C6AA" w14:textId="77777777" w:rsidTr="003501A1">
        <w:tc>
          <w:tcPr>
            <w:tcW w:w="9180" w:type="dxa"/>
            <w:gridSpan w:val="10"/>
            <w:tcBorders>
              <w:top w:val="single" w:sz="4" w:space="0" w:color="auto"/>
              <w:left w:val="single" w:sz="4" w:space="0" w:color="auto"/>
              <w:bottom w:val="single" w:sz="4" w:space="0" w:color="FFFFFF" w:themeColor="background1"/>
            </w:tcBorders>
            <w:shd w:val="clear" w:color="auto" w:fill="E2E2E2"/>
          </w:tcPr>
          <w:p w14:paraId="392EE93E" w14:textId="77777777" w:rsidR="003501A1" w:rsidRPr="00A179AE" w:rsidRDefault="003501A1" w:rsidP="007B71A4">
            <w:pPr>
              <w:pStyle w:val="Odsekzoznamu"/>
              <w:ind w:left="142"/>
              <w:rPr>
                <w:rFonts w:ascii="Times New Roman" w:hAnsi="Times New Roman" w:cs="Times New Roman"/>
                <w:b/>
              </w:rPr>
            </w:pPr>
            <w:r w:rsidRPr="00A179AE">
              <w:rPr>
                <w:rFonts w:ascii="Times New Roman" w:hAnsi="Times New Roman" w:cs="Times New Roman"/>
                <w:b/>
              </w:rPr>
              <w:t>Predkladateľ (a spolupredkladateľ)</w:t>
            </w:r>
          </w:p>
        </w:tc>
      </w:tr>
      <w:tr w:rsidR="003501A1" w:rsidRPr="00A179AE" w14:paraId="36FB8B1E" w14:textId="77777777" w:rsidTr="003501A1">
        <w:tc>
          <w:tcPr>
            <w:tcW w:w="9180" w:type="dxa"/>
            <w:gridSpan w:val="10"/>
            <w:tcBorders>
              <w:top w:val="single" w:sz="4" w:space="0" w:color="FFFFFF" w:themeColor="background1"/>
              <w:left w:val="single" w:sz="4" w:space="0" w:color="auto"/>
              <w:bottom w:val="single" w:sz="4" w:space="0" w:color="auto"/>
            </w:tcBorders>
            <w:shd w:val="clear" w:color="auto" w:fill="FFFFFF" w:themeFill="background1"/>
          </w:tcPr>
          <w:p w14:paraId="19F04B1E" w14:textId="77777777" w:rsidR="003501A1" w:rsidRPr="00A179AE" w:rsidRDefault="004865AB" w:rsidP="007B71A4">
            <w:r w:rsidRPr="00CF6197">
              <w:t>m</w:t>
            </w:r>
            <w:r w:rsidR="00A94590" w:rsidRPr="00CF6197">
              <w:t>inister práce, sociálnych vecí a rodiny Slovenskej republiky</w:t>
            </w:r>
          </w:p>
          <w:p w14:paraId="327E6BD5" w14:textId="77777777" w:rsidR="003501A1" w:rsidRPr="00A179AE" w:rsidRDefault="003501A1" w:rsidP="007B71A4"/>
        </w:tc>
      </w:tr>
      <w:tr w:rsidR="003501A1" w:rsidRPr="00A179AE" w14:paraId="7963D38B" w14:textId="77777777" w:rsidTr="004F6F1F">
        <w:tc>
          <w:tcPr>
            <w:tcW w:w="4212" w:type="dxa"/>
            <w:gridSpan w:val="2"/>
            <w:vMerge w:val="restart"/>
            <w:tcBorders>
              <w:top w:val="single" w:sz="4" w:space="0" w:color="auto"/>
              <w:left w:val="single" w:sz="4" w:space="0" w:color="auto"/>
              <w:bottom w:val="single" w:sz="4" w:space="0" w:color="FFFFFF" w:themeColor="background1"/>
            </w:tcBorders>
            <w:shd w:val="clear" w:color="auto" w:fill="E2E2E2"/>
            <w:vAlign w:val="center"/>
          </w:tcPr>
          <w:p w14:paraId="6B14D556" w14:textId="77777777" w:rsidR="003501A1" w:rsidRPr="00A179AE" w:rsidRDefault="003501A1" w:rsidP="007B71A4">
            <w:pPr>
              <w:pStyle w:val="Odsekzoznamu"/>
              <w:ind w:left="142"/>
              <w:rPr>
                <w:rFonts w:ascii="Times New Roman" w:hAnsi="Times New Roman" w:cs="Times New Roman"/>
                <w:b/>
              </w:rPr>
            </w:pPr>
            <w:r w:rsidRPr="00A179AE">
              <w:rPr>
                <w:rFonts w:ascii="Times New Roman" w:hAnsi="Times New Roman" w:cs="Times New Roman"/>
                <w:b/>
              </w:rPr>
              <w:t>Charakter predkladaného materiálu</w:t>
            </w:r>
          </w:p>
        </w:tc>
        <w:sdt>
          <w:sdtPr>
            <w:id w:val="-6989077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14:paraId="19494379" w14:textId="77777777" w:rsidR="003501A1" w:rsidRPr="00A179AE" w:rsidRDefault="003501A1" w:rsidP="007B71A4">
                <w:pPr>
                  <w:jc w:val="center"/>
                </w:pPr>
                <w:r w:rsidRPr="00A179AE">
                  <w:rPr>
                    <w:rFonts w:ascii="MS Mincho" w:eastAsia="MS Mincho" w:hAnsi="MS Mincho" w:cs="MS Mincho" w:hint="eastAsia"/>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themeFill="background1"/>
          </w:tcPr>
          <w:p w14:paraId="2AAE3CEB" w14:textId="77777777" w:rsidR="003501A1" w:rsidRPr="00A179AE" w:rsidRDefault="003501A1" w:rsidP="007B71A4">
            <w:r w:rsidRPr="00A179AE">
              <w:t>Materiál nelegislatívnej povahy</w:t>
            </w:r>
          </w:p>
        </w:tc>
      </w:tr>
      <w:tr w:rsidR="003501A1" w:rsidRPr="00A179AE" w14:paraId="51D68513" w14:textId="77777777" w:rsidTr="004F6F1F">
        <w:tc>
          <w:tcPr>
            <w:tcW w:w="4212" w:type="dxa"/>
            <w:gridSpan w:val="2"/>
            <w:vMerge/>
            <w:tcBorders>
              <w:top w:val="nil"/>
              <w:left w:val="single" w:sz="4" w:space="0" w:color="auto"/>
              <w:bottom w:val="single" w:sz="4" w:space="0" w:color="FFFFFF" w:themeColor="background1"/>
            </w:tcBorders>
            <w:shd w:val="clear" w:color="auto" w:fill="E2E2E2"/>
          </w:tcPr>
          <w:p w14:paraId="05B762FA" w14:textId="77777777" w:rsidR="003501A1" w:rsidRPr="00A179AE" w:rsidRDefault="003501A1" w:rsidP="007B71A4"/>
        </w:tc>
        <w:sdt>
          <w:sdtPr>
            <w:id w:val="-145588339"/>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14:paraId="675CBE73" w14:textId="35B19BAB" w:rsidR="003501A1" w:rsidRPr="00A179AE" w:rsidRDefault="00A94590" w:rsidP="007B71A4">
                <w:pPr>
                  <w:jc w:val="center"/>
                </w:pPr>
                <w:r>
                  <w:rPr>
                    <w:rFonts w:ascii="MS Gothic" w:eastAsia="MS Gothic" w:hAnsi="MS Gothic" w:hint="eastAsia"/>
                  </w:rPr>
                  <w:t>☒</w:t>
                </w:r>
              </w:p>
            </w:tc>
          </w:sdtContent>
        </w:sdt>
        <w:tc>
          <w:tcPr>
            <w:tcW w:w="4263" w:type="dxa"/>
            <w:gridSpan w:val="6"/>
            <w:tcBorders>
              <w:top w:val="single" w:sz="4" w:space="0" w:color="auto"/>
              <w:left w:val="nil"/>
              <w:bottom w:val="single" w:sz="4" w:space="0" w:color="auto"/>
            </w:tcBorders>
            <w:shd w:val="clear" w:color="auto" w:fill="FFFFFF" w:themeFill="background1"/>
          </w:tcPr>
          <w:p w14:paraId="6C03335E" w14:textId="77777777" w:rsidR="003501A1" w:rsidRPr="00A179AE" w:rsidRDefault="003501A1" w:rsidP="007B71A4">
            <w:pPr>
              <w:ind w:left="175" w:hanging="175"/>
            </w:pPr>
            <w:r w:rsidRPr="00A179AE">
              <w:t>Materiál legislatívnej povahy</w:t>
            </w:r>
          </w:p>
        </w:tc>
      </w:tr>
      <w:tr w:rsidR="003501A1" w:rsidRPr="00A179AE" w14:paraId="31D5B7D3" w14:textId="77777777" w:rsidTr="004F6F1F">
        <w:tc>
          <w:tcPr>
            <w:tcW w:w="4212" w:type="dxa"/>
            <w:gridSpan w:val="2"/>
            <w:vMerge/>
            <w:tcBorders>
              <w:top w:val="nil"/>
              <w:left w:val="single" w:sz="4" w:space="0" w:color="auto"/>
              <w:bottom w:val="single" w:sz="4" w:space="0" w:color="auto"/>
            </w:tcBorders>
            <w:shd w:val="clear" w:color="auto" w:fill="E2E2E2"/>
          </w:tcPr>
          <w:p w14:paraId="2DBC0158" w14:textId="77777777" w:rsidR="003501A1" w:rsidRPr="00A179AE" w:rsidRDefault="003501A1" w:rsidP="007B71A4"/>
        </w:tc>
        <w:sdt>
          <w:sdtPr>
            <w:id w:val="-1883475976"/>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14:paraId="208C65D6" w14:textId="3CD011A8" w:rsidR="003501A1" w:rsidRPr="00A179AE" w:rsidRDefault="003501A1" w:rsidP="007B71A4">
                <w:pPr>
                  <w:jc w:val="center"/>
                </w:pPr>
                <w:r w:rsidRPr="00A179AE">
                  <w:rPr>
                    <w:rFonts w:ascii="MS Mincho" w:eastAsia="MS Mincho" w:hAnsi="MS Mincho" w:cs="MS Mincho" w:hint="eastAsia"/>
                  </w:rPr>
                  <w:t>☐</w:t>
                </w:r>
              </w:p>
            </w:tc>
          </w:sdtContent>
        </w:sdt>
        <w:tc>
          <w:tcPr>
            <w:tcW w:w="4263" w:type="dxa"/>
            <w:gridSpan w:val="6"/>
            <w:tcBorders>
              <w:top w:val="single" w:sz="4" w:space="0" w:color="auto"/>
              <w:left w:val="nil"/>
              <w:bottom w:val="single" w:sz="4" w:space="0" w:color="auto"/>
            </w:tcBorders>
            <w:shd w:val="clear" w:color="auto" w:fill="FFFFFF" w:themeFill="background1"/>
          </w:tcPr>
          <w:p w14:paraId="452B868D" w14:textId="77777777" w:rsidR="003501A1" w:rsidRPr="00A179AE" w:rsidRDefault="003501A1" w:rsidP="007B71A4">
            <w:r w:rsidRPr="00A179AE">
              <w:t>Transpozícia práva EÚ</w:t>
            </w:r>
          </w:p>
        </w:tc>
      </w:tr>
      <w:tr w:rsidR="003501A1" w:rsidRPr="00A179AE" w14:paraId="0A944033" w14:textId="77777777" w:rsidTr="003D41A9">
        <w:trPr>
          <w:trHeight w:val="461"/>
        </w:trPr>
        <w:tc>
          <w:tcPr>
            <w:tcW w:w="9180" w:type="dxa"/>
            <w:gridSpan w:val="10"/>
            <w:tcBorders>
              <w:top w:val="single" w:sz="4" w:space="0" w:color="auto"/>
              <w:left w:val="single" w:sz="4" w:space="0" w:color="auto"/>
              <w:bottom w:val="single" w:sz="4" w:space="0" w:color="FFFFFF" w:themeColor="background1"/>
            </w:tcBorders>
            <w:shd w:val="clear" w:color="auto" w:fill="FFFFFF" w:themeFill="background1"/>
          </w:tcPr>
          <w:p w14:paraId="6EF9E301" w14:textId="77777777" w:rsidR="003501A1" w:rsidRPr="00A179AE" w:rsidRDefault="003501A1" w:rsidP="007B71A4">
            <w:pPr>
              <w:rPr>
                <w:i/>
              </w:rPr>
            </w:pPr>
          </w:p>
          <w:p w14:paraId="038696E7" w14:textId="77777777" w:rsidR="003501A1" w:rsidRPr="00A179AE" w:rsidRDefault="003501A1" w:rsidP="007B71A4"/>
          <w:p w14:paraId="5D57C102" w14:textId="77777777" w:rsidR="003501A1" w:rsidRPr="00A179AE" w:rsidRDefault="003501A1" w:rsidP="007B71A4"/>
        </w:tc>
      </w:tr>
      <w:tr w:rsidR="003501A1" w:rsidRPr="00A179AE" w14:paraId="47F4BC4F" w14:textId="77777777" w:rsidTr="00AA0570">
        <w:tc>
          <w:tcPr>
            <w:tcW w:w="5634" w:type="dxa"/>
            <w:gridSpan w:val="5"/>
            <w:tcBorders>
              <w:top w:val="single" w:sz="4" w:space="0" w:color="000000" w:themeColor="text1"/>
              <w:left w:val="single" w:sz="4" w:space="0" w:color="auto"/>
              <w:bottom w:val="single" w:sz="4" w:space="0" w:color="FFFFFF" w:themeColor="background1"/>
              <w:right w:val="single" w:sz="4" w:space="0" w:color="auto"/>
            </w:tcBorders>
            <w:shd w:val="clear" w:color="auto" w:fill="E2E2E2"/>
          </w:tcPr>
          <w:p w14:paraId="746F892A" w14:textId="77777777" w:rsidR="003501A1" w:rsidRPr="00A179AE" w:rsidRDefault="003501A1" w:rsidP="007B71A4">
            <w:pPr>
              <w:pStyle w:val="Odsekzoznamu"/>
              <w:ind w:left="142"/>
              <w:rPr>
                <w:rFonts w:ascii="Times New Roman" w:hAnsi="Times New Roman" w:cs="Times New Roman"/>
                <w:b/>
              </w:rPr>
            </w:pPr>
            <w:r w:rsidRPr="00A179AE">
              <w:rPr>
                <w:rFonts w:ascii="Times New Roman" w:hAnsi="Times New Roman" w:cs="Times New Roman"/>
                <w:b/>
              </w:rPr>
              <w:t>Termín začiatku a ukončenia PPK</w:t>
            </w:r>
          </w:p>
        </w:tc>
        <w:tc>
          <w:tcPr>
            <w:tcW w:w="3546" w:type="dxa"/>
            <w:gridSpan w:val="5"/>
            <w:tcBorders>
              <w:top w:val="single" w:sz="4" w:space="0" w:color="000000" w:themeColor="text1"/>
              <w:left w:val="single" w:sz="4" w:space="0" w:color="auto"/>
              <w:bottom w:val="single" w:sz="4" w:space="0" w:color="auto"/>
              <w:right w:val="single" w:sz="4" w:space="0" w:color="auto"/>
            </w:tcBorders>
          </w:tcPr>
          <w:p w14:paraId="75EE09A4" w14:textId="000E0F34" w:rsidR="003501A1" w:rsidRPr="003D41A9" w:rsidRDefault="00043E3C" w:rsidP="005D5ED8">
            <w:pPr>
              <w:rPr>
                <w:i/>
              </w:rPr>
            </w:pPr>
            <w:r>
              <w:rPr>
                <w:i/>
              </w:rPr>
              <w:t>15</w:t>
            </w:r>
            <w:r w:rsidR="003D41A9" w:rsidRPr="003D41A9">
              <w:rPr>
                <w:i/>
              </w:rPr>
              <w:t xml:space="preserve">. 1. 2019 – </w:t>
            </w:r>
            <w:r>
              <w:rPr>
                <w:i/>
              </w:rPr>
              <w:t>28</w:t>
            </w:r>
            <w:r w:rsidR="003D41A9" w:rsidRPr="003D41A9">
              <w:rPr>
                <w:i/>
              </w:rPr>
              <w:t xml:space="preserve">. </w:t>
            </w:r>
            <w:r w:rsidR="005D5ED8">
              <w:rPr>
                <w:i/>
              </w:rPr>
              <w:t>1</w:t>
            </w:r>
            <w:r w:rsidR="003D41A9" w:rsidRPr="003D41A9">
              <w:rPr>
                <w:i/>
              </w:rPr>
              <w:t>. 2019</w:t>
            </w:r>
          </w:p>
        </w:tc>
      </w:tr>
      <w:tr w:rsidR="003501A1" w:rsidRPr="00A179AE" w14:paraId="4BFE61F7" w14:textId="77777777" w:rsidTr="004F6F1F">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14:paraId="12E8F38D" w14:textId="77777777" w:rsidR="003501A1" w:rsidRPr="00A179AE" w:rsidRDefault="003501A1" w:rsidP="007B71A4">
            <w:pPr>
              <w:pStyle w:val="Odsekzoznamu"/>
              <w:ind w:left="142"/>
              <w:rPr>
                <w:rFonts w:ascii="Times New Roman" w:hAnsi="Times New Roman" w:cs="Times New Roman"/>
                <w:b/>
              </w:rPr>
            </w:pPr>
            <w:r w:rsidRPr="00A179AE">
              <w:rPr>
                <w:rFonts w:ascii="Times New Roman" w:hAnsi="Times New Roman" w:cs="Times New Roman"/>
                <w:b/>
              </w:rPr>
              <w:t>Predpokladaný termín predloženia na MPK</w:t>
            </w:r>
            <w:r w:rsidR="00F62771">
              <w:rPr>
                <w:rFonts w:ascii="Times New Roman" w:hAnsi="Times New Roman" w:cs="Times New Roman"/>
                <w:b/>
              </w:rPr>
              <w:t>*</w:t>
            </w:r>
          </w:p>
        </w:tc>
        <w:tc>
          <w:tcPr>
            <w:tcW w:w="3546" w:type="dxa"/>
            <w:gridSpan w:val="5"/>
            <w:tcBorders>
              <w:top w:val="single" w:sz="4" w:space="0" w:color="auto"/>
              <w:left w:val="single" w:sz="4" w:space="0" w:color="auto"/>
              <w:bottom w:val="single" w:sz="4" w:space="0" w:color="auto"/>
              <w:right w:val="single" w:sz="4" w:space="0" w:color="auto"/>
            </w:tcBorders>
          </w:tcPr>
          <w:p w14:paraId="23DB688D" w14:textId="6BBFA6D4" w:rsidR="003D41A9" w:rsidRPr="003D41A9" w:rsidRDefault="00D76598" w:rsidP="003D41A9">
            <w:pPr>
              <w:rPr>
                <w:i/>
              </w:rPr>
            </w:pPr>
            <w:r w:rsidRPr="003D41A9">
              <w:rPr>
                <w:i/>
              </w:rPr>
              <w:t xml:space="preserve">Začiatok: </w:t>
            </w:r>
            <w:r w:rsidR="005D5ED8">
              <w:rPr>
                <w:i/>
              </w:rPr>
              <w:t>4</w:t>
            </w:r>
            <w:r w:rsidR="003D41A9" w:rsidRPr="003D41A9">
              <w:rPr>
                <w:i/>
              </w:rPr>
              <w:t>. 2. 2019</w:t>
            </w:r>
          </w:p>
          <w:p w14:paraId="1D291459" w14:textId="10B23C43" w:rsidR="003501A1" w:rsidRPr="003D41A9" w:rsidRDefault="003D41A9" w:rsidP="005D5ED8">
            <w:pPr>
              <w:rPr>
                <w:i/>
              </w:rPr>
            </w:pPr>
            <w:r w:rsidRPr="003D41A9">
              <w:rPr>
                <w:i/>
              </w:rPr>
              <w:t xml:space="preserve">Koniec:   </w:t>
            </w:r>
            <w:r w:rsidR="005D5ED8">
              <w:rPr>
                <w:i/>
              </w:rPr>
              <w:t>22</w:t>
            </w:r>
            <w:r w:rsidRPr="003D41A9">
              <w:rPr>
                <w:i/>
              </w:rPr>
              <w:t xml:space="preserve">. </w:t>
            </w:r>
            <w:r w:rsidR="005D5ED8">
              <w:rPr>
                <w:i/>
              </w:rPr>
              <w:t>2</w:t>
            </w:r>
            <w:r w:rsidRPr="003D41A9">
              <w:rPr>
                <w:i/>
              </w:rPr>
              <w:t>. 2019</w:t>
            </w:r>
          </w:p>
        </w:tc>
      </w:tr>
      <w:tr w:rsidR="003501A1" w:rsidRPr="00A179AE" w14:paraId="4BBBBF56" w14:textId="77777777" w:rsidTr="004F6F1F">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14:paraId="79010D14" w14:textId="3346B820" w:rsidR="003501A1" w:rsidRPr="00A179AE" w:rsidRDefault="003501A1" w:rsidP="007B71A4">
            <w:pPr>
              <w:pStyle w:val="Odsekzoznamu"/>
              <w:ind w:left="142"/>
              <w:rPr>
                <w:rFonts w:ascii="Times New Roman" w:hAnsi="Times New Roman" w:cs="Times New Roman"/>
                <w:b/>
              </w:rPr>
            </w:pPr>
            <w:r w:rsidRPr="00A179AE">
              <w:rPr>
                <w:rFonts w:ascii="Times New Roman" w:hAnsi="Times New Roman" w:cs="Times New Roman"/>
                <w:b/>
              </w:rPr>
              <w:t>Predpokladaný termín predloženia na Rokovanie vlády SR</w:t>
            </w:r>
            <w:r w:rsidR="00F62771">
              <w:rPr>
                <w:rFonts w:ascii="Times New Roman" w:hAnsi="Times New Roman" w:cs="Times New Roman"/>
                <w:b/>
              </w:rPr>
              <w:t>*</w:t>
            </w:r>
          </w:p>
        </w:tc>
        <w:tc>
          <w:tcPr>
            <w:tcW w:w="3546" w:type="dxa"/>
            <w:gridSpan w:val="5"/>
            <w:tcBorders>
              <w:top w:val="single" w:sz="4" w:space="0" w:color="auto"/>
              <w:left w:val="single" w:sz="4" w:space="0" w:color="auto"/>
              <w:bottom w:val="single" w:sz="4" w:space="0" w:color="auto"/>
              <w:right w:val="single" w:sz="4" w:space="0" w:color="auto"/>
            </w:tcBorders>
          </w:tcPr>
          <w:p w14:paraId="385FBBFE" w14:textId="4C2C60E5" w:rsidR="003501A1" w:rsidRPr="003D41A9" w:rsidRDefault="005D5ED8" w:rsidP="005D5ED8">
            <w:pPr>
              <w:rPr>
                <w:i/>
              </w:rPr>
            </w:pPr>
            <w:r w:rsidRPr="003D41A9">
              <w:rPr>
                <w:i/>
              </w:rPr>
              <w:t>1</w:t>
            </w:r>
            <w:r>
              <w:rPr>
                <w:i/>
              </w:rPr>
              <w:t>7</w:t>
            </w:r>
            <w:r w:rsidR="003D41A9" w:rsidRPr="003D41A9">
              <w:rPr>
                <w:i/>
              </w:rPr>
              <w:t xml:space="preserve">. </w:t>
            </w:r>
            <w:r w:rsidR="002672DA">
              <w:rPr>
                <w:i/>
              </w:rPr>
              <w:t>4</w:t>
            </w:r>
            <w:r w:rsidR="003D41A9" w:rsidRPr="003D41A9">
              <w:rPr>
                <w:i/>
              </w:rPr>
              <w:t>. 2019</w:t>
            </w:r>
          </w:p>
        </w:tc>
      </w:tr>
      <w:tr w:rsidR="003501A1" w:rsidRPr="00A179AE" w14:paraId="5AA12341" w14:textId="77777777" w:rsidTr="003501A1">
        <w:tc>
          <w:tcPr>
            <w:tcW w:w="9180" w:type="dxa"/>
            <w:gridSpan w:val="10"/>
            <w:tcBorders>
              <w:top w:val="single" w:sz="4" w:space="0" w:color="auto"/>
              <w:left w:val="nil"/>
              <w:bottom w:val="single" w:sz="4" w:space="0" w:color="auto"/>
              <w:right w:val="nil"/>
            </w:tcBorders>
            <w:shd w:val="clear" w:color="auto" w:fill="FFFFFF" w:themeFill="background1"/>
          </w:tcPr>
          <w:p w14:paraId="7CA82BB1" w14:textId="77777777" w:rsidR="003501A1" w:rsidRPr="00A179AE" w:rsidRDefault="003501A1" w:rsidP="007B71A4"/>
        </w:tc>
      </w:tr>
      <w:tr w:rsidR="003501A1" w:rsidRPr="00A179AE" w14:paraId="0B0CB350" w14:textId="77777777"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14:paraId="72D25B7D" w14:textId="77777777"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Defin</w:t>
            </w:r>
            <w:r w:rsidR="00AC2477">
              <w:rPr>
                <w:rFonts w:ascii="Times New Roman" w:hAnsi="Times New Roman" w:cs="Times New Roman"/>
                <w:b/>
              </w:rPr>
              <w:t>ovanie</w:t>
            </w:r>
            <w:r w:rsidRPr="00A179AE">
              <w:rPr>
                <w:rFonts w:ascii="Times New Roman" w:hAnsi="Times New Roman" w:cs="Times New Roman"/>
                <w:b/>
              </w:rPr>
              <w:t xml:space="preserve"> problému</w:t>
            </w:r>
          </w:p>
        </w:tc>
      </w:tr>
      <w:tr w:rsidR="003501A1" w:rsidRPr="00A179AE" w14:paraId="390DE726" w14:textId="77777777" w:rsidTr="00D13B6F">
        <w:trPr>
          <w:trHeight w:val="718"/>
        </w:trPr>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0147C2EE" w14:textId="77777777" w:rsidR="003501A1" w:rsidRPr="00A179AE" w:rsidRDefault="00CF6197" w:rsidP="00CF6197">
            <w:pPr>
              <w:rPr>
                <w:b/>
              </w:rPr>
            </w:pPr>
            <w:r>
              <w:rPr>
                <w:i/>
              </w:rPr>
              <w:t xml:space="preserve">Zvýšenie vianočného príspevku a rozšírenie okruhu poberateľov vianočného príspevku. </w:t>
            </w:r>
          </w:p>
        </w:tc>
      </w:tr>
      <w:tr w:rsidR="003501A1" w:rsidRPr="00A179AE" w14:paraId="18054B95" w14:textId="77777777" w:rsidTr="003501A1">
        <w:tc>
          <w:tcPr>
            <w:tcW w:w="9180" w:type="dxa"/>
            <w:gridSpan w:val="10"/>
            <w:tcBorders>
              <w:top w:val="single" w:sz="4" w:space="0" w:color="auto"/>
              <w:left w:val="single" w:sz="4" w:space="0" w:color="auto"/>
              <w:bottom w:val="nil"/>
              <w:right w:val="single" w:sz="4" w:space="0" w:color="auto"/>
            </w:tcBorders>
            <w:shd w:val="clear" w:color="auto" w:fill="E2E2E2"/>
          </w:tcPr>
          <w:p w14:paraId="6569699B" w14:textId="77777777"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Ciele a výsledný stav</w:t>
            </w:r>
          </w:p>
        </w:tc>
      </w:tr>
      <w:tr w:rsidR="003501A1" w:rsidRPr="00A179AE" w14:paraId="66233AD0" w14:textId="77777777" w:rsidTr="00D13B6F">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14:paraId="1E3158AA" w14:textId="135E7C17" w:rsidR="003501A1" w:rsidRPr="00A179AE" w:rsidRDefault="005742ED" w:rsidP="000316A9">
            <w:pPr>
              <w:jc w:val="both"/>
            </w:pPr>
            <w:r w:rsidRPr="005742ED">
              <w:rPr>
                <w:i/>
              </w:rPr>
              <w:t>Cieľom pr</w:t>
            </w:r>
            <w:r w:rsidR="008A7FE0">
              <w:rPr>
                <w:i/>
              </w:rPr>
              <w:t xml:space="preserve">edloženého návrhu </w:t>
            </w:r>
            <w:r w:rsidR="00CF6197">
              <w:rPr>
                <w:i/>
              </w:rPr>
              <w:t xml:space="preserve">zákona </w:t>
            </w:r>
            <w:r w:rsidR="008A7FE0">
              <w:rPr>
                <w:i/>
              </w:rPr>
              <w:t xml:space="preserve">je </w:t>
            </w:r>
            <w:r w:rsidR="00CF6197">
              <w:rPr>
                <w:i/>
              </w:rPr>
              <w:t>zvýšenie vianočného príspevku pre poberateľov dôchodkových dávok, ktorých</w:t>
            </w:r>
            <w:r w:rsidR="000316A9">
              <w:rPr>
                <w:i/>
              </w:rPr>
              <w:t xml:space="preserve"> suma dôchodku alebo</w:t>
            </w:r>
            <w:r w:rsidR="00CF6197">
              <w:rPr>
                <w:i/>
              </w:rPr>
              <w:t xml:space="preserve"> úhrn súm dôchodkov nepresahuje 65</w:t>
            </w:r>
            <w:r w:rsidR="000316A9">
              <w:rPr>
                <w:i/>
              </w:rPr>
              <w:t xml:space="preserve"> </w:t>
            </w:r>
            <w:r w:rsidR="00CF6197">
              <w:rPr>
                <w:i/>
              </w:rPr>
              <w:t>% priemernej mzdy v národnom hospodárstve z predchádzajúceho  roka.</w:t>
            </w:r>
          </w:p>
        </w:tc>
      </w:tr>
      <w:tr w:rsidR="003501A1" w:rsidRPr="00A179AE" w14:paraId="7CE5357E" w14:textId="77777777" w:rsidTr="003501A1">
        <w:tc>
          <w:tcPr>
            <w:tcW w:w="9180" w:type="dxa"/>
            <w:gridSpan w:val="10"/>
            <w:tcBorders>
              <w:top w:val="single" w:sz="4" w:space="0" w:color="auto"/>
              <w:left w:val="single" w:sz="4" w:space="0" w:color="auto"/>
              <w:bottom w:val="nil"/>
              <w:right w:val="single" w:sz="4" w:space="0" w:color="auto"/>
            </w:tcBorders>
            <w:shd w:val="clear" w:color="auto" w:fill="E2E2E2"/>
          </w:tcPr>
          <w:p w14:paraId="70941B38" w14:textId="77777777"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Dotknuté subjekty</w:t>
            </w:r>
          </w:p>
        </w:tc>
      </w:tr>
      <w:tr w:rsidR="003501A1" w:rsidRPr="00A179AE" w14:paraId="017602E7" w14:textId="77777777" w:rsidTr="003501A1">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14:paraId="0042103F" w14:textId="7FC3E8E9" w:rsidR="003501A1" w:rsidRPr="00A179AE" w:rsidRDefault="005742ED" w:rsidP="000316A9">
            <w:pPr>
              <w:jc w:val="both"/>
              <w:rPr>
                <w:i/>
              </w:rPr>
            </w:pPr>
            <w:r>
              <w:rPr>
                <w:i/>
              </w:rPr>
              <w:t>Poberatel</w:t>
            </w:r>
            <w:r w:rsidRPr="005742ED">
              <w:rPr>
                <w:i/>
              </w:rPr>
              <w:t>i</w:t>
            </w:r>
            <w:r>
              <w:rPr>
                <w:i/>
              </w:rPr>
              <w:t>a</w:t>
            </w:r>
            <w:r w:rsidR="000316A9">
              <w:rPr>
                <w:i/>
              </w:rPr>
              <w:t xml:space="preserve"> dôchodkových dávok, ktorých suma dôchodku</w:t>
            </w:r>
            <w:r w:rsidR="005D5ED8">
              <w:rPr>
                <w:i/>
              </w:rPr>
              <w:t xml:space="preserve"> resp.</w:t>
            </w:r>
            <w:r w:rsidR="00CF6197">
              <w:rPr>
                <w:i/>
              </w:rPr>
              <w:t xml:space="preserve"> úhrn súm dôchodkov nepresahuje 65</w:t>
            </w:r>
            <w:r w:rsidR="002672DA">
              <w:rPr>
                <w:i/>
              </w:rPr>
              <w:t xml:space="preserve"> </w:t>
            </w:r>
            <w:r w:rsidR="00CF6197">
              <w:rPr>
                <w:i/>
              </w:rPr>
              <w:t xml:space="preserve">% </w:t>
            </w:r>
            <w:r w:rsidRPr="005742ED">
              <w:rPr>
                <w:i/>
              </w:rPr>
              <w:t xml:space="preserve"> </w:t>
            </w:r>
            <w:r w:rsidR="00CF6197">
              <w:rPr>
                <w:i/>
              </w:rPr>
              <w:t xml:space="preserve">priemernej mzdy v národnom hospodárstve z predchádzajúceho roka. </w:t>
            </w:r>
          </w:p>
        </w:tc>
      </w:tr>
      <w:tr w:rsidR="003501A1" w:rsidRPr="00A179AE" w14:paraId="4499600E" w14:textId="77777777" w:rsidTr="003501A1">
        <w:tc>
          <w:tcPr>
            <w:tcW w:w="9180" w:type="dxa"/>
            <w:gridSpan w:val="10"/>
            <w:tcBorders>
              <w:top w:val="single" w:sz="4" w:space="0" w:color="auto"/>
              <w:left w:val="single" w:sz="4" w:space="0" w:color="auto"/>
              <w:bottom w:val="nil"/>
              <w:right w:val="single" w:sz="4" w:space="0" w:color="auto"/>
            </w:tcBorders>
            <w:shd w:val="clear" w:color="auto" w:fill="E2E2E2"/>
          </w:tcPr>
          <w:p w14:paraId="275A0C5F" w14:textId="77777777"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7E270F">
              <w:rPr>
                <w:rFonts w:ascii="Times New Roman" w:hAnsi="Times New Roman" w:cs="Times New Roman"/>
                <w:b/>
              </w:rPr>
              <w:t>Alternatívne riešenia</w:t>
            </w:r>
          </w:p>
        </w:tc>
      </w:tr>
      <w:tr w:rsidR="003501A1" w:rsidRPr="00A179AE" w14:paraId="60D0B484" w14:textId="77777777" w:rsidTr="00D13B6F">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14:paraId="4B06D972" w14:textId="32D82F9C" w:rsidR="003501A1" w:rsidRPr="00A179AE" w:rsidRDefault="00E45010" w:rsidP="002672DA">
            <w:pPr>
              <w:jc w:val="both"/>
              <w:rPr>
                <w:i/>
              </w:rPr>
            </w:pPr>
            <w:r>
              <w:rPr>
                <w:i/>
              </w:rPr>
              <w:t>Ak by nebola schválená navrhovaná právna úprava,</w:t>
            </w:r>
            <w:r w:rsidR="007E270F">
              <w:rPr>
                <w:i/>
              </w:rPr>
              <w:t xml:space="preserve"> </w:t>
            </w:r>
            <w:r>
              <w:rPr>
                <w:i/>
              </w:rPr>
              <w:t>tak</w:t>
            </w:r>
            <w:r w:rsidR="007E270F">
              <w:rPr>
                <w:i/>
              </w:rPr>
              <w:t xml:space="preserve"> by maximálna suma vianočného príspevku dôchodcov, ktorých celkový dôchodkový príjem neprevyšuje sumu životného minima pre jednu plnoletú osobu predstavovala </w:t>
            </w:r>
            <w:r w:rsidR="00CF6197">
              <w:rPr>
                <w:i/>
              </w:rPr>
              <w:t>spolu s jednorazovým zvýšením 100 eur</w:t>
            </w:r>
            <w:r w:rsidR="007E270F">
              <w:rPr>
                <w:i/>
              </w:rPr>
              <w:t xml:space="preserve">. </w:t>
            </w:r>
          </w:p>
        </w:tc>
      </w:tr>
      <w:tr w:rsidR="003501A1" w:rsidRPr="00A179AE" w14:paraId="365EC3DF" w14:textId="77777777"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14:paraId="41AA1E72" w14:textId="77777777"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Vykonávacie predpisy</w:t>
            </w:r>
          </w:p>
        </w:tc>
      </w:tr>
      <w:tr w:rsidR="003501A1" w:rsidRPr="00A179AE" w14:paraId="0A6D421B" w14:textId="77777777" w:rsidTr="004F6F1F">
        <w:tc>
          <w:tcPr>
            <w:tcW w:w="6203" w:type="dxa"/>
            <w:gridSpan w:val="6"/>
            <w:tcBorders>
              <w:top w:val="single" w:sz="4" w:space="0" w:color="FFFFFF" w:themeColor="background1"/>
              <w:left w:val="single" w:sz="4" w:space="0" w:color="auto"/>
              <w:bottom w:val="nil"/>
              <w:right w:val="nil"/>
            </w:tcBorders>
            <w:shd w:val="clear" w:color="auto" w:fill="FFFFFF" w:themeFill="background1"/>
          </w:tcPr>
          <w:p w14:paraId="6C8D0E49" w14:textId="77777777" w:rsidR="003501A1" w:rsidRPr="00A179AE" w:rsidRDefault="003501A1" w:rsidP="007B71A4">
            <w:pPr>
              <w:rPr>
                <w:i/>
              </w:rPr>
            </w:pPr>
            <w:r w:rsidRPr="00A179AE">
              <w:rPr>
                <w:i/>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14:paraId="7A6A0346" w14:textId="246965BE" w:rsidR="003501A1" w:rsidRPr="00A179AE" w:rsidRDefault="0047707F" w:rsidP="007B71A4">
            <w:pPr>
              <w:jc w:val="center"/>
            </w:pPr>
            <w:sdt>
              <w:sdtPr>
                <w:id w:val="-1407611648"/>
                <w14:checkbox>
                  <w14:checked w14:val="0"/>
                  <w14:checkedState w14:val="2612" w14:font="MS Gothic"/>
                  <w14:uncheckedState w14:val="2610" w14:font="MS Gothic"/>
                </w14:checkbox>
              </w:sdtPr>
              <w:sdtEndPr/>
              <w:sdtContent>
                <w:r w:rsidR="00930B57">
                  <w:rPr>
                    <w:rFonts w:ascii="MS Gothic" w:eastAsia="MS Gothic" w:hAnsi="MS Gothic" w:hint="eastAsia"/>
                  </w:rPr>
                  <w:t>☐</w:t>
                </w:r>
              </w:sdtContent>
            </w:sdt>
            <w:r w:rsidR="003501A1" w:rsidRPr="00A179AE">
              <w:t xml:space="preserve">  Áno</w:t>
            </w:r>
          </w:p>
        </w:tc>
        <w:tc>
          <w:tcPr>
            <w:tcW w:w="1560" w:type="dxa"/>
            <w:gridSpan w:val="2"/>
            <w:tcBorders>
              <w:top w:val="single" w:sz="4" w:space="0" w:color="FFFFFF" w:themeColor="background1"/>
              <w:left w:val="nil"/>
              <w:bottom w:val="nil"/>
              <w:right w:val="single" w:sz="4" w:space="0" w:color="auto"/>
            </w:tcBorders>
            <w:shd w:val="clear" w:color="auto" w:fill="FFFFFF" w:themeFill="background1"/>
          </w:tcPr>
          <w:p w14:paraId="500C7EE7" w14:textId="42374C70" w:rsidR="003501A1" w:rsidRPr="00A179AE" w:rsidRDefault="0047707F" w:rsidP="007B71A4">
            <w:pPr>
              <w:jc w:val="center"/>
            </w:pPr>
            <w:sdt>
              <w:sdtPr>
                <w:id w:val="-1625842802"/>
                <w14:checkbox>
                  <w14:checked w14:val="1"/>
                  <w14:checkedState w14:val="2612" w14:font="MS Gothic"/>
                  <w14:uncheckedState w14:val="2610" w14:font="MS Gothic"/>
                </w14:checkbox>
              </w:sdtPr>
              <w:sdtEndPr/>
              <w:sdtContent>
                <w:r w:rsidR="00930B57">
                  <w:rPr>
                    <w:rFonts w:ascii="MS Gothic" w:eastAsia="MS Gothic" w:hAnsi="MS Gothic" w:hint="eastAsia"/>
                  </w:rPr>
                  <w:t>☒</w:t>
                </w:r>
              </w:sdtContent>
            </w:sdt>
            <w:r w:rsidR="003501A1" w:rsidRPr="00A179AE">
              <w:t xml:space="preserve">  Nie</w:t>
            </w:r>
          </w:p>
        </w:tc>
      </w:tr>
      <w:tr w:rsidR="003501A1" w:rsidRPr="00A179AE" w14:paraId="05E441DB" w14:textId="77777777" w:rsidTr="003501A1">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14:paraId="1C8DC5A6" w14:textId="77777777" w:rsidR="003501A1" w:rsidRPr="00A179AE" w:rsidRDefault="003501A1" w:rsidP="00F11DE4"/>
        </w:tc>
      </w:tr>
      <w:tr w:rsidR="003501A1" w:rsidRPr="00A179AE" w14:paraId="610D937B" w14:textId="77777777"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14:paraId="20BF2C27" w14:textId="77777777"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 xml:space="preserve">Transpozícia práva EÚ </w:t>
            </w:r>
          </w:p>
        </w:tc>
      </w:tr>
      <w:tr w:rsidR="003501A1" w:rsidRPr="00A179AE" w14:paraId="03293927" w14:textId="77777777" w:rsidTr="003501A1">
        <w:trPr>
          <w:trHeight w:val="157"/>
        </w:trPr>
        <w:tc>
          <w:tcPr>
            <w:tcW w:w="9180" w:type="dxa"/>
            <w:gridSpan w:val="10"/>
            <w:tcBorders>
              <w:top w:val="nil"/>
              <w:left w:val="single" w:sz="4" w:space="0" w:color="000000" w:themeColor="text1"/>
              <w:bottom w:val="nil"/>
              <w:right w:val="single" w:sz="4" w:space="0" w:color="auto"/>
            </w:tcBorders>
            <w:shd w:val="clear" w:color="auto" w:fill="FFFFFF" w:themeFill="background1"/>
          </w:tcPr>
          <w:p w14:paraId="60DFC22E" w14:textId="77777777" w:rsidR="003501A1" w:rsidRPr="00A179AE" w:rsidRDefault="003501A1" w:rsidP="007B71A4">
            <w:pPr>
              <w:rPr>
                <w:i/>
              </w:rPr>
            </w:pPr>
          </w:p>
        </w:tc>
      </w:tr>
      <w:tr w:rsidR="003501A1" w:rsidRPr="00A179AE" w14:paraId="24585BB6" w14:textId="77777777" w:rsidTr="00D13B6F">
        <w:trPr>
          <w:trHeight w:val="248"/>
        </w:trPr>
        <w:tc>
          <w:tcPr>
            <w:tcW w:w="9180"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14:paraId="5F8249DC" w14:textId="77777777" w:rsidR="003501A1" w:rsidRPr="00A179AE" w:rsidRDefault="003501A1" w:rsidP="007B71A4">
            <w:pPr>
              <w:jc w:val="center"/>
            </w:pPr>
          </w:p>
        </w:tc>
      </w:tr>
      <w:tr w:rsidR="003501A1" w:rsidRPr="00A179AE" w14:paraId="13556810" w14:textId="77777777"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14:paraId="6CC316FA" w14:textId="77777777" w:rsidR="003501A1" w:rsidRPr="00A179AE" w:rsidRDefault="003501A1" w:rsidP="00395098">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Preskúmanie účelnosti</w:t>
            </w:r>
            <w:r w:rsidR="00F62771">
              <w:rPr>
                <w:rFonts w:ascii="Times New Roman" w:hAnsi="Times New Roman" w:cs="Times New Roman"/>
                <w:b/>
              </w:rPr>
              <w:t>**</w:t>
            </w:r>
          </w:p>
        </w:tc>
      </w:tr>
      <w:tr w:rsidR="003501A1" w:rsidRPr="00A179AE" w14:paraId="033D0D3F" w14:textId="77777777" w:rsidTr="003501A1">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4E85EF60" w14:textId="77777777" w:rsidR="003501A1" w:rsidRPr="00A179AE" w:rsidRDefault="003501A1" w:rsidP="000A2143">
            <w:pPr>
              <w:rPr>
                <w:i/>
              </w:rPr>
            </w:pPr>
          </w:p>
        </w:tc>
      </w:tr>
      <w:tr w:rsidR="003501A1" w:rsidRPr="00A179AE" w14:paraId="431241F2" w14:textId="77777777" w:rsidTr="004C60B8">
        <w:trPr>
          <w:trHeight w:val="715"/>
        </w:trPr>
        <w:tc>
          <w:tcPr>
            <w:tcW w:w="9180" w:type="dxa"/>
            <w:gridSpan w:val="10"/>
            <w:tcBorders>
              <w:top w:val="single" w:sz="4" w:space="0" w:color="auto"/>
              <w:left w:val="nil"/>
              <w:bottom w:val="nil"/>
              <w:right w:val="nil"/>
            </w:tcBorders>
            <w:shd w:val="clear" w:color="auto" w:fill="FFFFFF" w:themeFill="background1"/>
          </w:tcPr>
          <w:p w14:paraId="5831D56B" w14:textId="77777777" w:rsidR="004F6F1F" w:rsidRDefault="004F6F1F" w:rsidP="004C60B8">
            <w:pPr>
              <w:ind w:left="142" w:hanging="142"/>
            </w:pPr>
          </w:p>
          <w:p w14:paraId="0AD5582C" w14:textId="77777777" w:rsidR="00D13B6F" w:rsidRDefault="00D13B6F" w:rsidP="004C60B8">
            <w:pPr>
              <w:ind w:left="142" w:hanging="142"/>
            </w:pPr>
          </w:p>
          <w:p w14:paraId="35A4427D" w14:textId="77777777" w:rsidR="00F62771" w:rsidRDefault="00F62771" w:rsidP="004C60B8">
            <w:pPr>
              <w:ind w:left="142" w:hanging="142"/>
            </w:pPr>
            <w:r>
              <w:t xml:space="preserve">* </w:t>
            </w:r>
            <w:r w:rsidR="004C60B8">
              <w:t xml:space="preserve">vyplniť iba v prípade, </w:t>
            </w:r>
            <w:r w:rsidR="004C60B8" w:rsidRPr="004C60B8">
              <w:t>ak</w:t>
            </w:r>
            <w:r w:rsidRPr="004C60B8">
              <w:t xml:space="preserve"> </w:t>
            </w:r>
            <w:r w:rsidR="004C60B8" w:rsidRPr="004C60B8">
              <w:t xml:space="preserve">materiál </w:t>
            </w:r>
            <w:r w:rsidRPr="004C60B8">
              <w:t xml:space="preserve">nie je </w:t>
            </w:r>
            <w:r w:rsidR="004C60B8" w:rsidRPr="004C60B8">
              <w:t>zahrnutý do Plánu práce vlády Slovenskej republiky alebo Plán</w:t>
            </w:r>
            <w:r w:rsidR="004C60B8">
              <w:t>u</w:t>
            </w:r>
            <w:r w:rsidR="004C60B8" w:rsidRPr="004C60B8">
              <w:t xml:space="preserve"> </w:t>
            </w:r>
            <w:r w:rsidR="004C60B8">
              <w:t xml:space="preserve">       </w:t>
            </w:r>
            <w:r w:rsidR="004C60B8" w:rsidRPr="004C60B8">
              <w:t>legislatívnych úloh vlády Slovenskej republiky.</w:t>
            </w:r>
            <w:r>
              <w:t xml:space="preserve"> </w:t>
            </w:r>
          </w:p>
          <w:p w14:paraId="2AB95465" w14:textId="77777777" w:rsidR="003501A1" w:rsidRDefault="00F62771" w:rsidP="00F22831">
            <w:r>
              <w:t>*</w:t>
            </w:r>
            <w:r w:rsidR="00F22831">
              <w:t>* nepovinné</w:t>
            </w:r>
          </w:p>
          <w:p w14:paraId="22E767F5" w14:textId="77777777" w:rsidR="00CB60C4" w:rsidRDefault="00CB60C4" w:rsidP="00F22831"/>
          <w:p w14:paraId="79977938" w14:textId="77777777" w:rsidR="00CB60C4" w:rsidRPr="00A179AE" w:rsidRDefault="00CB60C4" w:rsidP="00F22831"/>
        </w:tc>
      </w:tr>
      <w:tr w:rsidR="003501A1" w:rsidRPr="00A179AE" w14:paraId="6628EC3C" w14:textId="77777777" w:rsidTr="004F6F1F">
        <w:tc>
          <w:tcPr>
            <w:tcW w:w="9180" w:type="dxa"/>
            <w:gridSpan w:val="10"/>
            <w:tcBorders>
              <w:top w:val="nil"/>
              <w:left w:val="nil"/>
              <w:bottom w:val="single" w:sz="4" w:space="0" w:color="auto"/>
              <w:right w:val="nil"/>
            </w:tcBorders>
            <w:shd w:val="clear" w:color="auto" w:fill="FFFFFF" w:themeFill="background1"/>
          </w:tcPr>
          <w:p w14:paraId="2E78AA45" w14:textId="77777777" w:rsidR="003501A1" w:rsidRPr="00A179AE" w:rsidRDefault="003501A1" w:rsidP="003501A1">
            <w:pPr>
              <w:rPr>
                <w:b/>
              </w:rPr>
            </w:pPr>
          </w:p>
        </w:tc>
      </w:tr>
      <w:tr w:rsidR="003501A1" w:rsidRPr="00A179AE" w14:paraId="33EDBCC3" w14:textId="77777777" w:rsidTr="004F6F1F">
        <w:trPr>
          <w:trHeight w:val="577"/>
        </w:trPr>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vAlign w:val="center"/>
          </w:tcPr>
          <w:p w14:paraId="4AFBAB76" w14:textId="77777777"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lastRenderedPageBreak/>
              <w:t>Vplyvy navrhovaného materiálu</w:t>
            </w:r>
          </w:p>
        </w:tc>
      </w:tr>
      <w:tr w:rsidR="003501A1" w:rsidRPr="00A179AE" w14:paraId="12E73273" w14:textId="77777777" w:rsidTr="004F6F1F">
        <w:tc>
          <w:tcPr>
            <w:tcW w:w="3812" w:type="dxa"/>
            <w:tcBorders>
              <w:top w:val="single" w:sz="4" w:space="0" w:color="auto"/>
              <w:left w:val="single" w:sz="4" w:space="0" w:color="auto"/>
              <w:bottom w:val="nil"/>
              <w:right w:val="single" w:sz="4" w:space="0" w:color="auto"/>
            </w:tcBorders>
            <w:shd w:val="clear" w:color="auto" w:fill="E2E2E2"/>
          </w:tcPr>
          <w:p w14:paraId="426F5816" w14:textId="77777777" w:rsidR="003501A1" w:rsidRPr="00A179AE" w:rsidRDefault="003501A1" w:rsidP="007B71A4">
            <w:pPr>
              <w:rPr>
                <w:b/>
              </w:rPr>
            </w:pPr>
            <w:r w:rsidRPr="00A179AE">
              <w:rPr>
                <w:b/>
              </w:rPr>
              <w:t>Vplyvy na rozpočet verejnej správy</w:t>
            </w:r>
          </w:p>
        </w:tc>
        <w:sdt>
          <w:sdtPr>
            <w:rPr>
              <w:b/>
            </w:rPr>
            <w:id w:val="1121575439"/>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4931643" w14:textId="2C225AE6" w:rsidR="003501A1" w:rsidRPr="00A179AE" w:rsidRDefault="003501A1" w:rsidP="007B71A4">
                <w:pPr>
                  <w:jc w:val="center"/>
                  <w:rPr>
                    <w:b/>
                  </w:rPr>
                </w:pPr>
                <w:r w:rsidRPr="00A179AE">
                  <w:rPr>
                    <w:rFonts w:ascii="MS Mincho" w:eastAsia="MS Mincho" w:hAnsi="MS Mincho" w:cs="MS Mincho" w:hint="eastAsia"/>
                    <w:b/>
                  </w:rPr>
                  <w:t>☐</w:t>
                </w:r>
              </w:p>
            </w:tc>
          </w:sdtContent>
        </w:sdt>
        <w:tc>
          <w:tcPr>
            <w:tcW w:w="1281" w:type="dxa"/>
            <w:gridSpan w:val="2"/>
            <w:tcBorders>
              <w:top w:val="single" w:sz="4" w:space="0" w:color="auto"/>
              <w:left w:val="nil"/>
              <w:bottom w:val="single" w:sz="4" w:space="0" w:color="auto"/>
              <w:right w:val="nil"/>
            </w:tcBorders>
          </w:tcPr>
          <w:p w14:paraId="59C9F31D" w14:textId="77777777" w:rsidR="003501A1" w:rsidRPr="00A179AE" w:rsidRDefault="003501A1" w:rsidP="007B71A4">
            <w:pPr>
              <w:rPr>
                <w:b/>
              </w:rPr>
            </w:pPr>
            <w:r w:rsidRPr="00A179AE">
              <w:rPr>
                <w:b/>
              </w:rPr>
              <w:t>Pozitívne</w:t>
            </w:r>
          </w:p>
        </w:tc>
        <w:sdt>
          <w:sdtPr>
            <w:rPr>
              <w:b/>
            </w:rPr>
            <w:id w:val="-916405887"/>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33807328" w14:textId="54C4EF7F" w:rsidR="003501A1" w:rsidRPr="00A179AE" w:rsidRDefault="003501A1" w:rsidP="007B71A4">
                <w:pPr>
                  <w:jc w:val="center"/>
                  <w:rPr>
                    <w:b/>
                  </w:rPr>
                </w:pPr>
                <w:r w:rsidRPr="00A179AE">
                  <w:rPr>
                    <w:rFonts w:ascii="MS Mincho" w:eastAsia="MS Mincho" w:hAnsi="MS Mincho" w:cs="MS Mincho" w:hint="eastAsia"/>
                    <w:b/>
                  </w:rPr>
                  <w:t>☐</w:t>
                </w:r>
              </w:p>
            </w:tc>
          </w:sdtContent>
        </w:sdt>
        <w:tc>
          <w:tcPr>
            <w:tcW w:w="1133" w:type="dxa"/>
            <w:tcBorders>
              <w:top w:val="single" w:sz="4" w:space="0" w:color="auto"/>
              <w:left w:val="nil"/>
              <w:bottom w:val="single" w:sz="4" w:space="0" w:color="auto"/>
              <w:right w:val="nil"/>
            </w:tcBorders>
          </w:tcPr>
          <w:p w14:paraId="61CE9447" w14:textId="77777777" w:rsidR="003501A1" w:rsidRPr="00A179AE" w:rsidRDefault="003501A1" w:rsidP="007B71A4">
            <w:pPr>
              <w:rPr>
                <w:b/>
              </w:rPr>
            </w:pPr>
            <w:r w:rsidRPr="00A179AE">
              <w:rPr>
                <w:b/>
              </w:rPr>
              <w:t>Žiadne</w:t>
            </w:r>
          </w:p>
        </w:tc>
        <w:sdt>
          <w:sdtPr>
            <w:rPr>
              <w:b/>
            </w:rPr>
            <w:id w:val="-85364909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4D1B6453" w14:textId="2498D9C0" w:rsidR="003501A1" w:rsidRPr="00A179AE" w:rsidRDefault="00C71D0C" w:rsidP="007B71A4">
                <w:pPr>
                  <w:ind w:left="-107" w:right="-108"/>
                  <w:jc w:val="center"/>
                  <w:rPr>
                    <w:b/>
                  </w:rPr>
                </w:pPr>
                <w:r>
                  <w:rPr>
                    <w:rFonts w:ascii="MS Gothic" w:eastAsia="MS Gothic" w:hAnsi="MS Gothic" w:hint="eastAsia"/>
                    <w:b/>
                  </w:rPr>
                  <w:t>☒</w:t>
                </w:r>
              </w:p>
            </w:tc>
          </w:sdtContent>
        </w:sdt>
        <w:tc>
          <w:tcPr>
            <w:tcW w:w="1297" w:type="dxa"/>
            <w:tcBorders>
              <w:top w:val="single" w:sz="4" w:space="0" w:color="auto"/>
              <w:left w:val="nil"/>
              <w:bottom w:val="single" w:sz="4" w:space="0" w:color="auto"/>
              <w:right w:val="single" w:sz="4" w:space="0" w:color="auto"/>
            </w:tcBorders>
          </w:tcPr>
          <w:p w14:paraId="2EE499A6" w14:textId="77777777" w:rsidR="003501A1" w:rsidRPr="00A179AE" w:rsidRDefault="003501A1" w:rsidP="007B71A4">
            <w:pPr>
              <w:ind w:left="34"/>
              <w:rPr>
                <w:b/>
              </w:rPr>
            </w:pPr>
            <w:r w:rsidRPr="00A179AE">
              <w:rPr>
                <w:b/>
              </w:rPr>
              <w:t>Negatívne</w:t>
            </w:r>
          </w:p>
        </w:tc>
      </w:tr>
      <w:tr w:rsidR="003501A1" w:rsidRPr="00A179AE" w14:paraId="082BF634" w14:textId="77777777" w:rsidTr="004F6F1F">
        <w:tc>
          <w:tcPr>
            <w:tcW w:w="3812" w:type="dxa"/>
            <w:tcBorders>
              <w:top w:val="nil"/>
              <w:left w:val="single" w:sz="4" w:space="0" w:color="auto"/>
              <w:bottom w:val="single" w:sz="4" w:space="0" w:color="000000" w:themeColor="text1"/>
              <w:right w:val="single" w:sz="4" w:space="0" w:color="auto"/>
            </w:tcBorders>
            <w:shd w:val="clear" w:color="auto" w:fill="E2E2E2"/>
          </w:tcPr>
          <w:p w14:paraId="4A8721A5" w14:textId="77777777" w:rsidR="003501A1" w:rsidRPr="00E102C4" w:rsidRDefault="003501A1" w:rsidP="007B71A4">
            <w:r w:rsidRPr="00E102C4">
              <w:t xml:space="preserve">    z toho rozpočtovo zabezpečené vplyvy</w:t>
            </w:r>
          </w:p>
        </w:tc>
        <w:sdt>
          <w:sdtPr>
            <w:id w:val="-207372912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3D2295CD" w14:textId="7528647A" w:rsidR="003501A1" w:rsidRPr="00E102C4" w:rsidRDefault="00F5052F" w:rsidP="007B71A4">
                <w:pPr>
                  <w:jc w:val="center"/>
                </w:pPr>
                <w:r>
                  <w:rPr>
                    <w:rFonts w:ascii="MS Gothic" w:eastAsia="MS Gothic" w:hAnsi="MS Gothic" w:hint="eastAsia"/>
                  </w:rPr>
                  <w:t>☒</w:t>
                </w:r>
              </w:p>
            </w:tc>
          </w:sdtContent>
        </w:sdt>
        <w:tc>
          <w:tcPr>
            <w:tcW w:w="1281" w:type="dxa"/>
            <w:gridSpan w:val="2"/>
            <w:tcBorders>
              <w:top w:val="single" w:sz="4" w:space="0" w:color="auto"/>
              <w:left w:val="nil"/>
              <w:bottom w:val="single" w:sz="4" w:space="0" w:color="auto"/>
              <w:right w:val="nil"/>
            </w:tcBorders>
          </w:tcPr>
          <w:p w14:paraId="72D9B1A9" w14:textId="77777777" w:rsidR="003501A1" w:rsidRPr="00E102C4" w:rsidRDefault="003501A1" w:rsidP="007B71A4">
            <w:r w:rsidRPr="00E102C4">
              <w:t>Áno</w:t>
            </w:r>
          </w:p>
        </w:tc>
        <w:sdt>
          <w:sdtPr>
            <w:id w:val="-54388876"/>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24819895" w14:textId="38C53986" w:rsidR="003501A1" w:rsidRPr="00E102C4" w:rsidRDefault="001554B4" w:rsidP="007B71A4">
                <w:pPr>
                  <w:jc w:val="center"/>
                </w:pPr>
                <w:r>
                  <w:rPr>
                    <w:rFonts w:ascii="MS Gothic" w:eastAsia="MS Gothic" w:hAnsi="MS Gothic" w:hint="eastAsia"/>
                  </w:rPr>
                  <w:t>☐</w:t>
                </w:r>
              </w:p>
            </w:tc>
          </w:sdtContent>
        </w:sdt>
        <w:tc>
          <w:tcPr>
            <w:tcW w:w="1133" w:type="dxa"/>
            <w:tcBorders>
              <w:top w:val="single" w:sz="4" w:space="0" w:color="auto"/>
              <w:left w:val="nil"/>
              <w:bottom w:val="single" w:sz="4" w:space="0" w:color="auto"/>
              <w:right w:val="nil"/>
            </w:tcBorders>
          </w:tcPr>
          <w:p w14:paraId="1AC74D18" w14:textId="77777777" w:rsidR="003501A1" w:rsidRPr="00E102C4" w:rsidRDefault="003501A1" w:rsidP="007B71A4">
            <w:r w:rsidRPr="00E102C4">
              <w:t>Nie</w:t>
            </w:r>
          </w:p>
        </w:tc>
        <w:sdt>
          <w:sdtPr>
            <w:id w:val="361940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6AE557B3" w14:textId="29A38C44" w:rsidR="003501A1" w:rsidRPr="00E102C4" w:rsidRDefault="00F5052F" w:rsidP="007B71A4">
                <w:pPr>
                  <w:ind w:left="-107" w:right="-108"/>
                  <w:jc w:val="center"/>
                </w:pPr>
                <w:r>
                  <w:rPr>
                    <w:rFonts w:ascii="MS Gothic" w:eastAsia="MS Gothic" w:hAnsi="MS Gothic" w:hint="eastAsia"/>
                  </w:rPr>
                  <w:t>☐</w:t>
                </w:r>
              </w:p>
            </w:tc>
          </w:sdtContent>
        </w:sdt>
        <w:tc>
          <w:tcPr>
            <w:tcW w:w="1297" w:type="dxa"/>
            <w:tcBorders>
              <w:top w:val="single" w:sz="4" w:space="0" w:color="auto"/>
              <w:left w:val="nil"/>
              <w:bottom w:val="single" w:sz="4" w:space="0" w:color="auto"/>
              <w:right w:val="single" w:sz="4" w:space="0" w:color="auto"/>
            </w:tcBorders>
          </w:tcPr>
          <w:p w14:paraId="7B6260E4" w14:textId="77777777" w:rsidR="003501A1" w:rsidRPr="00E102C4" w:rsidRDefault="003501A1" w:rsidP="007B71A4">
            <w:pPr>
              <w:ind w:left="34"/>
            </w:pPr>
            <w:r w:rsidRPr="00E102C4">
              <w:t>Čiastočne</w:t>
            </w:r>
          </w:p>
        </w:tc>
      </w:tr>
      <w:tr w:rsidR="003501A1" w:rsidRPr="00A179AE" w14:paraId="4D48FF79" w14:textId="77777777" w:rsidTr="004F6F1F">
        <w:tc>
          <w:tcPr>
            <w:tcW w:w="3812" w:type="dxa"/>
            <w:tcBorders>
              <w:top w:val="single" w:sz="4" w:space="0" w:color="000000" w:themeColor="text1"/>
              <w:left w:val="single" w:sz="4" w:space="0" w:color="auto"/>
              <w:bottom w:val="nil"/>
              <w:right w:val="single" w:sz="4" w:space="0" w:color="auto"/>
            </w:tcBorders>
            <w:shd w:val="clear" w:color="auto" w:fill="E2E2E2"/>
          </w:tcPr>
          <w:p w14:paraId="1990E79C" w14:textId="77777777" w:rsidR="003501A1" w:rsidRPr="00E102C4" w:rsidRDefault="003501A1" w:rsidP="004C794A">
            <w:pPr>
              <w:rPr>
                <w:b/>
              </w:rPr>
            </w:pPr>
            <w:r w:rsidRPr="00E102C4">
              <w:rPr>
                <w:b/>
              </w:rPr>
              <w:t>Vplyvy na podnikateľské prostredie</w:t>
            </w:r>
          </w:p>
        </w:tc>
        <w:sdt>
          <w:sdtPr>
            <w:rPr>
              <w:b/>
            </w:rPr>
            <w:id w:val="1328319843"/>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6712006B" w14:textId="3A674A10" w:rsidR="003501A1" w:rsidRPr="00E102C4" w:rsidRDefault="003501A1" w:rsidP="007B71A4">
                <w:pPr>
                  <w:jc w:val="center"/>
                  <w:rPr>
                    <w:b/>
                  </w:rPr>
                </w:pPr>
                <w:r w:rsidRPr="00E102C4">
                  <w:rPr>
                    <w:rFonts w:ascii="MS Mincho" w:eastAsia="MS Mincho" w:hAnsi="MS Mincho" w:cs="MS Mincho" w:hint="eastAsia"/>
                    <w:b/>
                  </w:rPr>
                  <w:t>☐</w:t>
                </w:r>
              </w:p>
            </w:tc>
          </w:sdtContent>
        </w:sdt>
        <w:tc>
          <w:tcPr>
            <w:tcW w:w="1281" w:type="dxa"/>
            <w:gridSpan w:val="2"/>
            <w:tcBorders>
              <w:top w:val="single" w:sz="4" w:space="0" w:color="auto"/>
              <w:left w:val="nil"/>
              <w:bottom w:val="single" w:sz="4" w:space="0" w:color="auto"/>
              <w:right w:val="nil"/>
            </w:tcBorders>
          </w:tcPr>
          <w:p w14:paraId="38A70447" w14:textId="77777777" w:rsidR="003501A1" w:rsidRPr="00E102C4" w:rsidRDefault="003501A1" w:rsidP="007B71A4">
            <w:pPr>
              <w:ind w:right="-108"/>
              <w:rPr>
                <w:b/>
              </w:rPr>
            </w:pPr>
            <w:r w:rsidRPr="00E102C4">
              <w:rPr>
                <w:b/>
              </w:rPr>
              <w:t>Pozitívne</w:t>
            </w:r>
          </w:p>
        </w:tc>
        <w:sdt>
          <w:sdtPr>
            <w:rPr>
              <w:b/>
            </w:rPr>
            <w:id w:val="1564608664"/>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7A5BF7D9" w14:textId="148D7B29" w:rsidR="003501A1" w:rsidRPr="00E102C4" w:rsidRDefault="00A94590" w:rsidP="007B71A4">
                <w:pPr>
                  <w:jc w:val="center"/>
                  <w:rPr>
                    <w:b/>
                  </w:rPr>
                </w:pPr>
                <w:r w:rsidRPr="00E102C4">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14:paraId="35403ACA" w14:textId="77777777" w:rsidR="003501A1" w:rsidRPr="00E102C4" w:rsidRDefault="003501A1" w:rsidP="007B71A4">
            <w:pPr>
              <w:rPr>
                <w:b/>
              </w:rPr>
            </w:pPr>
            <w:r w:rsidRPr="00E102C4">
              <w:rPr>
                <w:b/>
              </w:rPr>
              <w:t>Žiadne</w:t>
            </w:r>
          </w:p>
        </w:tc>
        <w:sdt>
          <w:sdtPr>
            <w:rPr>
              <w:b/>
            </w:rPr>
            <w:id w:val="217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C1C3411" w14:textId="1F477DAE" w:rsidR="003501A1" w:rsidRPr="00E102C4" w:rsidRDefault="003501A1" w:rsidP="007B71A4">
                <w:pPr>
                  <w:jc w:val="center"/>
                  <w:rPr>
                    <w:b/>
                  </w:rPr>
                </w:pPr>
                <w:r w:rsidRPr="00E102C4">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tcPr>
          <w:p w14:paraId="61066476" w14:textId="77777777" w:rsidR="003501A1" w:rsidRPr="00E102C4" w:rsidRDefault="003501A1" w:rsidP="007B71A4">
            <w:pPr>
              <w:ind w:left="54"/>
              <w:rPr>
                <w:b/>
              </w:rPr>
            </w:pPr>
            <w:r w:rsidRPr="00E102C4">
              <w:rPr>
                <w:b/>
              </w:rPr>
              <w:t>Negatívne</w:t>
            </w:r>
          </w:p>
        </w:tc>
      </w:tr>
      <w:tr w:rsidR="003501A1" w:rsidRPr="00A179AE" w14:paraId="2DF0A03B" w14:textId="77777777" w:rsidTr="004F6F1F">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14:paraId="047DA16C" w14:textId="77777777" w:rsidR="003501A1" w:rsidRPr="00A179AE" w:rsidRDefault="003501A1" w:rsidP="007B71A4">
            <w:r w:rsidRPr="00A179AE">
              <w:t xml:space="preserve">    z toho vplyvy na MSP</w:t>
            </w:r>
          </w:p>
        </w:tc>
        <w:sdt>
          <w:sdtPr>
            <w:id w:val="19319380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000000" w:themeColor="text1"/>
                  <w:bottom w:val="single" w:sz="4" w:space="0" w:color="auto"/>
                  <w:right w:val="nil"/>
                </w:tcBorders>
              </w:tcPr>
              <w:p w14:paraId="62A66541" w14:textId="53C626CD" w:rsidR="003501A1" w:rsidRPr="00A179AE" w:rsidRDefault="003501A1" w:rsidP="007B71A4">
                <w:pPr>
                  <w:jc w:val="center"/>
                </w:pPr>
                <w:r w:rsidRPr="00A179AE">
                  <w:rPr>
                    <w:rFonts w:ascii="MS Mincho" w:eastAsia="MS Mincho" w:hAnsi="MS Mincho" w:cs="MS Mincho" w:hint="eastAsia"/>
                  </w:rPr>
                  <w:t>☐</w:t>
                </w:r>
              </w:p>
            </w:tc>
          </w:sdtContent>
        </w:sdt>
        <w:tc>
          <w:tcPr>
            <w:tcW w:w="1281" w:type="dxa"/>
            <w:gridSpan w:val="2"/>
            <w:tcBorders>
              <w:top w:val="single" w:sz="4" w:space="0" w:color="auto"/>
              <w:left w:val="nil"/>
              <w:bottom w:val="single" w:sz="4" w:space="0" w:color="auto"/>
              <w:right w:val="nil"/>
            </w:tcBorders>
          </w:tcPr>
          <w:p w14:paraId="24875139" w14:textId="77777777" w:rsidR="003501A1" w:rsidRPr="00A179AE" w:rsidRDefault="003501A1" w:rsidP="007B71A4">
            <w:pPr>
              <w:ind w:right="-108"/>
            </w:pPr>
            <w:r w:rsidRPr="00A179AE">
              <w:t>Pozitívne</w:t>
            </w:r>
          </w:p>
        </w:tc>
        <w:sdt>
          <w:sdtPr>
            <w:id w:val="-1696063787"/>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7643ACAE" w14:textId="7967A645" w:rsidR="003501A1" w:rsidRPr="00A179AE" w:rsidRDefault="004B6572" w:rsidP="007B71A4">
                <w:pPr>
                  <w:jc w:val="center"/>
                </w:pPr>
                <w:r>
                  <w:rPr>
                    <w:rFonts w:ascii="MS Gothic" w:eastAsia="MS Gothic" w:hAnsi="MS Gothic" w:hint="eastAsia"/>
                  </w:rPr>
                  <w:t>☐</w:t>
                </w:r>
              </w:p>
            </w:tc>
          </w:sdtContent>
        </w:sdt>
        <w:tc>
          <w:tcPr>
            <w:tcW w:w="1133" w:type="dxa"/>
            <w:tcBorders>
              <w:top w:val="single" w:sz="4" w:space="0" w:color="auto"/>
              <w:left w:val="nil"/>
              <w:bottom w:val="single" w:sz="4" w:space="0" w:color="auto"/>
              <w:right w:val="nil"/>
            </w:tcBorders>
          </w:tcPr>
          <w:p w14:paraId="1D447929" w14:textId="77777777" w:rsidR="003501A1" w:rsidRPr="00A179AE" w:rsidRDefault="003501A1" w:rsidP="007B71A4">
            <w:r w:rsidRPr="00A179AE">
              <w:t>Žiadne</w:t>
            </w:r>
          </w:p>
        </w:tc>
        <w:sdt>
          <w:sdtPr>
            <w:id w:val="671765022"/>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66E8EDBD" w14:textId="0A7B4F8E" w:rsidR="003501A1" w:rsidRPr="00A179AE" w:rsidRDefault="003501A1" w:rsidP="007B71A4">
                <w:pPr>
                  <w:jc w:val="center"/>
                </w:pPr>
                <w:r w:rsidRPr="00A179AE">
                  <w:rPr>
                    <w:rFonts w:ascii="MS Mincho" w:eastAsia="MS Mincho" w:hAnsi="MS Mincho" w:cs="MS Mincho" w:hint="eastAsia"/>
                  </w:rPr>
                  <w:t>☐</w:t>
                </w:r>
              </w:p>
            </w:tc>
          </w:sdtContent>
        </w:sdt>
        <w:tc>
          <w:tcPr>
            <w:tcW w:w="1297" w:type="dxa"/>
            <w:tcBorders>
              <w:top w:val="single" w:sz="4" w:space="0" w:color="auto"/>
              <w:left w:val="nil"/>
              <w:bottom w:val="single" w:sz="4" w:space="0" w:color="auto"/>
              <w:right w:val="single" w:sz="4" w:space="0" w:color="auto"/>
            </w:tcBorders>
          </w:tcPr>
          <w:p w14:paraId="10F54F51" w14:textId="77777777" w:rsidR="003501A1" w:rsidRPr="00A179AE" w:rsidRDefault="003501A1" w:rsidP="007B71A4">
            <w:pPr>
              <w:ind w:left="54"/>
            </w:pPr>
            <w:r w:rsidRPr="00A179AE">
              <w:t>Negatívne</w:t>
            </w:r>
          </w:p>
        </w:tc>
      </w:tr>
      <w:tr w:rsidR="003501A1" w:rsidRPr="00A179AE" w14:paraId="6E4796A0" w14:textId="77777777" w:rsidTr="004F6F1F">
        <w:tc>
          <w:tcPr>
            <w:tcW w:w="3812" w:type="dxa"/>
            <w:tcBorders>
              <w:top w:val="single" w:sz="4" w:space="0" w:color="000000" w:themeColor="text1"/>
              <w:left w:val="single" w:sz="4" w:space="0" w:color="auto"/>
              <w:bottom w:val="single" w:sz="4" w:space="0" w:color="auto"/>
              <w:right w:val="single" w:sz="4" w:space="0" w:color="auto"/>
            </w:tcBorders>
            <w:shd w:val="clear" w:color="auto" w:fill="E2E2E2"/>
          </w:tcPr>
          <w:p w14:paraId="033FCE0E" w14:textId="77777777" w:rsidR="003501A1" w:rsidRPr="00A179AE" w:rsidRDefault="003501A1" w:rsidP="004C794A">
            <w:pPr>
              <w:rPr>
                <w:b/>
              </w:rPr>
            </w:pPr>
            <w:r w:rsidRPr="00A179AE">
              <w:rPr>
                <w:b/>
              </w:rPr>
              <w:t>Sociálne vplyvy</w:t>
            </w:r>
          </w:p>
        </w:tc>
        <w:sdt>
          <w:sdtPr>
            <w:rPr>
              <w:b/>
            </w:rPr>
            <w:id w:val="44935786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1D0A1AA" w14:textId="52237090" w:rsidR="003501A1" w:rsidRPr="00A179AE" w:rsidRDefault="00A94590" w:rsidP="007B71A4">
                <w:pPr>
                  <w:jc w:val="center"/>
                  <w:rPr>
                    <w:b/>
                  </w:rPr>
                </w:pPr>
                <w:r>
                  <w:rPr>
                    <w:rFonts w:ascii="MS Gothic" w:eastAsia="MS Gothic" w:hAnsi="MS Gothic" w:hint="eastAsia"/>
                    <w:b/>
                  </w:rPr>
                  <w:t>☒</w:t>
                </w:r>
              </w:p>
            </w:tc>
          </w:sdtContent>
        </w:sdt>
        <w:tc>
          <w:tcPr>
            <w:tcW w:w="1281" w:type="dxa"/>
            <w:gridSpan w:val="2"/>
            <w:tcBorders>
              <w:top w:val="single" w:sz="4" w:space="0" w:color="auto"/>
              <w:left w:val="nil"/>
              <w:bottom w:val="single" w:sz="4" w:space="0" w:color="auto"/>
              <w:right w:val="nil"/>
            </w:tcBorders>
          </w:tcPr>
          <w:p w14:paraId="7BD6C189" w14:textId="77777777" w:rsidR="003501A1" w:rsidRPr="00A179AE" w:rsidRDefault="003501A1" w:rsidP="007B71A4">
            <w:pPr>
              <w:ind w:right="-108"/>
              <w:rPr>
                <w:b/>
              </w:rPr>
            </w:pPr>
            <w:r w:rsidRPr="00A179AE">
              <w:rPr>
                <w:b/>
              </w:rPr>
              <w:t>Pozitívne</w:t>
            </w:r>
          </w:p>
        </w:tc>
        <w:sdt>
          <w:sdtPr>
            <w:rPr>
              <w:b/>
            </w:rPr>
            <w:id w:val="-1719425362"/>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78CBA040" w14:textId="40A079A3" w:rsidR="003501A1" w:rsidRPr="00A179AE" w:rsidRDefault="003501A1" w:rsidP="007B71A4">
                <w:pPr>
                  <w:jc w:val="center"/>
                  <w:rPr>
                    <w:b/>
                  </w:rPr>
                </w:pPr>
                <w:r w:rsidRPr="00A179AE">
                  <w:rPr>
                    <w:rFonts w:ascii="MS Mincho" w:eastAsia="MS Mincho" w:hAnsi="MS Mincho" w:cs="MS Mincho" w:hint="eastAsia"/>
                    <w:b/>
                  </w:rPr>
                  <w:t>☐</w:t>
                </w:r>
              </w:p>
            </w:tc>
          </w:sdtContent>
        </w:sdt>
        <w:tc>
          <w:tcPr>
            <w:tcW w:w="1133" w:type="dxa"/>
            <w:tcBorders>
              <w:top w:val="single" w:sz="4" w:space="0" w:color="auto"/>
              <w:left w:val="nil"/>
              <w:bottom w:val="single" w:sz="4" w:space="0" w:color="auto"/>
              <w:right w:val="nil"/>
            </w:tcBorders>
          </w:tcPr>
          <w:p w14:paraId="36CF9E47" w14:textId="77777777" w:rsidR="003501A1" w:rsidRPr="00A179AE" w:rsidRDefault="003501A1" w:rsidP="007B71A4">
            <w:pPr>
              <w:rPr>
                <w:b/>
              </w:rPr>
            </w:pPr>
            <w:r w:rsidRPr="00A179AE">
              <w:rPr>
                <w:b/>
              </w:rPr>
              <w:t>Žiadne</w:t>
            </w:r>
          </w:p>
        </w:tc>
        <w:sdt>
          <w:sdtPr>
            <w:rPr>
              <w:b/>
            </w:rPr>
            <w:id w:val="-87083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55F7DA57" w14:textId="2EEFAAE3" w:rsidR="003501A1" w:rsidRPr="00A179AE" w:rsidRDefault="003501A1" w:rsidP="007B71A4">
                <w:pPr>
                  <w:jc w:val="center"/>
                  <w:rPr>
                    <w:b/>
                  </w:rPr>
                </w:pPr>
                <w:r w:rsidRPr="00A179AE">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tcPr>
          <w:p w14:paraId="20801F90" w14:textId="77777777" w:rsidR="003501A1" w:rsidRPr="00A179AE" w:rsidRDefault="003501A1" w:rsidP="007B71A4">
            <w:pPr>
              <w:ind w:left="54"/>
              <w:rPr>
                <w:b/>
              </w:rPr>
            </w:pPr>
            <w:r w:rsidRPr="00A179AE">
              <w:rPr>
                <w:b/>
              </w:rPr>
              <w:t>Negatívne</w:t>
            </w:r>
          </w:p>
        </w:tc>
      </w:tr>
      <w:tr w:rsidR="003501A1" w:rsidRPr="00A179AE" w14:paraId="65B35185" w14:textId="77777777" w:rsidTr="004F6F1F">
        <w:tc>
          <w:tcPr>
            <w:tcW w:w="3812" w:type="dxa"/>
            <w:tcBorders>
              <w:top w:val="single" w:sz="4" w:space="0" w:color="auto"/>
              <w:left w:val="single" w:sz="4" w:space="0" w:color="auto"/>
              <w:bottom w:val="single" w:sz="4" w:space="0" w:color="auto"/>
              <w:right w:val="single" w:sz="4" w:space="0" w:color="auto"/>
            </w:tcBorders>
            <w:shd w:val="clear" w:color="auto" w:fill="E2E2E2"/>
          </w:tcPr>
          <w:p w14:paraId="4B6A649F" w14:textId="77777777" w:rsidR="003501A1" w:rsidRPr="00A179AE" w:rsidRDefault="003501A1" w:rsidP="004C794A">
            <w:pPr>
              <w:rPr>
                <w:b/>
              </w:rPr>
            </w:pPr>
            <w:r w:rsidRPr="00A179AE">
              <w:rPr>
                <w:b/>
              </w:rPr>
              <w:t>Vplyvy na životné prostredie</w:t>
            </w:r>
          </w:p>
        </w:tc>
        <w:sdt>
          <w:sdtPr>
            <w:rPr>
              <w:b/>
            </w:rPr>
            <w:id w:val="30475515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BA30233" w14:textId="565B0D46" w:rsidR="003501A1" w:rsidRPr="00A179AE" w:rsidRDefault="003501A1" w:rsidP="007B71A4">
                <w:pPr>
                  <w:jc w:val="center"/>
                  <w:rPr>
                    <w:b/>
                  </w:rPr>
                </w:pPr>
                <w:r w:rsidRPr="00A179AE">
                  <w:rPr>
                    <w:rFonts w:ascii="MS Mincho" w:eastAsia="MS Mincho" w:hAnsi="MS Mincho" w:cs="MS Mincho" w:hint="eastAsia"/>
                    <w:b/>
                  </w:rPr>
                  <w:t>☐</w:t>
                </w:r>
              </w:p>
            </w:tc>
          </w:sdtContent>
        </w:sdt>
        <w:tc>
          <w:tcPr>
            <w:tcW w:w="1281" w:type="dxa"/>
            <w:gridSpan w:val="2"/>
            <w:tcBorders>
              <w:top w:val="single" w:sz="4" w:space="0" w:color="auto"/>
              <w:left w:val="nil"/>
              <w:bottom w:val="single" w:sz="4" w:space="0" w:color="auto"/>
              <w:right w:val="nil"/>
            </w:tcBorders>
          </w:tcPr>
          <w:p w14:paraId="47984195" w14:textId="77777777" w:rsidR="003501A1" w:rsidRPr="00A179AE" w:rsidRDefault="003501A1" w:rsidP="007B71A4">
            <w:pPr>
              <w:ind w:right="-108"/>
              <w:rPr>
                <w:b/>
              </w:rPr>
            </w:pPr>
            <w:r w:rsidRPr="00A179AE">
              <w:rPr>
                <w:b/>
              </w:rPr>
              <w:t>Pozitívne</w:t>
            </w:r>
          </w:p>
        </w:tc>
        <w:sdt>
          <w:sdtPr>
            <w:rPr>
              <w:b/>
            </w:rPr>
            <w:id w:val="23513619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3718CFEA" w14:textId="29897A64" w:rsidR="003501A1" w:rsidRPr="00A179AE" w:rsidRDefault="00A94590" w:rsidP="007B71A4">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14:paraId="4DED153B" w14:textId="77777777" w:rsidR="003501A1" w:rsidRPr="00A179AE" w:rsidRDefault="003501A1" w:rsidP="007B71A4">
            <w:pPr>
              <w:rPr>
                <w:b/>
              </w:rPr>
            </w:pPr>
            <w:r w:rsidRPr="00A179AE">
              <w:rPr>
                <w:b/>
              </w:rPr>
              <w:t>Žiadne</w:t>
            </w:r>
          </w:p>
        </w:tc>
        <w:sdt>
          <w:sdtPr>
            <w:rPr>
              <w:b/>
            </w:rPr>
            <w:id w:val="-1310200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B544E61" w14:textId="52CAD839" w:rsidR="003501A1" w:rsidRPr="00A179AE" w:rsidRDefault="003501A1" w:rsidP="007B71A4">
                <w:pPr>
                  <w:jc w:val="center"/>
                  <w:rPr>
                    <w:b/>
                  </w:rPr>
                </w:pPr>
                <w:r w:rsidRPr="00A179AE">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tcPr>
          <w:p w14:paraId="0C4F9FD4" w14:textId="77777777" w:rsidR="003501A1" w:rsidRPr="00A179AE" w:rsidRDefault="003501A1" w:rsidP="007B71A4">
            <w:pPr>
              <w:ind w:left="54"/>
              <w:rPr>
                <w:b/>
              </w:rPr>
            </w:pPr>
            <w:r w:rsidRPr="00A179AE">
              <w:rPr>
                <w:b/>
              </w:rPr>
              <w:t>Negatívne</w:t>
            </w:r>
          </w:p>
        </w:tc>
      </w:tr>
      <w:tr w:rsidR="003501A1" w:rsidRPr="00A179AE" w14:paraId="7D6E1494" w14:textId="77777777" w:rsidTr="00D827D5">
        <w:tc>
          <w:tcPr>
            <w:tcW w:w="3812" w:type="dxa"/>
            <w:tcBorders>
              <w:top w:val="single" w:sz="4" w:space="0" w:color="auto"/>
              <w:left w:val="single" w:sz="4" w:space="0" w:color="auto"/>
              <w:bottom w:val="nil"/>
              <w:right w:val="single" w:sz="4" w:space="0" w:color="auto"/>
            </w:tcBorders>
            <w:shd w:val="clear" w:color="auto" w:fill="E2E2E2"/>
          </w:tcPr>
          <w:p w14:paraId="2B4B3C6D" w14:textId="77777777" w:rsidR="003501A1" w:rsidRPr="00A179AE" w:rsidRDefault="003501A1" w:rsidP="004C794A">
            <w:pPr>
              <w:rPr>
                <w:b/>
              </w:rPr>
            </w:pPr>
            <w:r w:rsidRPr="00A179AE">
              <w:rPr>
                <w:b/>
              </w:rPr>
              <w:t>Vplyvy na informatizáciu</w:t>
            </w:r>
          </w:p>
        </w:tc>
        <w:sdt>
          <w:sdtPr>
            <w:rPr>
              <w:b/>
            </w:rPr>
            <w:id w:val="-94075100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nil"/>
                  <w:right w:val="nil"/>
                </w:tcBorders>
              </w:tcPr>
              <w:p w14:paraId="0059E4AA" w14:textId="1207CA6A" w:rsidR="003501A1" w:rsidRPr="00A179AE" w:rsidRDefault="003501A1" w:rsidP="007B71A4">
                <w:pPr>
                  <w:jc w:val="center"/>
                  <w:rPr>
                    <w:b/>
                  </w:rPr>
                </w:pPr>
                <w:r w:rsidRPr="00A179AE">
                  <w:rPr>
                    <w:rFonts w:ascii="MS Mincho" w:eastAsia="MS Mincho" w:hAnsi="MS Mincho" w:cs="MS Mincho" w:hint="eastAsia"/>
                    <w:b/>
                  </w:rPr>
                  <w:t>☐</w:t>
                </w:r>
              </w:p>
            </w:tc>
          </w:sdtContent>
        </w:sdt>
        <w:tc>
          <w:tcPr>
            <w:tcW w:w="1281" w:type="dxa"/>
            <w:gridSpan w:val="2"/>
            <w:tcBorders>
              <w:top w:val="single" w:sz="4" w:space="0" w:color="auto"/>
              <w:left w:val="nil"/>
              <w:bottom w:val="nil"/>
              <w:right w:val="nil"/>
            </w:tcBorders>
          </w:tcPr>
          <w:p w14:paraId="13A5F0AD" w14:textId="77777777" w:rsidR="003501A1" w:rsidRPr="00A179AE" w:rsidRDefault="003501A1" w:rsidP="007B71A4">
            <w:pPr>
              <w:ind w:right="-108"/>
              <w:rPr>
                <w:b/>
              </w:rPr>
            </w:pPr>
            <w:r w:rsidRPr="00A179AE">
              <w:rPr>
                <w:b/>
              </w:rPr>
              <w:t>Pozitívne</w:t>
            </w:r>
          </w:p>
        </w:tc>
        <w:sdt>
          <w:sdtPr>
            <w:rPr>
              <w:b/>
            </w:rPr>
            <w:id w:val="-1126152168"/>
            <w14:checkbox>
              <w14:checked w14:val="1"/>
              <w14:checkedState w14:val="2612" w14:font="MS Gothic"/>
              <w14:uncheckedState w14:val="2610" w14:font="MS Gothic"/>
            </w14:checkbox>
          </w:sdtPr>
          <w:sdtEndPr/>
          <w:sdtContent>
            <w:tc>
              <w:tcPr>
                <w:tcW w:w="569" w:type="dxa"/>
                <w:tcBorders>
                  <w:top w:val="single" w:sz="4" w:space="0" w:color="auto"/>
                  <w:left w:val="nil"/>
                  <w:bottom w:val="nil"/>
                  <w:right w:val="nil"/>
                </w:tcBorders>
              </w:tcPr>
              <w:p w14:paraId="600EE90D" w14:textId="3D2D028B" w:rsidR="003501A1" w:rsidRPr="00A179AE" w:rsidRDefault="00A94590" w:rsidP="007B71A4">
                <w:pPr>
                  <w:jc w:val="center"/>
                  <w:rPr>
                    <w:b/>
                  </w:rPr>
                </w:pPr>
                <w:r>
                  <w:rPr>
                    <w:rFonts w:ascii="MS Gothic" w:eastAsia="MS Gothic" w:hAnsi="MS Gothic" w:hint="eastAsia"/>
                    <w:b/>
                  </w:rPr>
                  <w:t>☒</w:t>
                </w:r>
              </w:p>
            </w:tc>
          </w:sdtContent>
        </w:sdt>
        <w:tc>
          <w:tcPr>
            <w:tcW w:w="1133" w:type="dxa"/>
            <w:tcBorders>
              <w:top w:val="single" w:sz="4" w:space="0" w:color="auto"/>
              <w:left w:val="nil"/>
              <w:bottom w:val="nil"/>
              <w:right w:val="nil"/>
            </w:tcBorders>
          </w:tcPr>
          <w:p w14:paraId="370F7584" w14:textId="77777777" w:rsidR="003501A1" w:rsidRPr="00A179AE" w:rsidRDefault="003501A1" w:rsidP="007B71A4">
            <w:pPr>
              <w:rPr>
                <w:b/>
              </w:rPr>
            </w:pPr>
            <w:r w:rsidRPr="00A179AE">
              <w:rPr>
                <w:b/>
              </w:rPr>
              <w:t>Žiadne</w:t>
            </w:r>
          </w:p>
        </w:tc>
        <w:sdt>
          <w:sdtPr>
            <w:rPr>
              <w:b/>
            </w:rPr>
            <w:id w:val="3788318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nil"/>
                  <w:right w:val="nil"/>
                </w:tcBorders>
              </w:tcPr>
              <w:p w14:paraId="671C142E" w14:textId="53CBD083" w:rsidR="003501A1" w:rsidRPr="00A179AE" w:rsidRDefault="003501A1" w:rsidP="007B71A4">
                <w:pPr>
                  <w:jc w:val="center"/>
                  <w:rPr>
                    <w:b/>
                  </w:rPr>
                </w:pPr>
                <w:r w:rsidRPr="00A179AE">
                  <w:rPr>
                    <w:rFonts w:ascii="MS Mincho" w:eastAsia="MS Mincho" w:hAnsi="MS Mincho" w:cs="MS Mincho" w:hint="eastAsia"/>
                    <w:b/>
                  </w:rPr>
                  <w:t>☐</w:t>
                </w:r>
              </w:p>
            </w:tc>
          </w:sdtContent>
        </w:sdt>
        <w:tc>
          <w:tcPr>
            <w:tcW w:w="1297" w:type="dxa"/>
            <w:tcBorders>
              <w:top w:val="single" w:sz="4" w:space="0" w:color="auto"/>
              <w:left w:val="nil"/>
              <w:bottom w:val="nil"/>
              <w:right w:val="single" w:sz="4" w:space="0" w:color="auto"/>
            </w:tcBorders>
          </w:tcPr>
          <w:p w14:paraId="3B3F10A3" w14:textId="77777777" w:rsidR="003501A1" w:rsidRPr="00A179AE" w:rsidRDefault="003501A1" w:rsidP="007B71A4">
            <w:pPr>
              <w:ind w:left="54"/>
              <w:rPr>
                <w:b/>
              </w:rPr>
            </w:pPr>
            <w:r w:rsidRPr="00A179AE">
              <w:rPr>
                <w:b/>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45465B" w:rsidRPr="00A179AE" w14:paraId="33967B56" w14:textId="77777777" w:rsidTr="00D827D5">
        <w:tc>
          <w:tcPr>
            <w:tcW w:w="3812" w:type="dxa"/>
            <w:tcBorders>
              <w:top w:val="single" w:sz="4" w:space="0" w:color="auto"/>
              <w:left w:val="single" w:sz="4" w:space="0" w:color="auto"/>
              <w:bottom w:val="nil"/>
              <w:right w:val="single" w:sz="4" w:space="0" w:color="auto"/>
            </w:tcBorders>
            <w:shd w:val="clear" w:color="auto" w:fill="E2E2E2"/>
          </w:tcPr>
          <w:p w14:paraId="03186A08" w14:textId="77777777" w:rsidR="0045465B" w:rsidRPr="00653ADA" w:rsidRDefault="0045465B" w:rsidP="00B83402">
            <w:pPr>
              <w:rPr>
                <w:b/>
              </w:rPr>
            </w:pPr>
            <w:r>
              <w:rPr>
                <w:rFonts w:eastAsia="Calibri"/>
                <w:b/>
                <w:lang w:eastAsia="en-US"/>
              </w:rPr>
              <w:t>V</w:t>
            </w:r>
            <w:r w:rsidRPr="00127DAC">
              <w:rPr>
                <w:rFonts w:eastAsia="Calibri"/>
                <w:b/>
                <w:lang w:eastAsia="en-US"/>
              </w:rPr>
              <w:t>plyv</w:t>
            </w:r>
            <w:r>
              <w:rPr>
                <w:rFonts w:eastAsia="Calibri"/>
                <w:b/>
                <w:lang w:eastAsia="en-US"/>
              </w:rPr>
              <w:t>y</w:t>
            </w:r>
            <w:r w:rsidRPr="00127DAC">
              <w:rPr>
                <w:rFonts w:eastAsia="Calibri"/>
                <w:b/>
                <w:lang w:eastAsia="en-US"/>
              </w:rPr>
              <w:t xml:space="preserve"> na služby verejnej správy pre občana</w:t>
            </w:r>
            <w:r>
              <w:rPr>
                <w:rFonts w:eastAsia="Calibri"/>
                <w:b/>
                <w:lang w:eastAsia="en-US"/>
              </w:rPr>
              <w:t>, z toho</w:t>
            </w:r>
          </w:p>
        </w:tc>
        <w:tc>
          <w:tcPr>
            <w:tcW w:w="541" w:type="dxa"/>
            <w:tcBorders>
              <w:top w:val="single" w:sz="4" w:space="0" w:color="auto"/>
              <w:left w:val="single" w:sz="4" w:space="0" w:color="auto"/>
              <w:bottom w:val="nil"/>
              <w:right w:val="nil"/>
            </w:tcBorders>
            <w:shd w:val="clear" w:color="auto" w:fill="auto"/>
          </w:tcPr>
          <w:p w14:paraId="5AA8568C" w14:textId="77777777" w:rsidR="0045465B" w:rsidRPr="00653ADA" w:rsidRDefault="0045465B" w:rsidP="00B83402">
            <w:pPr>
              <w:jc w:val="center"/>
              <w:rPr>
                <w:rFonts w:eastAsia="MS Mincho"/>
                <w:b/>
              </w:rPr>
            </w:pPr>
          </w:p>
        </w:tc>
        <w:tc>
          <w:tcPr>
            <w:tcW w:w="1281" w:type="dxa"/>
            <w:tcBorders>
              <w:top w:val="single" w:sz="4" w:space="0" w:color="auto"/>
              <w:left w:val="nil"/>
              <w:bottom w:val="nil"/>
              <w:right w:val="nil"/>
            </w:tcBorders>
            <w:shd w:val="clear" w:color="auto" w:fill="auto"/>
          </w:tcPr>
          <w:p w14:paraId="070D280F" w14:textId="77777777" w:rsidR="0045465B" w:rsidRPr="00653ADA" w:rsidRDefault="0045465B" w:rsidP="00B83402">
            <w:pPr>
              <w:ind w:right="-108"/>
              <w:rPr>
                <w:b/>
              </w:rPr>
            </w:pPr>
          </w:p>
        </w:tc>
        <w:tc>
          <w:tcPr>
            <w:tcW w:w="569" w:type="dxa"/>
            <w:tcBorders>
              <w:top w:val="single" w:sz="4" w:space="0" w:color="auto"/>
              <w:left w:val="nil"/>
              <w:bottom w:val="nil"/>
              <w:right w:val="nil"/>
            </w:tcBorders>
            <w:shd w:val="clear" w:color="auto" w:fill="auto"/>
          </w:tcPr>
          <w:p w14:paraId="1EC680D9" w14:textId="77777777" w:rsidR="0045465B" w:rsidRPr="00653ADA" w:rsidRDefault="0045465B" w:rsidP="00B83402">
            <w:pPr>
              <w:jc w:val="center"/>
              <w:rPr>
                <w:rFonts w:eastAsia="MS Mincho"/>
                <w:b/>
              </w:rPr>
            </w:pPr>
          </w:p>
        </w:tc>
        <w:tc>
          <w:tcPr>
            <w:tcW w:w="1133" w:type="dxa"/>
            <w:tcBorders>
              <w:top w:val="single" w:sz="4" w:space="0" w:color="auto"/>
              <w:left w:val="nil"/>
              <w:bottom w:val="nil"/>
              <w:right w:val="nil"/>
            </w:tcBorders>
            <w:shd w:val="clear" w:color="auto" w:fill="auto"/>
          </w:tcPr>
          <w:p w14:paraId="4049BD8E" w14:textId="77777777" w:rsidR="0045465B" w:rsidRPr="00653ADA" w:rsidRDefault="0045465B" w:rsidP="00B83402">
            <w:pPr>
              <w:rPr>
                <w:b/>
              </w:rPr>
            </w:pPr>
          </w:p>
        </w:tc>
        <w:tc>
          <w:tcPr>
            <w:tcW w:w="547" w:type="dxa"/>
            <w:tcBorders>
              <w:top w:val="single" w:sz="4" w:space="0" w:color="auto"/>
              <w:left w:val="nil"/>
              <w:bottom w:val="nil"/>
              <w:right w:val="nil"/>
            </w:tcBorders>
            <w:shd w:val="clear" w:color="auto" w:fill="auto"/>
          </w:tcPr>
          <w:p w14:paraId="67F9B751" w14:textId="77777777" w:rsidR="0045465B" w:rsidRPr="00653ADA" w:rsidRDefault="0045465B" w:rsidP="00B83402">
            <w:pPr>
              <w:jc w:val="center"/>
              <w:rPr>
                <w:rFonts w:eastAsia="MS Mincho"/>
                <w:b/>
              </w:rPr>
            </w:pPr>
          </w:p>
        </w:tc>
        <w:tc>
          <w:tcPr>
            <w:tcW w:w="1297" w:type="dxa"/>
            <w:tcBorders>
              <w:top w:val="single" w:sz="4" w:space="0" w:color="auto"/>
              <w:left w:val="nil"/>
              <w:bottom w:val="nil"/>
              <w:right w:val="single" w:sz="4" w:space="0" w:color="auto"/>
            </w:tcBorders>
            <w:shd w:val="clear" w:color="auto" w:fill="auto"/>
          </w:tcPr>
          <w:p w14:paraId="71FA8A3F" w14:textId="77777777" w:rsidR="0045465B" w:rsidRPr="00653ADA" w:rsidRDefault="0045465B" w:rsidP="00B83402">
            <w:pPr>
              <w:ind w:left="54"/>
              <w:rPr>
                <w:b/>
              </w:rPr>
            </w:pPr>
          </w:p>
        </w:tc>
      </w:tr>
      <w:tr w:rsidR="001A1559" w:rsidRPr="009634B3" w14:paraId="42F439A4" w14:textId="77777777" w:rsidTr="00D827D5">
        <w:trPr>
          <w:trHeight w:val="388"/>
        </w:trPr>
        <w:tc>
          <w:tcPr>
            <w:tcW w:w="3812" w:type="dxa"/>
            <w:tcBorders>
              <w:top w:val="nil"/>
              <w:left w:val="single" w:sz="4" w:space="0" w:color="auto"/>
              <w:bottom w:val="nil"/>
              <w:right w:val="single" w:sz="4" w:space="0" w:color="auto"/>
            </w:tcBorders>
            <w:shd w:val="clear" w:color="auto" w:fill="E2E2E2"/>
          </w:tcPr>
          <w:p w14:paraId="2F06742D" w14:textId="77777777" w:rsidR="001A1559" w:rsidRPr="009634B3" w:rsidRDefault="001A1559" w:rsidP="00B83402">
            <w:pPr>
              <w:ind w:left="196" w:hanging="196"/>
              <w:rPr>
                <w:rFonts w:eastAsia="Calibri"/>
                <w:b/>
                <w:lang w:eastAsia="en-US"/>
              </w:rPr>
            </w:pPr>
            <w:r w:rsidRPr="009634B3">
              <w:rPr>
                <w:rFonts w:eastAsia="Calibri"/>
                <w:b/>
                <w:lang w:eastAsia="en-US"/>
              </w:rPr>
              <w:t xml:space="preserve">    vplyvy služieb verejnej správy na občana</w:t>
            </w:r>
          </w:p>
        </w:tc>
        <w:sdt>
          <w:sdtPr>
            <w:rPr>
              <w:b/>
            </w:rPr>
            <w:id w:val="-1688362683"/>
            <w14:checkbox>
              <w14:checked w14:val="0"/>
              <w14:checkedState w14:val="2612" w14:font="MS Gothic"/>
              <w14:uncheckedState w14:val="2610" w14:font="MS Gothic"/>
            </w14:checkbox>
          </w:sdtPr>
          <w:sdtEndPr/>
          <w:sdtContent>
            <w:tc>
              <w:tcPr>
                <w:tcW w:w="541" w:type="dxa"/>
                <w:tcBorders>
                  <w:top w:val="nil"/>
                  <w:left w:val="single" w:sz="4" w:space="0" w:color="auto"/>
                  <w:bottom w:val="single" w:sz="4" w:space="0" w:color="auto"/>
                  <w:right w:val="nil"/>
                </w:tcBorders>
                <w:shd w:val="clear" w:color="auto" w:fill="auto"/>
              </w:tcPr>
              <w:p w14:paraId="25A3A556" w14:textId="490CE144" w:rsidR="001A1559" w:rsidRPr="00A179AE" w:rsidRDefault="001A1559" w:rsidP="00EB1608">
                <w:pPr>
                  <w:jc w:val="center"/>
                  <w:rPr>
                    <w:b/>
                  </w:rPr>
                </w:pPr>
                <w:r>
                  <w:rPr>
                    <w:rFonts w:ascii="MS Gothic" w:eastAsia="MS Gothic" w:hAnsi="MS Gothic" w:hint="eastAsia"/>
                    <w:b/>
                  </w:rPr>
                  <w:t>☐</w:t>
                </w:r>
              </w:p>
            </w:tc>
          </w:sdtContent>
        </w:sdt>
        <w:tc>
          <w:tcPr>
            <w:tcW w:w="1281" w:type="dxa"/>
            <w:tcBorders>
              <w:top w:val="nil"/>
              <w:left w:val="nil"/>
              <w:bottom w:val="single" w:sz="4" w:space="0" w:color="auto"/>
              <w:right w:val="nil"/>
            </w:tcBorders>
            <w:shd w:val="clear" w:color="auto" w:fill="auto"/>
          </w:tcPr>
          <w:p w14:paraId="120A968F" w14:textId="77777777" w:rsidR="001A1559" w:rsidRPr="00A179AE" w:rsidRDefault="001A1559" w:rsidP="00EB1608">
            <w:pPr>
              <w:ind w:right="-108"/>
              <w:rPr>
                <w:b/>
              </w:rPr>
            </w:pPr>
            <w:r w:rsidRPr="00A179AE">
              <w:rPr>
                <w:b/>
              </w:rPr>
              <w:t>Pozitívne</w:t>
            </w:r>
          </w:p>
        </w:tc>
        <w:sdt>
          <w:sdtPr>
            <w:rPr>
              <w:b/>
            </w:rPr>
            <w:id w:val="884985506"/>
            <w14:checkbox>
              <w14:checked w14:val="1"/>
              <w14:checkedState w14:val="2612" w14:font="MS Gothic"/>
              <w14:uncheckedState w14:val="2610" w14:font="MS Gothic"/>
            </w14:checkbox>
          </w:sdtPr>
          <w:sdtEndPr/>
          <w:sdtContent>
            <w:tc>
              <w:tcPr>
                <w:tcW w:w="569" w:type="dxa"/>
                <w:tcBorders>
                  <w:top w:val="nil"/>
                  <w:left w:val="nil"/>
                  <w:bottom w:val="single" w:sz="4" w:space="0" w:color="auto"/>
                  <w:right w:val="nil"/>
                </w:tcBorders>
                <w:shd w:val="clear" w:color="auto" w:fill="auto"/>
              </w:tcPr>
              <w:p w14:paraId="3B3E95E9" w14:textId="465FEBD6" w:rsidR="001A1559" w:rsidRPr="00A179AE" w:rsidRDefault="00A94590" w:rsidP="00EB1608">
                <w:pPr>
                  <w:jc w:val="center"/>
                  <w:rPr>
                    <w:b/>
                  </w:rPr>
                </w:pPr>
                <w:r>
                  <w:rPr>
                    <w:rFonts w:ascii="MS Gothic" w:eastAsia="MS Gothic" w:hAnsi="MS Gothic" w:hint="eastAsia"/>
                    <w:b/>
                  </w:rPr>
                  <w:t>☒</w:t>
                </w:r>
              </w:p>
            </w:tc>
          </w:sdtContent>
        </w:sdt>
        <w:tc>
          <w:tcPr>
            <w:tcW w:w="1133" w:type="dxa"/>
            <w:tcBorders>
              <w:top w:val="nil"/>
              <w:left w:val="nil"/>
              <w:bottom w:val="single" w:sz="4" w:space="0" w:color="auto"/>
              <w:right w:val="nil"/>
            </w:tcBorders>
            <w:shd w:val="clear" w:color="auto" w:fill="auto"/>
          </w:tcPr>
          <w:p w14:paraId="6B09DAB1" w14:textId="77777777" w:rsidR="001A1559" w:rsidRPr="00A179AE" w:rsidRDefault="001A1559" w:rsidP="00EB1608">
            <w:pPr>
              <w:rPr>
                <w:b/>
              </w:rPr>
            </w:pPr>
            <w:r w:rsidRPr="00A179AE">
              <w:rPr>
                <w:b/>
              </w:rPr>
              <w:t>Žiadne</w:t>
            </w:r>
          </w:p>
        </w:tc>
        <w:sdt>
          <w:sdtPr>
            <w:rPr>
              <w:b/>
            </w:rPr>
            <w:id w:val="-2146805846"/>
            <w14:checkbox>
              <w14:checked w14:val="0"/>
              <w14:checkedState w14:val="2612" w14:font="MS Gothic"/>
              <w14:uncheckedState w14:val="2610" w14:font="MS Gothic"/>
            </w14:checkbox>
          </w:sdtPr>
          <w:sdtEndPr/>
          <w:sdtContent>
            <w:tc>
              <w:tcPr>
                <w:tcW w:w="547" w:type="dxa"/>
                <w:tcBorders>
                  <w:top w:val="nil"/>
                  <w:left w:val="nil"/>
                  <w:bottom w:val="single" w:sz="4" w:space="0" w:color="auto"/>
                  <w:right w:val="nil"/>
                </w:tcBorders>
                <w:shd w:val="clear" w:color="auto" w:fill="auto"/>
              </w:tcPr>
              <w:p w14:paraId="7417AA57" w14:textId="49E91E1B" w:rsidR="001A1559" w:rsidRPr="00A179AE" w:rsidRDefault="001A1559" w:rsidP="00EB1608">
                <w:pPr>
                  <w:jc w:val="center"/>
                  <w:rPr>
                    <w:b/>
                  </w:rPr>
                </w:pPr>
                <w:r w:rsidRPr="00A179AE">
                  <w:rPr>
                    <w:rFonts w:ascii="MS Mincho" w:eastAsia="MS Mincho" w:hAnsi="MS Mincho" w:cs="MS Mincho" w:hint="eastAsia"/>
                    <w:b/>
                  </w:rPr>
                  <w:t>☐</w:t>
                </w:r>
              </w:p>
            </w:tc>
          </w:sdtContent>
        </w:sdt>
        <w:tc>
          <w:tcPr>
            <w:tcW w:w="1297" w:type="dxa"/>
            <w:tcBorders>
              <w:top w:val="nil"/>
              <w:left w:val="nil"/>
              <w:bottom w:val="single" w:sz="4" w:space="0" w:color="auto"/>
              <w:right w:val="single" w:sz="4" w:space="0" w:color="auto"/>
            </w:tcBorders>
            <w:shd w:val="clear" w:color="auto" w:fill="auto"/>
          </w:tcPr>
          <w:p w14:paraId="4AEEB721" w14:textId="77777777" w:rsidR="001A1559" w:rsidRPr="00A179AE" w:rsidRDefault="001A1559" w:rsidP="00EB1608">
            <w:pPr>
              <w:ind w:left="54"/>
              <w:rPr>
                <w:b/>
              </w:rPr>
            </w:pPr>
            <w:r w:rsidRPr="00A179AE">
              <w:rPr>
                <w:b/>
              </w:rPr>
              <w:t>Negatívne</w:t>
            </w:r>
          </w:p>
        </w:tc>
      </w:tr>
      <w:tr w:rsidR="001A1559" w:rsidRPr="009634B3" w14:paraId="31471335" w14:textId="77777777" w:rsidTr="00D827D5">
        <w:tc>
          <w:tcPr>
            <w:tcW w:w="3812" w:type="dxa"/>
            <w:tcBorders>
              <w:top w:val="nil"/>
              <w:left w:val="single" w:sz="4" w:space="0" w:color="auto"/>
              <w:bottom w:val="single" w:sz="4" w:space="0" w:color="auto"/>
              <w:right w:val="single" w:sz="4" w:space="0" w:color="auto"/>
            </w:tcBorders>
            <w:shd w:val="clear" w:color="auto" w:fill="E2E2E2"/>
          </w:tcPr>
          <w:p w14:paraId="2E541B73" w14:textId="77777777" w:rsidR="001A1559" w:rsidRPr="009634B3" w:rsidRDefault="001A1559" w:rsidP="00B83402">
            <w:pPr>
              <w:ind w:left="168" w:hanging="168"/>
              <w:rPr>
                <w:rFonts w:eastAsia="Calibri"/>
                <w:b/>
                <w:lang w:eastAsia="en-US"/>
              </w:rPr>
            </w:pPr>
            <w:r>
              <w:rPr>
                <w:rFonts w:eastAsia="Calibri"/>
                <w:b/>
                <w:lang w:eastAsia="en-US"/>
              </w:rPr>
              <w:t xml:space="preserve">    </w:t>
            </w:r>
            <w:r w:rsidRPr="009634B3">
              <w:rPr>
                <w:rFonts w:eastAsia="Calibri"/>
                <w:b/>
                <w:lang w:eastAsia="en-US"/>
              </w:rPr>
              <w:t>vplyvy na procesy služieb vo verejnej správe</w:t>
            </w:r>
          </w:p>
        </w:tc>
        <w:sdt>
          <w:sdtPr>
            <w:rPr>
              <w:b/>
            </w:rPr>
            <w:id w:val="-113984565"/>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shd w:val="clear" w:color="auto" w:fill="auto"/>
              </w:tcPr>
              <w:p w14:paraId="6BADE091" w14:textId="75AE7520" w:rsidR="001A1559" w:rsidRPr="00A179AE" w:rsidRDefault="00CB60C4" w:rsidP="00EB1608">
                <w:pPr>
                  <w:jc w:val="center"/>
                  <w:rPr>
                    <w:b/>
                  </w:rPr>
                </w:pPr>
                <w:r>
                  <w:rPr>
                    <w:rFonts w:ascii="MS Gothic" w:eastAsia="MS Gothic" w:hAnsi="MS Gothic" w:hint="eastAsia"/>
                    <w:b/>
                  </w:rPr>
                  <w:t>☐</w:t>
                </w:r>
              </w:p>
            </w:tc>
          </w:sdtContent>
        </w:sdt>
        <w:tc>
          <w:tcPr>
            <w:tcW w:w="1281" w:type="dxa"/>
            <w:tcBorders>
              <w:top w:val="single" w:sz="4" w:space="0" w:color="auto"/>
              <w:left w:val="nil"/>
              <w:bottom w:val="single" w:sz="4" w:space="0" w:color="auto"/>
              <w:right w:val="nil"/>
            </w:tcBorders>
            <w:shd w:val="clear" w:color="auto" w:fill="auto"/>
          </w:tcPr>
          <w:p w14:paraId="088D1A0F" w14:textId="77777777" w:rsidR="001A1559" w:rsidRPr="00A179AE" w:rsidRDefault="001A1559" w:rsidP="00EB1608">
            <w:pPr>
              <w:ind w:right="-108"/>
              <w:rPr>
                <w:b/>
              </w:rPr>
            </w:pPr>
            <w:r w:rsidRPr="00A179AE">
              <w:rPr>
                <w:b/>
              </w:rPr>
              <w:t>Pozitívne</w:t>
            </w:r>
          </w:p>
        </w:tc>
        <w:sdt>
          <w:sdtPr>
            <w:rPr>
              <w:b/>
            </w:rPr>
            <w:id w:val="-1325040833"/>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shd w:val="clear" w:color="auto" w:fill="auto"/>
              </w:tcPr>
              <w:p w14:paraId="282D5CD6" w14:textId="1270E436" w:rsidR="001A1559" w:rsidRPr="00A179AE" w:rsidRDefault="00A94590" w:rsidP="00EB1608">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shd w:val="clear" w:color="auto" w:fill="auto"/>
          </w:tcPr>
          <w:p w14:paraId="6F4F37BC" w14:textId="77777777" w:rsidR="001A1559" w:rsidRPr="00A179AE" w:rsidRDefault="001A1559" w:rsidP="00EB1608">
            <w:pPr>
              <w:rPr>
                <w:b/>
              </w:rPr>
            </w:pPr>
            <w:r w:rsidRPr="00A179AE">
              <w:rPr>
                <w:b/>
              </w:rPr>
              <w:t>Žiadne</w:t>
            </w:r>
          </w:p>
        </w:tc>
        <w:sdt>
          <w:sdtPr>
            <w:rPr>
              <w:b/>
            </w:rPr>
            <w:id w:val="2018029189"/>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shd w:val="clear" w:color="auto" w:fill="auto"/>
              </w:tcPr>
              <w:p w14:paraId="4D1A17C4" w14:textId="77777777" w:rsidR="001A1559" w:rsidRPr="00A179AE" w:rsidRDefault="001A1559" w:rsidP="00EB1608">
                <w:pPr>
                  <w:jc w:val="center"/>
                  <w:rPr>
                    <w:b/>
                  </w:rPr>
                </w:pPr>
                <w:r w:rsidRPr="00A179AE">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shd w:val="clear" w:color="auto" w:fill="auto"/>
          </w:tcPr>
          <w:p w14:paraId="7D0E8667" w14:textId="77777777" w:rsidR="001A1559" w:rsidRPr="00A179AE" w:rsidRDefault="001A1559" w:rsidP="00EB1608">
            <w:pPr>
              <w:ind w:left="54"/>
              <w:rPr>
                <w:b/>
              </w:rPr>
            </w:pPr>
            <w:r w:rsidRPr="00A179AE">
              <w:rPr>
                <w:b/>
              </w:rPr>
              <w:t>Negatívne</w:t>
            </w:r>
          </w:p>
        </w:tc>
      </w:tr>
      <w:tr w:rsidR="00CB60C4" w:rsidRPr="009634B3" w14:paraId="1FECE254" w14:textId="77777777" w:rsidTr="00D827D5">
        <w:tc>
          <w:tcPr>
            <w:tcW w:w="3812" w:type="dxa"/>
            <w:tcBorders>
              <w:top w:val="single" w:sz="4" w:space="0" w:color="auto"/>
              <w:left w:val="single" w:sz="4" w:space="0" w:color="auto"/>
              <w:bottom w:val="single" w:sz="4" w:space="0" w:color="auto"/>
              <w:right w:val="single" w:sz="4" w:space="0" w:color="auto"/>
            </w:tcBorders>
            <w:shd w:val="clear" w:color="auto" w:fill="E2E2E2"/>
          </w:tcPr>
          <w:p w14:paraId="150F7F4A" w14:textId="1408385E" w:rsidR="00CB60C4" w:rsidRDefault="00CB60C4" w:rsidP="00CB60C4">
            <w:pPr>
              <w:ind w:left="168" w:hanging="168"/>
              <w:rPr>
                <w:rFonts w:eastAsia="Calibri"/>
                <w:b/>
                <w:lang w:eastAsia="en-US"/>
              </w:rPr>
            </w:pPr>
            <w:r>
              <w:rPr>
                <w:rFonts w:ascii="Times" w:hAnsi="Times" w:cs="Times"/>
                <w:b/>
                <w:bCs/>
              </w:rPr>
              <w:t>Vplyvy na manželstvo, rodičovstvo a rodinu</w:t>
            </w:r>
          </w:p>
        </w:tc>
        <w:sdt>
          <w:sdtPr>
            <w:rPr>
              <w:b/>
            </w:rPr>
            <w:id w:val="358930787"/>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shd w:val="clear" w:color="auto" w:fill="auto"/>
              </w:tcPr>
              <w:p w14:paraId="0E9302B7" w14:textId="53BA3CF5" w:rsidR="00CB60C4" w:rsidRDefault="00CB60C4" w:rsidP="00CB60C4">
                <w:pPr>
                  <w:jc w:val="center"/>
                  <w:rPr>
                    <w:b/>
                  </w:rPr>
                </w:pPr>
                <w:r>
                  <w:rPr>
                    <w:rFonts w:ascii="MS Gothic" w:eastAsia="MS Gothic" w:hAnsi="MS Gothic" w:hint="eastAsia"/>
                    <w:b/>
                  </w:rPr>
                  <w:t>☐</w:t>
                </w:r>
              </w:p>
            </w:tc>
          </w:sdtContent>
        </w:sdt>
        <w:tc>
          <w:tcPr>
            <w:tcW w:w="1281" w:type="dxa"/>
            <w:tcBorders>
              <w:top w:val="single" w:sz="4" w:space="0" w:color="auto"/>
              <w:left w:val="nil"/>
              <w:bottom w:val="single" w:sz="4" w:space="0" w:color="auto"/>
              <w:right w:val="nil"/>
            </w:tcBorders>
            <w:shd w:val="clear" w:color="auto" w:fill="auto"/>
          </w:tcPr>
          <w:p w14:paraId="38DBEF3D" w14:textId="791D042B" w:rsidR="00CB60C4" w:rsidRPr="00A179AE" w:rsidRDefault="00CB60C4" w:rsidP="00CB60C4">
            <w:pPr>
              <w:ind w:right="-108"/>
              <w:rPr>
                <w:b/>
              </w:rPr>
            </w:pPr>
            <w:r w:rsidRPr="00A179AE">
              <w:rPr>
                <w:b/>
              </w:rPr>
              <w:t>Pozitívne</w:t>
            </w:r>
          </w:p>
        </w:tc>
        <w:sdt>
          <w:sdtPr>
            <w:rPr>
              <w:b/>
            </w:rPr>
            <w:id w:val="485055417"/>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shd w:val="clear" w:color="auto" w:fill="auto"/>
              </w:tcPr>
              <w:p w14:paraId="6875B8F2" w14:textId="6935E6F2" w:rsidR="00CB60C4" w:rsidRDefault="00CB60C4" w:rsidP="00CB60C4">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shd w:val="clear" w:color="auto" w:fill="auto"/>
          </w:tcPr>
          <w:p w14:paraId="07450830" w14:textId="53E9BF89" w:rsidR="00CB60C4" w:rsidRPr="00A179AE" w:rsidRDefault="00CB60C4" w:rsidP="00CB60C4">
            <w:pPr>
              <w:rPr>
                <w:b/>
              </w:rPr>
            </w:pPr>
            <w:r w:rsidRPr="00A179AE">
              <w:rPr>
                <w:b/>
              </w:rPr>
              <w:t>Žiadne</w:t>
            </w:r>
          </w:p>
        </w:tc>
        <w:sdt>
          <w:sdtPr>
            <w:rPr>
              <w:b/>
            </w:rPr>
            <w:id w:val="328719546"/>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shd w:val="clear" w:color="auto" w:fill="auto"/>
              </w:tcPr>
              <w:p w14:paraId="7E57DEF8" w14:textId="4965BAA5" w:rsidR="00CB60C4" w:rsidRDefault="00CB60C4" w:rsidP="00CB60C4">
                <w:pPr>
                  <w:jc w:val="center"/>
                  <w:rPr>
                    <w:b/>
                  </w:rPr>
                </w:pPr>
                <w:r w:rsidRPr="00A179AE">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shd w:val="clear" w:color="auto" w:fill="auto"/>
          </w:tcPr>
          <w:p w14:paraId="0C11BF84" w14:textId="5EB6178B" w:rsidR="00CB60C4" w:rsidRPr="00A179AE" w:rsidRDefault="00CB60C4" w:rsidP="00CB60C4">
            <w:pPr>
              <w:ind w:left="54"/>
              <w:rPr>
                <w:b/>
              </w:rPr>
            </w:pPr>
            <w:r w:rsidRPr="00A179AE">
              <w:rPr>
                <w:b/>
              </w:rPr>
              <w:t>Negatívne</w:t>
            </w:r>
          </w:p>
        </w:tc>
      </w:tr>
    </w:tbl>
    <w:p w14:paraId="0EB8A06A" w14:textId="77777777" w:rsidR="003501A1" w:rsidRDefault="003501A1" w:rsidP="003501A1">
      <w:pPr>
        <w:ind w:right="141"/>
        <w:rPr>
          <w:b/>
        </w:rPr>
      </w:pPr>
    </w:p>
    <w:p w14:paraId="5DB5E17D" w14:textId="77777777" w:rsidR="00CB60C4" w:rsidRDefault="00CB60C4" w:rsidP="003501A1">
      <w:pPr>
        <w:ind w:right="141"/>
        <w:rPr>
          <w:b/>
        </w:rPr>
      </w:pPr>
    </w:p>
    <w:p w14:paraId="25985C5E" w14:textId="77777777" w:rsidR="00CB60C4" w:rsidRPr="00A179AE" w:rsidRDefault="00CB60C4" w:rsidP="003501A1">
      <w:pPr>
        <w:ind w:right="141"/>
        <w:rPr>
          <w:b/>
        </w:rPr>
      </w:pPr>
    </w:p>
    <w:tbl>
      <w:tblPr>
        <w:tblStyle w:val="Mriekatabuky"/>
        <w:tblW w:w="9176" w:type="dxa"/>
        <w:tblLayout w:type="fixed"/>
        <w:tblLook w:val="04A0" w:firstRow="1" w:lastRow="0" w:firstColumn="1" w:lastColumn="0" w:noHBand="0" w:noVBand="1"/>
      </w:tblPr>
      <w:tblGrid>
        <w:gridCol w:w="9176"/>
      </w:tblGrid>
      <w:tr w:rsidR="004F6F1F" w:rsidRPr="00A179AE" w14:paraId="6F527B85" w14:textId="77777777" w:rsidTr="004F6F1F">
        <w:tc>
          <w:tcPr>
            <w:tcW w:w="9176" w:type="dxa"/>
            <w:tcBorders>
              <w:top w:val="single" w:sz="4" w:space="0" w:color="auto"/>
              <w:left w:val="single" w:sz="4" w:space="0" w:color="auto"/>
              <w:bottom w:val="nil"/>
              <w:right w:val="single" w:sz="4" w:space="0" w:color="auto"/>
            </w:tcBorders>
            <w:shd w:val="clear" w:color="auto" w:fill="E2E2E2"/>
          </w:tcPr>
          <w:p w14:paraId="5BEEB2E9" w14:textId="77777777" w:rsidR="004F6F1F" w:rsidRPr="00A179AE" w:rsidRDefault="004F6F1F"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Poznámky</w:t>
            </w:r>
          </w:p>
        </w:tc>
      </w:tr>
      <w:tr w:rsidR="004F6F1F" w:rsidRPr="00A179AE" w14:paraId="632B2D3B" w14:textId="77777777" w:rsidTr="004F6F1F">
        <w:trPr>
          <w:trHeight w:val="713"/>
        </w:trPr>
        <w:tc>
          <w:tcPr>
            <w:tcW w:w="9176" w:type="dxa"/>
            <w:tcBorders>
              <w:top w:val="nil"/>
              <w:left w:val="single" w:sz="4" w:space="0" w:color="auto"/>
              <w:bottom w:val="single" w:sz="4" w:space="0" w:color="FFFFFF" w:themeColor="background1"/>
              <w:right w:val="single" w:sz="4" w:space="0" w:color="auto"/>
            </w:tcBorders>
            <w:shd w:val="clear" w:color="auto" w:fill="auto"/>
          </w:tcPr>
          <w:p w14:paraId="677ED135" w14:textId="1A2AA33C" w:rsidR="004F6F1F" w:rsidRPr="007E270F" w:rsidRDefault="006863EA" w:rsidP="00E102C4">
            <w:pPr>
              <w:jc w:val="both"/>
              <w:rPr>
                <w:i/>
              </w:rPr>
            </w:pPr>
            <w:r w:rsidRPr="007E270F">
              <w:rPr>
                <w:i/>
                <w:u w:val="single"/>
              </w:rPr>
              <w:t>Vplyvy na rozpočet verejnej správy</w:t>
            </w:r>
            <w:r w:rsidRPr="007E270F">
              <w:rPr>
                <w:i/>
              </w:rPr>
              <w:t xml:space="preserve"> – </w:t>
            </w:r>
            <w:r w:rsidR="00930B57" w:rsidRPr="007E270F">
              <w:rPr>
                <w:i/>
              </w:rPr>
              <w:t xml:space="preserve">vplyv na rozpočet verejnej správy bude negatívny z dôvodu, že sa predpokladajú vyššie výdavky na </w:t>
            </w:r>
            <w:r w:rsidR="00E102C4">
              <w:rPr>
                <w:i/>
              </w:rPr>
              <w:t xml:space="preserve">vianočný príspevok v porovnaní so </w:t>
            </w:r>
            <w:r w:rsidR="00930B57" w:rsidRPr="007E270F">
              <w:rPr>
                <w:i/>
              </w:rPr>
              <w:t>schváleným</w:t>
            </w:r>
            <w:r w:rsidR="002672DA">
              <w:rPr>
                <w:i/>
              </w:rPr>
              <w:t xml:space="preserve"> rozpočtom štátnej správy na rok 2019 a rozpočtom verejnej správy</w:t>
            </w:r>
            <w:r w:rsidR="00930B57" w:rsidRPr="007E270F">
              <w:rPr>
                <w:i/>
              </w:rPr>
              <w:t xml:space="preserve"> </w:t>
            </w:r>
            <w:r w:rsidR="00E102C4">
              <w:rPr>
                <w:i/>
              </w:rPr>
              <w:t>na rok</w:t>
            </w:r>
            <w:r w:rsidR="002672DA">
              <w:rPr>
                <w:i/>
              </w:rPr>
              <w:t>y</w:t>
            </w:r>
            <w:r w:rsidR="00E102C4">
              <w:rPr>
                <w:i/>
              </w:rPr>
              <w:t xml:space="preserve"> 2019</w:t>
            </w:r>
            <w:r w:rsidR="003D41A9">
              <w:rPr>
                <w:i/>
              </w:rPr>
              <w:t xml:space="preserve"> </w:t>
            </w:r>
            <w:r w:rsidR="002672DA">
              <w:rPr>
                <w:i/>
              </w:rPr>
              <w:t>až 2021</w:t>
            </w:r>
            <w:r w:rsidR="003D41A9">
              <w:rPr>
                <w:i/>
              </w:rPr>
              <w:t>.</w:t>
            </w:r>
          </w:p>
          <w:p w14:paraId="072CC74F" w14:textId="77777777" w:rsidR="000B474D" w:rsidRPr="007E270F" w:rsidRDefault="000B474D" w:rsidP="00E102C4">
            <w:pPr>
              <w:jc w:val="both"/>
              <w:rPr>
                <w:i/>
              </w:rPr>
            </w:pPr>
          </w:p>
          <w:p w14:paraId="5BE6C823" w14:textId="2D3781D1" w:rsidR="006863EA" w:rsidRPr="00A179AE" w:rsidRDefault="006863EA" w:rsidP="00E102C4">
            <w:pPr>
              <w:jc w:val="both"/>
              <w:rPr>
                <w:i/>
              </w:rPr>
            </w:pPr>
            <w:r w:rsidRPr="007E270F">
              <w:rPr>
                <w:i/>
                <w:u w:val="single"/>
              </w:rPr>
              <w:t>Sociálne vplyvy</w:t>
            </w:r>
            <w:r w:rsidRPr="007E270F">
              <w:rPr>
                <w:i/>
              </w:rPr>
              <w:t xml:space="preserve"> –</w:t>
            </w:r>
            <w:r w:rsidR="002672DA">
              <w:rPr>
                <w:i/>
              </w:rPr>
              <w:t xml:space="preserve"> </w:t>
            </w:r>
            <w:r w:rsidR="004C5867">
              <w:rPr>
                <w:rFonts w:eastAsia="Calibri"/>
                <w:i/>
              </w:rPr>
              <w:t>pozitívny vplyv na hospodárenie domácností oprávneného okruhu poberateľov vianočného príspevku</w:t>
            </w:r>
            <w:r w:rsidRPr="007E270F">
              <w:rPr>
                <w:i/>
              </w:rPr>
              <w:t>.</w:t>
            </w:r>
          </w:p>
          <w:p w14:paraId="3F98C786" w14:textId="77777777" w:rsidR="004F6F1F" w:rsidRPr="00A179AE" w:rsidRDefault="004F6F1F" w:rsidP="004F6F1F">
            <w:pPr>
              <w:pStyle w:val="Odsekzoznamu"/>
              <w:spacing w:after="0" w:line="240" w:lineRule="auto"/>
              <w:ind w:left="426"/>
              <w:rPr>
                <w:rFonts w:ascii="Times New Roman" w:hAnsi="Times New Roman" w:cs="Times New Roman"/>
                <w:b/>
              </w:rPr>
            </w:pPr>
          </w:p>
        </w:tc>
      </w:tr>
      <w:tr w:rsidR="003501A1" w:rsidRPr="00A179AE" w14:paraId="7A5B113A" w14:textId="77777777" w:rsidTr="007B71A4">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14:paraId="0A730A34" w14:textId="77777777"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Kontakt na spracovateľa</w:t>
            </w:r>
          </w:p>
        </w:tc>
      </w:tr>
      <w:tr w:rsidR="003501A1" w:rsidRPr="00A179AE" w14:paraId="7E959CE6" w14:textId="77777777" w:rsidTr="004F6F1F">
        <w:trPr>
          <w:trHeight w:val="586"/>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12B0E1F2" w14:textId="77777777" w:rsidR="00E102C4" w:rsidRPr="00E102C4" w:rsidRDefault="00E102C4" w:rsidP="00E102C4">
            <w:pPr>
              <w:rPr>
                <w:rFonts w:eastAsiaTheme="minorEastAsia"/>
                <w:i/>
                <w:iCs/>
                <w:noProof/>
              </w:rPr>
            </w:pPr>
            <w:r w:rsidRPr="00E102C4">
              <w:rPr>
                <w:rFonts w:eastAsiaTheme="minorEastAsia"/>
                <w:i/>
                <w:iCs/>
                <w:noProof/>
              </w:rPr>
              <w:t>Mgr. Miroslav Danček</w:t>
            </w:r>
          </w:p>
          <w:p w14:paraId="26D8CEC4" w14:textId="2A6EF2B6" w:rsidR="00E102C4" w:rsidRPr="00E102C4" w:rsidRDefault="00E102C4" w:rsidP="00E102C4">
            <w:pPr>
              <w:rPr>
                <w:rFonts w:eastAsiaTheme="minorEastAsia"/>
                <w:i/>
                <w:iCs/>
                <w:noProof/>
              </w:rPr>
            </w:pPr>
            <w:r w:rsidRPr="00E102C4">
              <w:rPr>
                <w:rFonts w:eastAsiaTheme="minorEastAsia"/>
                <w:i/>
                <w:iCs/>
                <w:noProof/>
              </w:rPr>
              <w:t xml:space="preserve">email: </w:t>
            </w:r>
            <w:hyperlink r:id="rId9" w:history="1">
              <w:r w:rsidRPr="00E102C4">
                <w:rPr>
                  <w:rStyle w:val="Hypertextovprepojenie"/>
                  <w:rFonts w:eastAsiaTheme="minorEastAsia"/>
                  <w:i/>
                  <w:iCs/>
                  <w:noProof/>
                </w:rPr>
                <w:t>miroslav.dancek@employment.gov.sk</w:t>
              </w:r>
            </w:hyperlink>
            <w:r w:rsidRPr="00E102C4">
              <w:rPr>
                <w:rFonts w:eastAsiaTheme="minorEastAsia"/>
                <w:i/>
                <w:iCs/>
                <w:noProof/>
              </w:rPr>
              <w:br/>
              <w:t xml:space="preserve">tel: </w:t>
            </w:r>
            <w:r w:rsidRPr="00E102C4">
              <w:rPr>
                <w:rFonts w:eastAsiaTheme="minorEastAsia"/>
                <w:i/>
                <w:iCs/>
                <w:noProof/>
                <w:shd w:val="clear" w:color="auto" w:fill="FFFFFF"/>
              </w:rPr>
              <w:t>02</w:t>
            </w:r>
            <w:r w:rsidR="000316A9">
              <w:rPr>
                <w:rFonts w:eastAsiaTheme="minorEastAsia"/>
                <w:i/>
                <w:iCs/>
                <w:noProof/>
                <w:shd w:val="clear" w:color="auto" w:fill="FFFFFF"/>
              </w:rPr>
              <w:t xml:space="preserve"> </w:t>
            </w:r>
            <w:r w:rsidRPr="00E102C4">
              <w:rPr>
                <w:rFonts w:eastAsiaTheme="minorEastAsia"/>
                <w:i/>
                <w:iCs/>
                <w:noProof/>
                <w:shd w:val="clear" w:color="auto" w:fill="FFFFFF"/>
              </w:rPr>
              <w:t>/</w:t>
            </w:r>
            <w:r w:rsidR="000316A9">
              <w:rPr>
                <w:rFonts w:eastAsiaTheme="minorEastAsia"/>
                <w:i/>
                <w:iCs/>
                <w:noProof/>
                <w:shd w:val="clear" w:color="auto" w:fill="FFFFFF"/>
              </w:rPr>
              <w:t xml:space="preserve"> </w:t>
            </w:r>
            <w:r w:rsidRPr="00E102C4">
              <w:rPr>
                <w:rFonts w:eastAsiaTheme="minorEastAsia"/>
                <w:i/>
                <w:iCs/>
                <w:noProof/>
                <w:shd w:val="clear" w:color="auto" w:fill="FFFFFF"/>
              </w:rPr>
              <w:t>2046</w:t>
            </w:r>
            <w:r w:rsidR="000316A9">
              <w:rPr>
                <w:rFonts w:eastAsiaTheme="minorEastAsia"/>
                <w:i/>
                <w:iCs/>
                <w:noProof/>
                <w:shd w:val="clear" w:color="auto" w:fill="FFFFFF"/>
              </w:rPr>
              <w:t xml:space="preserve"> </w:t>
            </w:r>
            <w:r w:rsidRPr="00E102C4">
              <w:rPr>
                <w:rFonts w:eastAsiaTheme="minorEastAsia"/>
                <w:i/>
                <w:iCs/>
                <w:noProof/>
                <w:shd w:val="clear" w:color="auto" w:fill="FFFFFF"/>
              </w:rPr>
              <w:t>1930</w:t>
            </w:r>
          </w:p>
          <w:p w14:paraId="6681047A" w14:textId="77777777" w:rsidR="003501A1" w:rsidRPr="00E102C4" w:rsidRDefault="003501A1" w:rsidP="005C1717">
            <w:pPr>
              <w:rPr>
                <w:i/>
              </w:rPr>
            </w:pPr>
          </w:p>
        </w:tc>
      </w:tr>
      <w:tr w:rsidR="003501A1" w:rsidRPr="00A179AE" w14:paraId="437BF23A" w14:textId="77777777" w:rsidTr="007B71A4">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14:paraId="4CB128ED" w14:textId="77777777"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Zdroje</w:t>
            </w:r>
          </w:p>
        </w:tc>
      </w:tr>
      <w:tr w:rsidR="003501A1" w:rsidRPr="00A179AE" w14:paraId="07089028" w14:textId="77777777" w:rsidTr="007B71A4">
        <w:trPr>
          <w:trHeight w:val="401"/>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050864A7" w14:textId="403ED210" w:rsidR="00930B57" w:rsidRDefault="007E270F" w:rsidP="002672DA">
            <w:pPr>
              <w:jc w:val="both"/>
              <w:rPr>
                <w:i/>
              </w:rPr>
            </w:pPr>
            <w:r w:rsidRPr="007E270F">
              <w:rPr>
                <w:i/>
              </w:rPr>
              <w:t>Sociálna poisťovňa:</w:t>
            </w:r>
            <w:r w:rsidR="00E102C4">
              <w:rPr>
                <w:i/>
              </w:rPr>
              <w:t xml:space="preserve"> údaje o vyplácaných dôchodkoch Sociálnou poisťovňou na individuálnej báze.</w:t>
            </w:r>
          </w:p>
          <w:p w14:paraId="2AE4E182" w14:textId="77777777" w:rsidR="003D41A9" w:rsidRDefault="003D41A9" w:rsidP="00930B57">
            <w:pPr>
              <w:rPr>
                <w:i/>
              </w:rPr>
            </w:pPr>
          </w:p>
          <w:p w14:paraId="4717BE45" w14:textId="450D78A5" w:rsidR="003D41A9" w:rsidRDefault="003D41A9" w:rsidP="00930B57">
            <w:pPr>
              <w:rPr>
                <w:i/>
              </w:rPr>
            </w:pPr>
            <w:r>
              <w:rPr>
                <w:i/>
              </w:rPr>
              <w:t xml:space="preserve">Makroekonomická prognóza IFP </w:t>
            </w:r>
            <w:r w:rsidR="004536CC">
              <w:rPr>
                <w:i/>
              </w:rPr>
              <w:t>február 2019</w:t>
            </w:r>
            <w:r>
              <w:rPr>
                <w:i/>
              </w:rPr>
              <w:t>:</w:t>
            </w:r>
          </w:p>
          <w:p w14:paraId="79037C97" w14:textId="6AD3B4A6" w:rsidR="004536CC" w:rsidRDefault="0047707F" w:rsidP="00930B57">
            <w:hyperlink r:id="rId10" w:history="1">
              <w:r w:rsidR="004536CC" w:rsidRPr="00C947BF">
                <w:rPr>
                  <w:rStyle w:val="Hypertextovprepojenie"/>
                </w:rPr>
                <w:t>https://www.finance.gov.sk/sk/financie/institut-financnej-politiky/ekonomicke-prognozy/makroekonomicke-prognozy/47-zasadnutie-vyboru-makroekonomicke-prognozy-februar-2019.html</w:t>
              </w:r>
            </w:hyperlink>
          </w:p>
          <w:p w14:paraId="5D612128" w14:textId="77777777" w:rsidR="003D41A9" w:rsidRPr="00A179AE" w:rsidRDefault="003D41A9" w:rsidP="00930B57">
            <w:pPr>
              <w:rPr>
                <w:i/>
              </w:rPr>
            </w:pPr>
          </w:p>
          <w:p w14:paraId="2E0A1C62" w14:textId="77777777" w:rsidR="003501A1" w:rsidRPr="00A179AE" w:rsidRDefault="003501A1" w:rsidP="007B71A4">
            <w:pPr>
              <w:rPr>
                <w:i/>
              </w:rPr>
            </w:pPr>
          </w:p>
          <w:p w14:paraId="54EF9A8A" w14:textId="77777777" w:rsidR="003501A1" w:rsidRPr="00A179AE" w:rsidRDefault="003501A1" w:rsidP="007B71A4">
            <w:pPr>
              <w:rPr>
                <w:b/>
              </w:rPr>
            </w:pPr>
          </w:p>
        </w:tc>
      </w:tr>
      <w:tr w:rsidR="003501A1" w:rsidRPr="00A179AE" w14:paraId="7CBA9603" w14:textId="77777777" w:rsidTr="007B71A4">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14:paraId="6E8EF0D9" w14:textId="77777777"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 xml:space="preserve">Stanovisko </w:t>
            </w:r>
            <w:r>
              <w:rPr>
                <w:rFonts w:ascii="Times New Roman" w:hAnsi="Times New Roman" w:cs="Times New Roman"/>
                <w:b/>
              </w:rPr>
              <w:t>Komisie pre posudzovanie vybraných vplyvov</w:t>
            </w:r>
            <w:r w:rsidRPr="00A179AE">
              <w:rPr>
                <w:rFonts w:ascii="Times New Roman" w:hAnsi="Times New Roman" w:cs="Times New Roman"/>
                <w:b/>
              </w:rPr>
              <w:t xml:space="preserve"> z PPK</w:t>
            </w:r>
          </w:p>
        </w:tc>
      </w:tr>
      <w:tr w:rsidR="003501A1" w:rsidRPr="00461F5E" w14:paraId="5E8C6297" w14:textId="77777777" w:rsidTr="007B71A4">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1D19E18F" w14:textId="77777777" w:rsidR="003501A1" w:rsidRPr="00461F5E" w:rsidRDefault="003501A1" w:rsidP="007B71A4">
            <w:pPr>
              <w:rPr>
                <w:b/>
                <w:sz w:val="22"/>
                <w:szCs w:val="22"/>
              </w:rPr>
            </w:pPr>
          </w:p>
          <w:tbl>
            <w:tblPr>
              <w:tblW w:w="0" w:type="auto"/>
              <w:tblInd w:w="109" w:type="dxa"/>
              <w:tblLayout w:type="fixed"/>
              <w:tblLook w:val="0000" w:firstRow="0" w:lastRow="0" w:firstColumn="0" w:lastColumn="0" w:noHBand="0" w:noVBand="0"/>
            </w:tblPr>
            <w:tblGrid>
              <w:gridCol w:w="4253"/>
              <w:gridCol w:w="5244"/>
            </w:tblGrid>
            <w:tr w:rsidR="00DF4095" w:rsidRPr="00461F5E" w14:paraId="24D36701" w14:textId="77777777" w:rsidTr="00346D41">
              <w:tc>
                <w:tcPr>
                  <w:tcW w:w="4253" w:type="dxa"/>
                  <w:shd w:val="clear" w:color="auto" w:fill="auto"/>
                </w:tcPr>
                <w:p w14:paraId="1F5214B2" w14:textId="77777777" w:rsidR="00DF4095" w:rsidRPr="00461F5E" w:rsidRDefault="00DF4095" w:rsidP="00DF4095">
                  <w:pPr>
                    <w:jc w:val="both"/>
                    <w:rPr>
                      <w:smallCaps/>
                      <w:sz w:val="22"/>
                      <w:szCs w:val="22"/>
                    </w:rPr>
                  </w:pPr>
                </w:p>
              </w:tc>
              <w:tc>
                <w:tcPr>
                  <w:tcW w:w="5244" w:type="dxa"/>
                  <w:shd w:val="clear" w:color="auto" w:fill="auto"/>
                </w:tcPr>
                <w:p w14:paraId="2AF0A433" w14:textId="77777777" w:rsidR="00DF4095" w:rsidRPr="00461F5E" w:rsidRDefault="00DF4095" w:rsidP="00DF4095">
                  <w:pPr>
                    <w:rPr>
                      <w:smallCaps/>
                      <w:sz w:val="22"/>
                      <w:szCs w:val="22"/>
                    </w:rPr>
                  </w:pPr>
                  <w:r w:rsidRPr="00461F5E">
                    <w:rPr>
                      <w:smallCaps/>
                      <w:sz w:val="22"/>
                      <w:szCs w:val="22"/>
                    </w:rPr>
                    <w:t xml:space="preserve">                                       Bratislava:  28.1.2019</w:t>
                  </w:r>
                </w:p>
                <w:p w14:paraId="6CD7F2AB" w14:textId="77777777" w:rsidR="00DF4095" w:rsidRPr="00461F5E" w:rsidRDefault="00DF4095" w:rsidP="00DF4095">
                  <w:pPr>
                    <w:rPr>
                      <w:smallCaps/>
                      <w:sz w:val="22"/>
                      <w:szCs w:val="22"/>
                    </w:rPr>
                  </w:pPr>
                  <w:r w:rsidRPr="00461F5E">
                    <w:rPr>
                      <w:smallCaps/>
                      <w:sz w:val="22"/>
                      <w:szCs w:val="22"/>
                    </w:rPr>
                    <w:t xml:space="preserve">                                       Číslo: 007/2019</w:t>
                  </w:r>
                </w:p>
                <w:p w14:paraId="33858887" w14:textId="77777777" w:rsidR="00DF4095" w:rsidRPr="00461F5E" w:rsidRDefault="00DF4095" w:rsidP="00DF4095">
                  <w:pPr>
                    <w:rPr>
                      <w:sz w:val="22"/>
                      <w:szCs w:val="22"/>
                    </w:rPr>
                  </w:pPr>
                  <w:r w:rsidRPr="00461F5E">
                    <w:rPr>
                      <w:smallCaps/>
                      <w:sz w:val="22"/>
                      <w:szCs w:val="22"/>
                    </w:rPr>
                    <w:t xml:space="preserve">                                       Vybavuje: Mgr. Kováč</w:t>
                  </w:r>
                </w:p>
              </w:tc>
            </w:tr>
          </w:tbl>
          <w:p w14:paraId="5D236189" w14:textId="77777777" w:rsidR="00DF4095" w:rsidRPr="00461F5E" w:rsidRDefault="00DF4095" w:rsidP="00DF4095">
            <w:pPr>
              <w:ind w:right="-2"/>
              <w:jc w:val="center"/>
              <w:rPr>
                <w:sz w:val="22"/>
                <w:szCs w:val="22"/>
              </w:rPr>
            </w:pPr>
          </w:p>
          <w:p w14:paraId="0B19C0CF" w14:textId="77777777" w:rsidR="00DF4095" w:rsidRPr="00461F5E" w:rsidRDefault="00DF4095" w:rsidP="00DF4095">
            <w:pPr>
              <w:pStyle w:val="Nadpis4"/>
              <w:outlineLvl w:val="3"/>
              <w:rPr>
                <w:sz w:val="22"/>
                <w:szCs w:val="22"/>
              </w:rPr>
            </w:pPr>
            <w:r w:rsidRPr="00461F5E">
              <w:rPr>
                <w:spacing w:val="20"/>
                <w:sz w:val="22"/>
                <w:szCs w:val="22"/>
              </w:rPr>
              <w:t>stanovisko komisie</w:t>
            </w:r>
            <w:r w:rsidRPr="00461F5E">
              <w:rPr>
                <w:sz w:val="22"/>
                <w:szCs w:val="22"/>
              </w:rPr>
              <w:t xml:space="preserve"> </w:t>
            </w:r>
          </w:p>
          <w:p w14:paraId="76068975" w14:textId="77777777" w:rsidR="00DF4095" w:rsidRPr="00461F5E" w:rsidRDefault="00DF4095" w:rsidP="00DF4095">
            <w:pPr>
              <w:ind w:right="-2"/>
              <w:jc w:val="center"/>
              <w:rPr>
                <w:b/>
                <w:smallCaps/>
                <w:sz w:val="22"/>
                <w:szCs w:val="22"/>
              </w:rPr>
            </w:pPr>
          </w:p>
          <w:p w14:paraId="73D4398C" w14:textId="77777777" w:rsidR="00DF4095" w:rsidRPr="00461F5E" w:rsidRDefault="00DF4095" w:rsidP="00DF4095">
            <w:pPr>
              <w:ind w:right="-2"/>
              <w:jc w:val="center"/>
              <w:rPr>
                <w:b/>
                <w:smallCaps/>
                <w:sz w:val="22"/>
                <w:szCs w:val="22"/>
              </w:rPr>
            </w:pPr>
            <w:r w:rsidRPr="00461F5E">
              <w:rPr>
                <w:b/>
                <w:smallCaps/>
                <w:sz w:val="22"/>
                <w:szCs w:val="22"/>
              </w:rPr>
              <w:t>(predbežné pripomienkové konanie)</w:t>
            </w:r>
          </w:p>
          <w:p w14:paraId="2FB0AD5E" w14:textId="77777777" w:rsidR="00DF4095" w:rsidRPr="00461F5E" w:rsidRDefault="00DF4095" w:rsidP="00DF4095">
            <w:pPr>
              <w:ind w:right="-2"/>
              <w:jc w:val="center"/>
              <w:rPr>
                <w:b/>
                <w:smallCaps/>
                <w:sz w:val="22"/>
                <w:szCs w:val="22"/>
              </w:rPr>
            </w:pPr>
          </w:p>
          <w:p w14:paraId="27F7AC37" w14:textId="77777777" w:rsidR="00DF4095" w:rsidRPr="00461F5E" w:rsidRDefault="00DF4095" w:rsidP="00DF4095">
            <w:pPr>
              <w:ind w:right="-2"/>
              <w:jc w:val="center"/>
              <w:rPr>
                <w:b/>
                <w:smallCaps/>
                <w:sz w:val="22"/>
                <w:szCs w:val="22"/>
              </w:rPr>
            </w:pPr>
            <w:r w:rsidRPr="00461F5E">
              <w:rPr>
                <w:b/>
                <w:smallCaps/>
                <w:sz w:val="22"/>
                <w:szCs w:val="22"/>
              </w:rPr>
              <w:t>k návrhu</w:t>
            </w:r>
          </w:p>
          <w:p w14:paraId="6396953E" w14:textId="77777777" w:rsidR="00DF4095" w:rsidRPr="00461F5E" w:rsidRDefault="00DF4095" w:rsidP="00DF4095">
            <w:pPr>
              <w:ind w:right="-2"/>
              <w:jc w:val="center"/>
              <w:rPr>
                <w:b/>
                <w:smallCaps/>
                <w:sz w:val="22"/>
                <w:szCs w:val="22"/>
              </w:rPr>
            </w:pPr>
          </w:p>
          <w:p w14:paraId="22E84E81" w14:textId="77777777" w:rsidR="00DF4095" w:rsidRPr="00461F5E" w:rsidRDefault="00DF4095" w:rsidP="00DF4095">
            <w:pPr>
              <w:pBdr>
                <w:bottom w:val="single" w:sz="4" w:space="1" w:color="000000"/>
              </w:pBdr>
              <w:ind w:right="-2"/>
              <w:jc w:val="center"/>
              <w:rPr>
                <w:b/>
                <w:smallCaps/>
                <w:sz w:val="22"/>
                <w:szCs w:val="22"/>
              </w:rPr>
            </w:pPr>
            <w:r w:rsidRPr="00461F5E">
              <w:rPr>
                <w:b/>
                <w:smallCaps/>
                <w:sz w:val="22"/>
                <w:szCs w:val="22"/>
              </w:rPr>
              <w:t>zákona, ktorým sa mení a dopĺňa zákon č. 592/2006 Z. z. o poskytovaní vianočného príspevku niektorým poberateľom dôchodku a o doplnení niektorých zákonov v znení neskorších predpisov</w:t>
            </w:r>
          </w:p>
          <w:p w14:paraId="451882AE" w14:textId="77777777" w:rsidR="00DF4095" w:rsidRPr="00461F5E" w:rsidRDefault="00DF4095" w:rsidP="00DF4095">
            <w:pPr>
              <w:pBdr>
                <w:bottom w:val="single" w:sz="4" w:space="1" w:color="000000"/>
              </w:pBdr>
              <w:ind w:right="-2"/>
              <w:jc w:val="center"/>
              <w:rPr>
                <w:b/>
                <w:smallCaps/>
                <w:sz w:val="22"/>
                <w:szCs w:val="22"/>
              </w:rPr>
            </w:pPr>
          </w:p>
          <w:p w14:paraId="585A228E" w14:textId="77777777" w:rsidR="00DF4095" w:rsidRPr="00461F5E" w:rsidRDefault="00DF4095" w:rsidP="00DF4095">
            <w:pPr>
              <w:tabs>
                <w:tab w:val="center" w:pos="6379"/>
              </w:tabs>
              <w:ind w:right="-2"/>
              <w:rPr>
                <w:sz w:val="22"/>
                <w:szCs w:val="22"/>
              </w:rPr>
            </w:pPr>
          </w:p>
          <w:p w14:paraId="14EC7728" w14:textId="77777777" w:rsidR="00DF4095" w:rsidRPr="00461F5E" w:rsidRDefault="00DF4095" w:rsidP="00DF4095">
            <w:pPr>
              <w:jc w:val="both"/>
              <w:rPr>
                <w:b/>
                <w:bCs/>
                <w:sz w:val="22"/>
                <w:szCs w:val="22"/>
              </w:rPr>
            </w:pPr>
            <w:r w:rsidRPr="00461F5E">
              <w:rPr>
                <w:b/>
                <w:bCs/>
                <w:sz w:val="22"/>
                <w:szCs w:val="22"/>
              </w:rPr>
              <w:t xml:space="preserve">I. Úvod: </w:t>
            </w:r>
            <w:r w:rsidRPr="00461F5E">
              <w:rPr>
                <w:bCs/>
                <w:sz w:val="22"/>
                <w:szCs w:val="22"/>
              </w:rPr>
              <w:t>Ministerstvo práce, sociálnych vecí a rodiny Slovenskej republiky dňa 14. januára 2019 predložilo Stálej pracovnej komisii na posudzovanie vybr</w:t>
            </w:r>
            <w:r w:rsidRPr="00461F5E">
              <w:rPr>
                <w:iCs/>
                <w:sz w:val="22"/>
                <w:szCs w:val="22"/>
              </w:rPr>
              <w:t>aných vplyvov (ďalej len „Komisia“) na predbežné pripomienkové konanie materiál:</w:t>
            </w:r>
            <w:r w:rsidRPr="00461F5E">
              <w:rPr>
                <w:i/>
                <w:iCs/>
                <w:sz w:val="22"/>
                <w:szCs w:val="22"/>
              </w:rPr>
              <w:t xml:space="preserve"> „Návrh zákona, ktorým sa mení a dopĺňa zákon č. 592/2006 Z. z. o poskytovaní vianočného príspevku niektorým poberateľom dôchodku a o doplnení niektorých zákonov v znení neskorších predpisov“</w:t>
            </w:r>
            <w:r w:rsidRPr="00461F5E">
              <w:rPr>
                <w:iCs/>
                <w:sz w:val="22"/>
                <w:szCs w:val="22"/>
              </w:rPr>
              <w:t>.</w:t>
            </w:r>
            <w:r w:rsidRPr="00461F5E">
              <w:rPr>
                <w:i/>
                <w:iCs/>
                <w:sz w:val="22"/>
                <w:szCs w:val="22"/>
              </w:rPr>
              <w:t xml:space="preserve"> </w:t>
            </w:r>
            <w:r w:rsidRPr="00461F5E">
              <w:rPr>
                <w:iCs/>
                <w:sz w:val="22"/>
                <w:szCs w:val="22"/>
              </w:rPr>
              <w:t>Materiál predpokladá negatívne vplyvy na rozpočet verejnej správy, ktoré sú čiastočne rozpočtovo zabezpečené a pozitívne sociálne vplyvy.</w:t>
            </w:r>
          </w:p>
          <w:p w14:paraId="4EA3FDA4" w14:textId="77777777" w:rsidR="00DF4095" w:rsidRPr="00461F5E" w:rsidRDefault="00DF4095" w:rsidP="00DF4095">
            <w:pPr>
              <w:tabs>
                <w:tab w:val="center" w:pos="6379"/>
              </w:tabs>
              <w:ind w:right="-2"/>
              <w:jc w:val="both"/>
              <w:rPr>
                <w:b/>
                <w:bCs/>
                <w:sz w:val="22"/>
                <w:szCs w:val="22"/>
              </w:rPr>
            </w:pPr>
          </w:p>
          <w:p w14:paraId="04465AB1" w14:textId="77777777" w:rsidR="00DF4095" w:rsidRPr="00461F5E" w:rsidRDefault="00DF4095" w:rsidP="00DF4095">
            <w:pPr>
              <w:tabs>
                <w:tab w:val="center" w:pos="6379"/>
              </w:tabs>
              <w:ind w:right="-2"/>
              <w:jc w:val="both"/>
              <w:rPr>
                <w:bCs/>
                <w:sz w:val="22"/>
                <w:szCs w:val="22"/>
              </w:rPr>
            </w:pPr>
            <w:r w:rsidRPr="00461F5E">
              <w:rPr>
                <w:b/>
                <w:bCs/>
                <w:sz w:val="22"/>
                <w:szCs w:val="22"/>
              </w:rPr>
              <w:t>II. P</w:t>
            </w:r>
            <w:r w:rsidRPr="00461F5E">
              <w:rPr>
                <w:b/>
                <w:sz w:val="22"/>
                <w:szCs w:val="22"/>
              </w:rPr>
              <w:t>r</w:t>
            </w:r>
            <w:r w:rsidRPr="00461F5E">
              <w:rPr>
                <w:b/>
                <w:bCs/>
                <w:sz w:val="22"/>
                <w:szCs w:val="22"/>
              </w:rPr>
              <w:t>ipomienky a návrhy zm</w:t>
            </w:r>
            <w:r w:rsidRPr="00461F5E">
              <w:rPr>
                <w:b/>
                <w:sz w:val="22"/>
                <w:szCs w:val="22"/>
              </w:rPr>
              <w:t>ie</w:t>
            </w:r>
            <w:r w:rsidRPr="00461F5E">
              <w:rPr>
                <w:b/>
                <w:bCs/>
                <w:sz w:val="22"/>
                <w:szCs w:val="22"/>
              </w:rPr>
              <w:t xml:space="preserve">n: </w:t>
            </w:r>
            <w:r w:rsidRPr="00461F5E">
              <w:rPr>
                <w:bCs/>
                <w:sz w:val="22"/>
                <w:szCs w:val="22"/>
              </w:rPr>
              <w:t>Komisia uplatňuje k materiálu nasledovné pripomienky a odporúčania:</w:t>
            </w:r>
          </w:p>
          <w:p w14:paraId="1A11F12D" w14:textId="77777777" w:rsidR="00DF4095" w:rsidRPr="00461F5E" w:rsidRDefault="00DF4095" w:rsidP="00DF4095">
            <w:pPr>
              <w:tabs>
                <w:tab w:val="center" w:pos="6379"/>
              </w:tabs>
              <w:ind w:right="-2"/>
              <w:jc w:val="both"/>
              <w:rPr>
                <w:bCs/>
                <w:sz w:val="22"/>
                <w:szCs w:val="22"/>
              </w:rPr>
            </w:pPr>
          </w:p>
          <w:p w14:paraId="3D5DF9A7" w14:textId="77777777" w:rsidR="00DF4095" w:rsidRPr="00461F5E" w:rsidRDefault="00DF4095" w:rsidP="00DF4095">
            <w:pPr>
              <w:ind w:right="-2"/>
              <w:jc w:val="both"/>
              <w:rPr>
                <w:b/>
                <w:bCs/>
                <w:sz w:val="22"/>
                <w:szCs w:val="22"/>
              </w:rPr>
            </w:pPr>
            <w:r w:rsidRPr="00461F5E">
              <w:rPr>
                <w:b/>
                <w:bCs/>
                <w:sz w:val="22"/>
                <w:szCs w:val="22"/>
              </w:rPr>
              <w:t>K vplyvom na rozpočet verejnej správy</w:t>
            </w:r>
          </w:p>
          <w:p w14:paraId="593F5F3F" w14:textId="77777777" w:rsidR="00DF4095" w:rsidRPr="00461F5E" w:rsidRDefault="00DF4095" w:rsidP="00DF4095">
            <w:pPr>
              <w:ind w:right="-2"/>
              <w:jc w:val="both"/>
              <w:rPr>
                <w:bCs/>
                <w:sz w:val="22"/>
                <w:szCs w:val="22"/>
              </w:rPr>
            </w:pPr>
            <w:r w:rsidRPr="00461F5E">
              <w:rPr>
                <w:bCs/>
                <w:sz w:val="22"/>
                <w:szCs w:val="22"/>
              </w:rPr>
              <w:t>Vzhľadom na rozsah navrhovaných zmien v oblasti vyplácania vianočného príspevku Komisia žiada v tabuľke č. 1 analýzy vplyvov na rozpočet verejnej správy</w:t>
            </w:r>
            <w:r w:rsidRPr="00461F5E">
              <w:rPr>
                <w:bCs/>
                <w:sz w:val="22"/>
                <w:szCs w:val="22"/>
              </w:rPr>
              <w:br/>
              <w:t xml:space="preserve">v príslušných riadkoch týkajúcich sa výdavkov verejnej správy uvádzať celkové výdavky predpokladané na výplatu vianočného príspevku v jednotlivých rokoch podľa predloženého návrhu a v riadku „Financovanie zabezpečené v rozpočte“ uvádzať výdavky na vianočný príspevok tak, ako sú na tento účel uvedené v rozpočte verejnej správy na rok 2019 a rozpočtovom výhľade na roky 2020 a 2021. </w:t>
            </w:r>
          </w:p>
          <w:p w14:paraId="6F35DD15" w14:textId="77777777" w:rsidR="00DF4095" w:rsidRPr="00461F5E" w:rsidRDefault="00DF4095" w:rsidP="00DF4095">
            <w:pPr>
              <w:ind w:right="-2"/>
              <w:jc w:val="both"/>
              <w:rPr>
                <w:bCs/>
                <w:sz w:val="22"/>
                <w:szCs w:val="22"/>
              </w:rPr>
            </w:pPr>
          </w:p>
          <w:p w14:paraId="1385D170" w14:textId="64F3B1E4" w:rsidR="000C039E" w:rsidRPr="00461F5E" w:rsidRDefault="000C039E" w:rsidP="00DF4095">
            <w:pPr>
              <w:ind w:right="-2"/>
              <w:jc w:val="both"/>
              <w:rPr>
                <w:b/>
                <w:bCs/>
                <w:i/>
                <w:sz w:val="22"/>
                <w:szCs w:val="22"/>
              </w:rPr>
            </w:pPr>
            <w:r w:rsidRPr="00461F5E">
              <w:rPr>
                <w:b/>
                <w:bCs/>
                <w:i/>
                <w:sz w:val="22"/>
                <w:szCs w:val="22"/>
              </w:rPr>
              <w:t>Stanovisko MPSVR SR</w:t>
            </w:r>
          </w:p>
          <w:p w14:paraId="5202005D" w14:textId="73810444" w:rsidR="00DF4095" w:rsidRPr="00461F5E" w:rsidRDefault="00DF4095" w:rsidP="00DF4095">
            <w:pPr>
              <w:ind w:right="-2"/>
              <w:jc w:val="both"/>
              <w:rPr>
                <w:bCs/>
                <w:i/>
                <w:sz w:val="22"/>
                <w:szCs w:val="22"/>
              </w:rPr>
            </w:pPr>
            <w:r w:rsidRPr="00461F5E">
              <w:rPr>
                <w:bCs/>
                <w:i/>
                <w:sz w:val="22"/>
                <w:szCs w:val="22"/>
              </w:rPr>
              <w:t>Pripomienka Komisie bola akceptovaná</w:t>
            </w:r>
            <w:r w:rsidR="000C039E" w:rsidRPr="00461F5E">
              <w:rPr>
                <w:bCs/>
                <w:i/>
                <w:sz w:val="22"/>
                <w:szCs w:val="22"/>
              </w:rPr>
              <w:t xml:space="preserve"> a tabuľka č. 1 v Analýzy vplyvov na rozpočet VS upravená v zmysle pripomienky</w:t>
            </w:r>
            <w:r w:rsidRPr="00461F5E">
              <w:rPr>
                <w:bCs/>
                <w:i/>
                <w:sz w:val="22"/>
                <w:szCs w:val="22"/>
              </w:rPr>
              <w:t>.</w:t>
            </w:r>
          </w:p>
          <w:p w14:paraId="31D4C92D" w14:textId="77777777" w:rsidR="00DF4095" w:rsidRPr="00461F5E" w:rsidRDefault="00DF4095" w:rsidP="00DF4095">
            <w:pPr>
              <w:ind w:right="-2"/>
              <w:jc w:val="both"/>
              <w:rPr>
                <w:bCs/>
                <w:sz w:val="22"/>
                <w:szCs w:val="22"/>
              </w:rPr>
            </w:pPr>
          </w:p>
          <w:p w14:paraId="006F6FBC" w14:textId="77777777" w:rsidR="00DF4095" w:rsidRPr="00461F5E" w:rsidRDefault="00DF4095" w:rsidP="00DF4095">
            <w:pPr>
              <w:ind w:right="-2"/>
              <w:jc w:val="both"/>
              <w:rPr>
                <w:bCs/>
                <w:sz w:val="22"/>
                <w:szCs w:val="22"/>
              </w:rPr>
            </w:pPr>
            <w:r w:rsidRPr="00461F5E">
              <w:rPr>
                <w:bCs/>
                <w:sz w:val="22"/>
                <w:szCs w:val="22"/>
              </w:rPr>
              <w:t>Predkladateľ na strane 3 analýzy vplyvov uvádza, že v rokoch 2020 až 2022 sa predpokladá mierny pokles výdavkov na vianočný príspevok z dôvodu rovnakého prognózovaného rastu dôchodcovskej inflácie a životného minima (makroekonomická prognóza IFP zo septembra 2018). S uvedeným konštatovaním sa Komisia nestotožňuje, kvantifikácie na roky 2020 až 2022 považuje Komisia za mierne podhodnotené. Podľa názoru Komisie nezohľadňujú vývoj v počte dotknutých poberateľov dôchodkov, či už najmä následkom novopriznaných dôchodkov alebo každoročným rozširovaním okruhu možných poberateľov vianočného príspevku posunutím hornej hranice nároku na vianočný príspevok z titulu pomerne dynamického medziročného rastu priemernej mzdy.</w:t>
            </w:r>
          </w:p>
          <w:p w14:paraId="077B8029" w14:textId="77777777" w:rsidR="00DF4095" w:rsidRPr="00461F5E" w:rsidRDefault="00DF4095" w:rsidP="00DF4095">
            <w:pPr>
              <w:ind w:right="-2"/>
              <w:jc w:val="both"/>
              <w:rPr>
                <w:bCs/>
                <w:sz w:val="22"/>
                <w:szCs w:val="22"/>
              </w:rPr>
            </w:pPr>
          </w:p>
          <w:p w14:paraId="49F8D3E5" w14:textId="77777777" w:rsidR="000C039E" w:rsidRPr="00461F5E" w:rsidRDefault="000C039E" w:rsidP="000C039E">
            <w:pPr>
              <w:ind w:right="-2"/>
              <w:jc w:val="both"/>
              <w:rPr>
                <w:b/>
                <w:bCs/>
                <w:i/>
                <w:sz w:val="22"/>
                <w:szCs w:val="22"/>
              </w:rPr>
            </w:pPr>
            <w:r w:rsidRPr="00461F5E">
              <w:rPr>
                <w:b/>
                <w:bCs/>
                <w:i/>
                <w:sz w:val="22"/>
                <w:szCs w:val="22"/>
              </w:rPr>
              <w:t>Stanovisko MPSVR SR</w:t>
            </w:r>
          </w:p>
          <w:p w14:paraId="0DF0EF82" w14:textId="134803AB" w:rsidR="00FE23BE" w:rsidRPr="00461F5E" w:rsidRDefault="00DF4095" w:rsidP="00FE23BE">
            <w:pPr>
              <w:ind w:right="-2"/>
              <w:jc w:val="both"/>
              <w:rPr>
                <w:bCs/>
                <w:i/>
                <w:sz w:val="22"/>
                <w:szCs w:val="22"/>
              </w:rPr>
            </w:pPr>
            <w:r w:rsidRPr="00461F5E">
              <w:rPr>
                <w:bCs/>
                <w:i/>
                <w:sz w:val="22"/>
                <w:szCs w:val="22"/>
              </w:rPr>
              <w:t xml:space="preserve">Pripomienka Komisie </w:t>
            </w:r>
            <w:r w:rsidR="00FE23BE" w:rsidRPr="00461F5E">
              <w:rPr>
                <w:bCs/>
                <w:i/>
                <w:sz w:val="22"/>
                <w:szCs w:val="22"/>
              </w:rPr>
              <w:t xml:space="preserve">nebola </w:t>
            </w:r>
            <w:r w:rsidRPr="00461F5E">
              <w:rPr>
                <w:bCs/>
                <w:i/>
                <w:sz w:val="22"/>
                <w:szCs w:val="22"/>
              </w:rPr>
              <w:t>akceptovaná.</w:t>
            </w:r>
            <w:r w:rsidR="00FE23BE" w:rsidRPr="00461F5E">
              <w:rPr>
                <w:bCs/>
                <w:i/>
                <w:sz w:val="22"/>
                <w:szCs w:val="22"/>
              </w:rPr>
              <w:t xml:space="preserve"> MPSVR SR sa nestotožňuje so stanoviskom Komisie v nezohľadnení počtu dotknutých poberateľov dôchodkov. Kvantifikácia dopadov sa opiera o prognózu počtu dôchodcov MF SR, ktorá bola použitá v Správe o starnutí 2018, na základe ktorej vyplýva, že počet dôchodcov by mal byť v rokoch 2019 až 2022 približne konštantný. Z uvedeného dôvodu možno predpokladať približne rovnaký počet novopriznaných aj zaniknutých dôchodkov. Nakoľko priemerná suma novopriznaných dôchodkov je vyššia ako priemerná suma zaniknutých dôchodkových dávok, výdavky na vianočný príspevok budú vplyvom novopriznaných dôchodkových dávok klesať. Navyše si dovoľujeme upozorniť aj na skutočnosť, že dôchodky zomrelých dôchodcov zvyšujú prostredníctvom pozostalostných dôchodkov sumu celkového dôchodkového príjmu pozostalých, čo rovnako vedie k zníženiu výdavkov na vianočný príspevok. </w:t>
            </w:r>
          </w:p>
          <w:p w14:paraId="6F20F3FD" w14:textId="77777777" w:rsidR="00FE23BE" w:rsidRPr="00461F5E" w:rsidRDefault="00FE23BE" w:rsidP="00FE23BE">
            <w:pPr>
              <w:ind w:right="-2"/>
              <w:jc w:val="both"/>
              <w:rPr>
                <w:bCs/>
                <w:i/>
                <w:sz w:val="22"/>
                <w:szCs w:val="22"/>
              </w:rPr>
            </w:pPr>
          </w:p>
          <w:p w14:paraId="5E3D1FBA" w14:textId="6CB898A0" w:rsidR="00FE23BE" w:rsidRPr="00461F5E" w:rsidRDefault="000C039E" w:rsidP="00FE23BE">
            <w:pPr>
              <w:ind w:right="-2"/>
              <w:jc w:val="both"/>
              <w:rPr>
                <w:bCs/>
                <w:i/>
                <w:sz w:val="22"/>
                <w:szCs w:val="22"/>
              </w:rPr>
            </w:pPr>
            <w:r w:rsidRPr="00461F5E">
              <w:rPr>
                <w:bCs/>
                <w:i/>
                <w:sz w:val="22"/>
                <w:szCs w:val="22"/>
              </w:rPr>
              <w:t>Súhlasíme s konštatovaním</w:t>
            </w:r>
            <w:r w:rsidR="00FE23BE" w:rsidRPr="00461F5E">
              <w:rPr>
                <w:bCs/>
                <w:i/>
                <w:sz w:val="22"/>
                <w:szCs w:val="22"/>
              </w:rPr>
              <w:t xml:space="preserve">, že zvyšovanie hornej hranice nároku na vianočný príspevok rozšíri okruh poberateľov vianočného príspevku, ale vplyv zvýšeného počtu možno označiť za marginálny. Pri raste priemernej mzdy v národnom hospodárstve o 6 % ročne by sa okruh dotknutých osôb mohol zvyšovať o cca 20 000 poistencov ročne, čo by ročne znamenalo zvýšenie výdavkov na vianočný príspevok o cca 200 až 240 tis. eur. Tento vplyv je výrazne nižší ako vplyv zníženia výdavkov na vianočný príspevok </w:t>
            </w:r>
            <w:r w:rsidR="00862008" w:rsidRPr="00461F5E">
              <w:rPr>
                <w:bCs/>
                <w:i/>
                <w:sz w:val="22"/>
                <w:szCs w:val="22"/>
              </w:rPr>
              <w:t xml:space="preserve">za predpokladu </w:t>
            </w:r>
            <w:r w:rsidR="00FE23BE" w:rsidRPr="00461F5E">
              <w:rPr>
                <w:bCs/>
                <w:i/>
                <w:sz w:val="22"/>
                <w:szCs w:val="22"/>
              </w:rPr>
              <w:t>rovnakého rastu životného minima a dôchodcovskej inflácie, kde je možné očakávať úsporu na úrovni 1,5 až 2 mil. eur v závislosti od rýchlosti rastu vyššie uvedených veličín.</w:t>
            </w:r>
            <w:r w:rsidR="00862008" w:rsidRPr="00461F5E">
              <w:rPr>
                <w:bCs/>
                <w:i/>
                <w:sz w:val="22"/>
                <w:szCs w:val="22"/>
              </w:rPr>
              <w:t xml:space="preserve"> Navyše okrem percentuálnej valorizácie sa budú dôchodky nižšie príjmových dôchodcov v rokoch 2020 a 2021 valorizovať</w:t>
            </w:r>
            <w:r w:rsidRPr="00461F5E">
              <w:rPr>
                <w:bCs/>
                <w:i/>
                <w:sz w:val="22"/>
                <w:szCs w:val="22"/>
              </w:rPr>
              <w:t xml:space="preserve"> aj</w:t>
            </w:r>
            <w:r w:rsidR="00862008" w:rsidRPr="00461F5E">
              <w:rPr>
                <w:bCs/>
                <w:i/>
                <w:sz w:val="22"/>
                <w:szCs w:val="22"/>
              </w:rPr>
              <w:t xml:space="preserve"> o minimálnu valorizačnú pevnú sumu, čo znamená, že v prípade týchto poistencov bude rásť ich suma dôchodku rýchlejším tempom ako je očakávaný rast životného minima.</w:t>
            </w:r>
            <w:r w:rsidR="00FE23BE" w:rsidRPr="00461F5E">
              <w:rPr>
                <w:bCs/>
                <w:i/>
                <w:sz w:val="22"/>
                <w:szCs w:val="22"/>
              </w:rPr>
              <w:t xml:space="preserve"> Z vyššie uvedených dôvodov sa nestotožňujeme so stanoviskom Komisie v tomt</w:t>
            </w:r>
            <w:r w:rsidR="00786F5D" w:rsidRPr="00461F5E">
              <w:rPr>
                <w:bCs/>
                <w:i/>
                <w:sz w:val="22"/>
                <w:szCs w:val="22"/>
              </w:rPr>
              <w:t>o bode a trváme na ponechaní mierneho poklesu výdavkov s doplnením, že sa počíta s približne konštantným počtom dôchodcov</w:t>
            </w:r>
            <w:r w:rsidR="00DE4A6B" w:rsidRPr="00461F5E">
              <w:rPr>
                <w:bCs/>
                <w:i/>
                <w:sz w:val="22"/>
                <w:szCs w:val="22"/>
              </w:rPr>
              <w:t>.</w:t>
            </w:r>
            <w:r w:rsidR="00786F5D" w:rsidRPr="00461F5E">
              <w:rPr>
                <w:bCs/>
                <w:i/>
                <w:sz w:val="22"/>
                <w:szCs w:val="22"/>
              </w:rPr>
              <w:t xml:space="preserve"> </w:t>
            </w:r>
          </w:p>
          <w:p w14:paraId="4E1E3193" w14:textId="77777777" w:rsidR="00DF4095" w:rsidRPr="00461F5E" w:rsidRDefault="00DF4095" w:rsidP="00DF4095">
            <w:pPr>
              <w:ind w:right="-2"/>
              <w:jc w:val="both"/>
              <w:rPr>
                <w:bCs/>
                <w:sz w:val="22"/>
                <w:szCs w:val="22"/>
              </w:rPr>
            </w:pPr>
          </w:p>
          <w:p w14:paraId="7760A9AB" w14:textId="77777777" w:rsidR="00DF4095" w:rsidRPr="00461F5E" w:rsidRDefault="00DF4095" w:rsidP="00DF4095">
            <w:pPr>
              <w:ind w:right="-2"/>
              <w:jc w:val="both"/>
              <w:rPr>
                <w:bCs/>
                <w:sz w:val="22"/>
                <w:szCs w:val="22"/>
              </w:rPr>
            </w:pPr>
            <w:r w:rsidRPr="00461F5E">
              <w:rPr>
                <w:bCs/>
                <w:sz w:val="22"/>
                <w:szCs w:val="22"/>
              </w:rPr>
              <w:t xml:space="preserve">V nadväznosti na vyššie uvedené Komisia žiada prepracovať celú analýzu vplyvov na rozpočet verejnej správy ako aj doložku vybraných vplyvov s tým, že už bude zohľadnená aktualizovaná makroekonomická prognóza IFP z februára 2019. </w:t>
            </w:r>
          </w:p>
          <w:p w14:paraId="483F09FE" w14:textId="77777777" w:rsidR="00DF4095" w:rsidRPr="00461F5E" w:rsidRDefault="00DF4095" w:rsidP="00DF4095">
            <w:pPr>
              <w:ind w:right="-2"/>
              <w:jc w:val="both"/>
              <w:rPr>
                <w:bCs/>
                <w:sz w:val="22"/>
                <w:szCs w:val="22"/>
              </w:rPr>
            </w:pPr>
          </w:p>
          <w:p w14:paraId="2C37FB5A" w14:textId="77777777" w:rsidR="000C039E" w:rsidRPr="00461F5E" w:rsidRDefault="000C039E" w:rsidP="000C039E">
            <w:pPr>
              <w:ind w:right="-2"/>
              <w:jc w:val="both"/>
              <w:rPr>
                <w:b/>
                <w:bCs/>
                <w:i/>
                <w:sz w:val="22"/>
                <w:szCs w:val="22"/>
              </w:rPr>
            </w:pPr>
            <w:r w:rsidRPr="00461F5E">
              <w:rPr>
                <w:b/>
                <w:bCs/>
                <w:i/>
                <w:sz w:val="22"/>
                <w:szCs w:val="22"/>
              </w:rPr>
              <w:t>Stanovisko MPSVR SR</w:t>
            </w:r>
          </w:p>
          <w:p w14:paraId="356F2F43" w14:textId="2F677D4A" w:rsidR="00DF4095" w:rsidRPr="00461F5E" w:rsidRDefault="00DF4095" w:rsidP="00DF4095">
            <w:pPr>
              <w:ind w:right="-2"/>
              <w:jc w:val="both"/>
              <w:rPr>
                <w:bCs/>
                <w:i/>
                <w:sz w:val="22"/>
                <w:szCs w:val="22"/>
              </w:rPr>
            </w:pPr>
            <w:r w:rsidRPr="00461F5E">
              <w:rPr>
                <w:bCs/>
                <w:i/>
                <w:sz w:val="22"/>
                <w:szCs w:val="22"/>
              </w:rPr>
              <w:t xml:space="preserve">Pripomienka Komisie bola čiastočne akceptovaná. Vzhľadom k tomu, že v čase predloženia materiálu do </w:t>
            </w:r>
            <w:r w:rsidR="007C1096" w:rsidRPr="00461F5E">
              <w:rPr>
                <w:bCs/>
                <w:i/>
                <w:sz w:val="22"/>
                <w:szCs w:val="22"/>
              </w:rPr>
              <w:t>m</w:t>
            </w:r>
            <w:r w:rsidRPr="00461F5E">
              <w:rPr>
                <w:bCs/>
                <w:i/>
                <w:sz w:val="22"/>
                <w:szCs w:val="22"/>
              </w:rPr>
              <w:t>edzirezortnéh</w:t>
            </w:r>
            <w:r w:rsidR="007C1096" w:rsidRPr="00461F5E">
              <w:rPr>
                <w:bCs/>
                <w:i/>
                <w:sz w:val="22"/>
                <w:szCs w:val="22"/>
              </w:rPr>
              <w:t>o pripomienkového konania nebola</w:t>
            </w:r>
            <w:r w:rsidRPr="00461F5E">
              <w:rPr>
                <w:bCs/>
                <w:i/>
                <w:sz w:val="22"/>
                <w:szCs w:val="22"/>
              </w:rPr>
              <w:t xml:space="preserve"> ešte zverejnená februárová makroekonomická prognóza nebolo možné analýzu v</w:t>
            </w:r>
            <w:r w:rsidR="007C1096" w:rsidRPr="00461F5E">
              <w:rPr>
                <w:bCs/>
                <w:i/>
                <w:sz w:val="22"/>
                <w:szCs w:val="22"/>
              </w:rPr>
              <w:t>plyvov na rozpočet verejnej správy ako aj doložku vybraných vplyvov aktualizovať na prognózu z februára 2019.</w:t>
            </w:r>
            <w:r w:rsidR="000C039E" w:rsidRPr="00461F5E">
              <w:rPr>
                <w:bCs/>
                <w:i/>
                <w:sz w:val="22"/>
                <w:szCs w:val="22"/>
              </w:rPr>
              <w:t xml:space="preserve"> Doložka vybraných vplyvov a jej časti budú aktualizované v súlade s makroekonomickou prognózou z februára 2019 ihneď po jej zverejnení. </w:t>
            </w:r>
          </w:p>
          <w:p w14:paraId="525A058C" w14:textId="77777777" w:rsidR="00DF4095" w:rsidRPr="00461F5E" w:rsidRDefault="00DF4095" w:rsidP="00DF4095">
            <w:pPr>
              <w:ind w:right="-2"/>
              <w:jc w:val="both"/>
              <w:rPr>
                <w:b/>
                <w:bCs/>
                <w:sz w:val="22"/>
                <w:szCs w:val="22"/>
              </w:rPr>
            </w:pPr>
          </w:p>
          <w:p w14:paraId="6293B296" w14:textId="77777777" w:rsidR="00DF4095" w:rsidRPr="00461F5E" w:rsidRDefault="00DF4095" w:rsidP="00DF4095">
            <w:pPr>
              <w:ind w:right="-2"/>
              <w:jc w:val="both"/>
              <w:rPr>
                <w:bCs/>
                <w:sz w:val="22"/>
                <w:szCs w:val="22"/>
              </w:rPr>
            </w:pPr>
            <w:r w:rsidRPr="00461F5E">
              <w:rPr>
                <w:b/>
                <w:bCs/>
                <w:sz w:val="22"/>
                <w:szCs w:val="22"/>
              </w:rPr>
              <w:t xml:space="preserve">III. Záver: </w:t>
            </w:r>
            <w:r w:rsidRPr="00461F5E">
              <w:rPr>
                <w:bCs/>
                <w:sz w:val="22"/>
                <w:szCs w:val="22"/>
              </w:rPr>
              <w:t xml:space="preserve">Stála pracovná komisia na posudzovanie vybraných vplyvov vyjadruje </w:t>
            </w:r>
          </w:p>
          <w:p w14:paraId="5736FF74" w14:textId="77777777" w:rsidR="00DF4095" w:rsidRPr="00461F5E" w:rsidRDefault="00DF4095" w:rsidP="00DF4095">
            <w:pPr>
              <w:tabs>
                <w:tab w:val="center" w:pos="6379"/>
              </w:tabs>
              <w:ind w:right="-2"/>
              <w:jc w:val="center"/>
              <w:rPr>
                <w:rFonts w:eastAsia="Calibri"/>
                <w:b/>
                <w:bCs/>
                <w:sz w:val="22"/>
                <w:szCs w:val="22"/>
                <w:lang w:eastAsia="en-US"/>
              </w:rPr>
            </w:pPr>
          </w:p>
          <w:p w14:paraId="73F2F29C" w14:textId="77777777" w:rsidR="00DF4095" w:rsidRPr="00461F5E" w:rsidRDefault="00DF4095" w:rsidP="00DF4095">
            <w:pPr>
              <w:tabs>
                <w:tab w:val="center" w:pos="6379"/>
              </w:tabs>
              <w:ind w:right="-2"/>
              <w:jc w:val="center"/>
              <w:rPr>
                <w:rFonts w:eastAsia="Calibri"/>
                <w:b/>
                <w:bCs/>
                <w:sz w:val="22"/>
                <w:szCs w:val="22"/>
                <w:lang w:eastAsia="en-US"/>
              </w:rPr>
            </w:pPr>
          </w:p>
          <w:p w14:paraId="4A5232F9" w14:textId="77777777" w:rsidR="00DF4095" w:rsidRPr="00461F5E" w:rsidRDefault="00DF4095" w:rsidP="00DF4095">
            <w:pPr>
              <w:tabs>
                <w:tab w:val="center" w:pos="6379"/>
              </w:tabs>
              <w:ind w:right="-2"/>
              <w:jc w:val="center"/>
              <w:rPr>
                <w:rFonts w:eastAsia="Calibri"/>
                <w:b/>
                <w:bCs/>
                <w:sz w:val="22"/>
                <w:szCs w:val="22"/>
                <w:lang w:eastAsia="en-US"/>
              </w:rPr>
            </w:pPr>
            <w:r w:rsidRPr="00461F5E">
              <w:rPr>
                <w:rFonts w:eastAsia="Calibri"/>
                <w:b/>
                <w:bCs/>
                <w:sz w:val="22"/>
                <w:szCs w:val="22"/>
                <w:lang w:eastAsia="en-US"/>
              </w:rPr>
              <w:t>nesúhlasné stanovisko</w:t>
            </w:r>
          </w:p>
          <w:p w14:paraId="4E7A4E4D" w14:textId="77777777" w:rsidR="00DF4095" w:rsidRPr="00461F5E" w:rsidRDefault="00DF4095" w:rsidP="00DF4095">
            <w:pPr>
              <w:tabs>
                <w:tab w:val="center" w:pos="6379"/>
              </w:tabs>
              <w:ind w:right="-2"/>
              <w:jc w:val="center"/>
              <w:rPr>
                <w:rFonts w:eastAsia="Calibri"/>
                <w:b/>
                <w:bCs/>
                <w:sz w:val="22"/>
                <w:szCs w:val="22"/>
                <w:lang w:eastAsia="en-US"/>
              </w:rPr>
            </w:pPr>
          </w:p>
          <w:p w14:paraId="451AC3A1" w14:textId="77777777" w:rsidR="00DF4095" w:rsidRPr="00461F5E" w:rsidRDefault="00DF4095" w:rsidP="00DF4095">
            <w:pPr>
              <w:tabs>
                <w:tab w:val="center" w:pos="6379"/>
              </w:tabs>
              <w:ind w:right="-2"/>
              <w:jc w:val="center"/>
              <w:rPr>
                <w:rFonts w:eastAsia="Calibri"/>
                <w:b/>
                <w:bCs/>
                <w:sz w:val="22"/>
                <w:szCs w:val="22"/>
                <w:lang w:eastAsia="en-US"/>
              </w:rPr>
            </w:pPr>
          </w:p>
          <w:p w14:paraId="2ECFC14B" w14:textId="77777777" w:rsidR="00DF4095" w:rsidRPr="00461F5E" w:rsidRDefault="00DF4095" w:rsidP="00DF4095">
            <w:pPr>
              <w:tabs>
                <w:tab w:val="center" w:pos="6379"/>
              </w:tabs>
              <w:ind w:right="-2"/>
              <w:jc w:val="both"/>
              <w:rPr>
                <w:rFonts w:eastAsia="Calibri"/>
                <w:bCs/>
                <w:sz w:val="22"/>
                <w:szCs w:val="22"/>
                <w:lang w:eastAsia="en-US"/>
              </w:rPr>
            </w:pPr>
            <w:r w:rsidRPr="00461F5E">
              <w:rPr>
                <w:bCs/>
                <w:sz w:val="22"/>
                <w:szCs w:val="22"/>
              </w:rPr>
              <w:t xml:space="preserve">s materiálom predloženým na predbežné pripomienkové konanie s odporúčaním na jeho dopracovanie podľa pripomienok v bode II. </w:t>
            </w:r>
            <w:r w:rsidRPr="00461F5E">
              <w:rPr>
                <w:rFonts w:eastAsia="Calibri"/>
                <w:bCs/>
                <w:sz w:val="22"/>
                <w:szCs w:val="22"/>
                <w:lang w:eastAsia="en-US"/>
              </w:rPr>
              <w:t xml:space="preserve"> </w:t>
            </w:r>
          </w:p>
          <w:p w14:paraId="733730DC" w14:textId="77777777" w:rsidR="00DF4095" w:rsidRPr="00461F5E" w:rsidRDefault="00DF4095" w:rsidP="00DF4095">
            <w:pPr>
              <w:tabs>
                <w:tab w:val="center" w:pos="6379"/>
              </w:tabs>
              <w:ind w:right="-2"/>
              <w:jc w:val="both"/>
              <w:rPr>
                <w:rFonts w:eastAsia="Calibri"/>
                <w:b/>
                <w:bCs/>
                <w:sz w:val="22"/>
                <w:szCs w:val="22"/>
                <w:lang w:eastAsia="en-US"/>
              </w:rPr>
            </w:pPr>
          </w:p>
          <w:p w14:paraId="275A673A" w14:textId="77777777" w:rsidR="00DF4095" w:rsidRPr="00461F5E" w:rsidRDefault="00DF4095" w:rsidP="00DF4095">
            <w:pPr>
              <w:tabs>
                <w:tab w:val="center" w:pos="6379"/>
              </w:tabs>
              <w:ind w:right="-2"/>
              <w:jc w:val="both"/>
              <w:rPr>
                <w:rFonts w:eastAsia="Calibri"/>
                <w:bCs/>
                <w:sz w:val="22"/>
                <w:szCs w:val="22"/>
                <w:lang w:eastAsia="en-US"/>
              </w:rPr>
            </w:pPr>
            <w:r w:rsidRPr="00461F5E">
              <w:rPr>
                <w:rFonts w:eastAsia="Calibri"/>
                <w:b/>
                <w:bCs/>
                <w:sz w:val="22"/>
                <w:szCs w:val="22"/>
                <w:lang w:eastAsia="en-US"/>
              </w:rPr>
              <w:t xml:space="preserve">IV. Poznámka: </w:t>
            </w:r>
            <w:r w:rsidRPr="00461F5E">
              <w:rPr>
                <w:rFonts w:eastAsia="Calibri"/>
                <w:bCs/>
                <w:sz w:val="22"/>
                <w:szCs w:val="22"/>
                <w:lang w:eastAsia="en-US"/>
              </w:rPr>
              <w:t>Predkladateľ zapracuje pripomienky a odporúčania na úpravu uvedené v bode II a uvedie stanovisko Komisie do Doložky vybraných vplyvov spolu s vyhodnotením pripomienok.</w:t>
            </w:r>
          </w:p>
          <w:p w14:paraId="5236E6EC" w14:textId="77777777" w:rsidR="00DF4095" w:rsidRPr="00461F5E" w:rsidRDefault="00DF4095" w:rsidP="00DF4095">
            <w:pPr>
              <w:tabs>
                <w:tab w:val="center" w:pos="6379"/>
              </w:tabs>
              <w:ind w:right="-2"/>
              <w:jc w:val="both"/>
              <w:rPr>
                <w:rFonts w:eastAsia="Calibri"/>
                <w:bCs/>
                <w:sz w:val="22"/>
                <w:szCs w:val="22"/>
                <w:lang w:eastAsia="en-US"/>
              </w:rPr>
            </w:pPr>
          </w:p>
          <w:p w14:paraId="1F45D72F" w14:textId="77777777" w:rsidR="00DF4095" w:rsidRPr="00461F5E" w:rsidRDefault="00DF4095" w:rsidP="00DF4095">
            <w:pPr>
              <w:tabs>
                <w:tab w:val="center" w:pos="6379"/>
              </w:tabs>
              <w:ind w:right="-2"/>
              <w:jc w:val="both"/>
              <w:rPr>
                <w:bCs/>
                <w:sz w:val="22"/>
                <w:szCs w:val="22"/>
              </w:rPr>
            </w:pPr>
            <w:r w:rsidRPr="00461F5E">
              <w:rPr>
                <w:rFonts w:eastAsia="Calibri"/>
                <w:bCs/>
                <w:sz w:val="22"/>
                <w:szCs w:val="22"/>
                <w:lang w:eastAsia="en-US"/>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14:paraId="68CA6898" w14:textId="77777777" w:rsidR="00DF4095" w:rsidRPr="00461F5E" w:rsidRDefault="00DF4095" w:rsidP="00DF4095">
            <w:pPr>
              <w:tabs>
                <w:tab w:val="center" w:pos="6379"/>
              </w:tabs>
              <w:ind w:right="-2"/>
              <w:jc w:val="both"/>
              <w:rPr>
                <w:bCs/>
                <w:sz w:val="22"/>
                <w:szCs w:val="22"/>
              </w:rPr>
            </w:pPr>
          </w:p>
          <w:p w14:paraId="381B8F1F" w14:textId="77777777" w:rsidR="00DF4095" w:rsidRPr="00461F5E" w:rsidRDefault="00DF4095" w:rsidP="00DF4095">
            <w:pPr>
              <w:tabs>
                <w:tab w:val="center" w:pos="6379"/>
              </w:tabs>
              <w:ind w:right="-2"/>
              <w:rPr>
                <w:b/>
                <w:bCs/>
                <w:sz w:val="22"/>
                <w:szCs w:val="22"/>
              </w:rPr>
            </w:pPr>
          </w:p>
          <w:p w14:paraId="144E746D" w14:textId="77777777" w:rsidR="00DF4095" w:rsidRPr="00461F5E" w:rsidRDefault="00DF4095" w:rsidP="00DF4095">
            <w:pPr>
              <w:tabs>
                <w:tab w:val="center" w:pos="6379"/>
              </w:tabs>
              <w:ind w:right="-2"/>
              <w:rPr>
                <w:b/>
                <w:bCs/>
                <w:sz w:val="22"/>
                <w:szCs w:val="22"/>
              </w:rPr>
            </w:pPr>
          </w:p>
          <w:p w14:paraId="20D53D1C" w14:textId="77777777" w:rsidR="00DF4095" w:rsidRPr="00461F5E" w:rsidRDefault="00DF4095" w:rsidP="00DF4095">
            <w:pPr>
              <w:tabs>
                <w:tab w:val="center" w:pos="6379"/>
              </w:tabs>
              <w:ind w:right="-2"/>
              <w:rPr>
                <w:b/>
                <w:bCs/>
                <w:sz w:val="22"/>
                <w:szCs w:val="22"/>
              </w:rPr>
            </w:pPr>
          </w:p>
          <w:p w14:paraId="2F9627E6" w14:textId="77777777" w:rsidR="00DF4095" w:rsidRPr="00461F5E" w:rsidRDefault="00DF4095" w:rsidP="00DF4095">
            <w:pPr>
              <w:tabs>
                <w:tab w:val="center" w:pos="6379"/>
              </w:tabs>
              <w:ind w:left="4536" w:right="-2"/>
              <w:jc w:val="center"/>
              <w:rPr>
                <w:bCs/>
                <w:sz w:val="22"/>
                <w:szCs w:val="22"/>
              </w:rPr>
            </w:pPr>
            <w:r w:rsidRPr="00461F5E">
              <w:rPr>
                <w:b/>
                <w:bCs/>
                <w:sz w:val="22"/>
                <w:szCs w:val="22"/>
              </w:rPr>
              <w:t>Ing. Rastislav Chovanec, PhD.</w:t>
            </w:r>
          </w:p>
          <w:p w14:paraId="2E857C65" w14:textId="77777777" w:rsidR="00DF4095" w:rsidRPr="00461F5E" w:rsidRDefault="00DF4095" w:rsidP="00DF4095">
            <w:pPr>
              <w:tabs>
                <w:tab w:val="center" w:pos="6379"/>
              </w:tabs>
              <w:ind w:left="4536" w:right="-2"/>
              <w:jc w:val="center"/>
              <w:rPr>
                <w:bCs/>
                <w:sz w:val="22"/>
                <w:szCs w:val="22"/>
              </w:rPr>
            </w:pPr>
            <w:r w:rsidRPr="00461F5E">
              <w:rPr>
                <w:bCs/>
                <w:sz w:val="22"/>
                <w:szCs w:val="22"/>
              </w:rPr>
              <w:t>predseda Komisie</w:t>
            </w:r>
          </w:p>
          <w:p w14:paraId="04EEF728" w14:textId="77777777" w:rsidR="003501A1" w:rsidRPr="00461F5E" w:rsidRDefault="003501A1" w:rsidP="008A7FE0">
            <w:pPr>
              <w:rPr>
                <w:b/>
                <w:sz w:val="22"/>
                <w:szCs w:val="22"/>
              </w:rPr>
            </w:pPr>
          </w:p>
        </w:tc>
      </w:tr>
    </w:tbl>
    <w:p w14:paraId="4AAF2960" w14:textId="77777777" w:rsidR="003501A1" w:rsidRPr="00461F5E" w:rsidRDefault="003501A1" w:rsidP="003501A1">
      <w:pPr>
        <w:rPr>
          <w:b/>
          <w:sz w:val="22"/>
          <w:szCs w:val="22"/>
        </w:rPr>
      </w:pPr>
    </w:p>
    <w:p w14:paraId="3CD31EA4" w14:textId="77777777" w:rsidR="003501A1" w:rsidRPr="00461F5E" w:rsidRDefault="003501A1" w:rsidP="003501A1">
      <w:pPr>
        <w:rPr>
          <w:b/>
          <w:sz w:val="22"/>
          <w:szCs w:val="22"/>
        </w:rPr>
      </w:pPr>
    </w:p>
    <w:p w14:paraId="0A4B6075" w14:textId="77777777" w:rsidR="00CB3623" w:rsidRPr="00461F5E" w:rsidRDefault="00CB3623">
      <w:pPr>
        <w:rPr>
          <w:sz w:val="22"/>
          <w:szCs w:val="22"/>
        </w:rPr>
      </w:pPr>
    </w:p>
    <w:sectPr w:rsidR="00CB3623" w:rsidRPr="00461F5E" w:rsidSect="004C60B8">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71D50A" w14:textId="77777777" w:rsidR="0047707F" w:rsidRDefault="0047707F" w:rsidP="003501A1">
      <w:r>
        <w:separator/>
      </w:r>
    </w:p>
  </w:endnote>
  <w:endnote w:type="continuationSeparator" w:id="0">
    <w:p w14:paraId="0EECC5F3" w14:textId="77777777" w:rsidR="0047707F" w:rsidRDefault="0047707F" w:rsidP="0035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622137"/>
      <w:docPartObj>
        <w:docPartGallery w:val="Page Numbers (Bottom of Page)"/>
        <w:docPartUnique/>
      </w:docPartObj>
    </w:sdtPr>
    <w:sdtEndPr/>
    <w:sdtContent>
      <w:p w14:paraId="682A569D" w14:textId="1512AA03" w:rsidR="0011129D" w:rsidRDefault="0011129D">
        <w:pPr>
          <w:pStyle w:val="Pta"/>
          <w:jc w:val="center"/>
        </w:pPr>
        <w:r>
          <w:fldChar w:fldCharType="begin"/>
        </w:r>
        <w:r>
          <w:instrText>PAGE   \* MERGEFORMAT</w:instrText>
        </w:r>
        <w:r>
          <w:fldChar w:fldCharType="separate"/>
        </w:r>
        <w:r w:rsidR="0047707F">
          <w:rPr>
            <w:noProof/>
          </w:rPr>
          <w:t>1</w:t>
        </w:r>
        <w:r>
          <w:fldChar w:fldCharType="end"/>
        </w:r>
      </w:p>
    </w:sdtContent>
  </w:sdt>
  <w:p w14:paraId="549F41A9" w14:textId="77777777" w:rsidR="0011129D" w:rsidRDefault="0011129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D15E7" w14:textId="77777777" w:rsidR="0047707F" w:rsidRDefault="0047707F" w:rsidP="003501A1">
      <w:r>
        <w:separator/>
      </w:r>
    </w:p>
  </w:footnote>
  <w:footnote w:type="continuationSeparator" w:id="0">
    <w:p w14:paraId="55AEDC98" w14:textId="77777777" w:rsidR="0047707F" w:rsidRDefault="0047707F" w:rsidP="003501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ček_M">
    <w15:presenceInfo w15:providerId="None" w15:userId="Danček_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A86"/>
    <w:rsid w:val="000316A9"/>
    <w:rsid w:val="00036A60"/>
    <w:rsid w:val="00043E3C"/>
    <w:rsid w:val="00093169"/>
    <w:rsid w:val="000A1733"/>
    <w:rsid w:val="000A2143"/>
    <w:rsid w:val="000B474D"/>
    <w:rsid w:val="000C039E"/>
    <w:rsid w:val="000D40AB"/>
    <w:rsid w:val="000F653A"/>
    <w:rsid w:val="0011129D"/>
    <w:rsid w:val="0011693A"/>
    <w:rsid w:val="00142423"/>
    <w:rsid w:val="00145764"/>
    <w:rsid w:val="001552BB"/>
    <w:rsid w:val="001554B4"/>
    <w:rsid w:val="00157301"/>
    <w:rsid w:val="00175FD8"/>
    <w:rsid w:val="001A1559"/>
    <w:rsid w:val="001A2225"/>
    <w:rsid w:val="001F0FE6"/>
    <w:rsid w:val="0020153D"/>
    <w:rsid w:val="00203A4E"/>
    <w:rsid w:val="00210FED"/>
    <w:rsid w:val="00217FFD"/>
    <w:rsid w:val="00235A62"/>
    <w:rsid w:val="00247830"/>
    <w:rsid w:val="002672DA"/>
    <w:rsid w:val="00286BE1"/>
    <w:rsid w:val="002A177B"/>
    <w:rsid w:val="002B64A6"/>
    <w:rsid w:val="002C6B8A"/>
    <w:rsid w:val="002D6CDE"/>
    <w:rsid w:val="003027A2"/>
    <w:rsid w:val="00332F34"/>
    <w:rsid w:val="00341C6B"/>
    <w:rsid w:val="003501A1"/>
    <w:rsid w:val="00361D11"/>
    <w:rsid w:val="003669E9"/>
    <w:rsid w:val="00375032"/>
    <w:rsid w:val="00376A3F"/>
    <w:rsid w:val="003855CF"/>
    <w:rsid w:val="00395098"/>
    <w:rsid w:val="003D3FF0"/>
    <w:rsid w:val="003D41A9"/>
    <w:rsid w:val="004536CC"/>
    <w:rsid w:val="0045465B"/>
    <w:rsid w:val="00457F05"/>
    <w:rsid w:val="00461F5E"/>
    <w:rsid w:val="004746DB"/>
    <w:rsid w:val="0047707F"/>
    <w:rsid w:val="004812BF"/>
    <w:rsid w:val="004865AB"/>
    <w:rsid w:val="004B6572"/>
    <w:rsid w:val="004C5867"/>
    <w:rsid w:val="004C60B8"/>
    <w:rsid w:val="004C794A"/>
    <w:rsid w:val="004D1607"/>
    <w:rsid w:val="004F6F1F"/>
    <w:rsid w:val="004F7D6F"/>
    <w:rsid w:val="0055095B"/>
    <w:rsid w:val="0056696C"/>
    <w:rsid w:val="00570B48"/>
    <w:rsid w:val="005742ED"/>
    <w:rsid w:val="005754DB"/>
    <w:rsid w:val="005757A1"/>
    <w:rsid w:val="00596B7D"/>
    <w:rsid w:val="005B7A8D"/>
    <w:rsid w:val="005C1717"/>
    <w:rsid w:val="005D5ED8"/>
    <w:rsid w:val="005D6D5A"/>
    <w:rsid w:val="00624114"/>
    <w:rsid w:val="00641D56"/>
    <w:rsid w:val="0067530E"/>
    <w:rsid w:val="0068428D"/>
    <w:rsid w:val="006863EA"/>
    <w:rsid w:val="006C3B7D"/>
    <w:rsid w:val="006C6236"/>
    <w:rsid w:val="006D0D62"/>
    <w:rsid w:val="0071461E"/>
    <w:rsid w:val="0076179A"/>
    <w:rsid w:val="00761B28"/>
    <w:rsid w:val="00763F83"/>
    <w:rsid w:val="00777D6E"/>
    <w:rsid w:val="0078631C"/>
    <w:rsid w:val="00786F5D"/>
    <w:rsid w:val="00793A50"/>
    <w:rsid w:val="007B4594"/>
    <w:rsid w:val="007C1096"/>
    <w:rsid w:val="007C7803"/>
    <w:rsid w:val="007D01D6"/>
    <w:rsid w:val="007D5810"/>
    <w:rsid w:val="007E270F"/>
    <w:rsid w:val="00856E45"/>
    <w:rsid w:val="00862008"/>
    <w:rsid w:val="00881440"/>
    <w:rsid w:val="00881452"/>
    <w:rsid w:val="0088309E"/>
    <w:rsid w:val="008962EB"/>
    <w:rsid w:val="008A7FE0"/>
    <w:rsid w:val="008B4061"/>
    <w:rsid w:val="00916499"/>
    <w:rsid w:val="00930B57"/>
    <w:rsid w:val="0095375D"/>
    <w:rsid w:val="00981329"/>
    <w:rsid w:val="009A1E02"/>
    <w:rsid w:val="009B0950"/>
    <w:rsid w:val="009C1600"/>
    <w:rsid w:val="009C70AE"/>
    <w:rsid w:val="009E13B1"/>
    <w:rsid w:val="009E659C"/>
    <w:rsid w:val="009F687D"/>
    <w:rsid w:val="00A06ED0"/>
    <w:rsid w:val="00A4443A"/>
    <w:rsid w:val="00A94590"/>
    <w:rsid w:val="00AA0570"/>
    <w:rsid w:val="00AA0968"/>
    <w:rsid w:val="00AC2477"/>
    <w:rsid w:val="00AF1868"/>
    <w:rsid w:val="00AF2E59"/>
    <w:rsid w:val="00B47776"/>
    <w:rsid w:val="00B65A86"/>
    <w:rsid w:val="00B83E20"/>
    <w:rsid w:val="00C42BE6"/>
    <w:rsid w:val="00C47651"/>
    <w:rsid w:val="00C65043"/>
    <w:rsid w:val="00C71D0C"/>
    <w:rsid w:val="00C94568"/>
    <w:rsid w:val="00CB3623"/>
    <w:rsid w:val="00CB60C4"/>
    <w:rsid w:val="00CD6902"/>
    <w:rsid w:val="00CF6197"/>
    <w:rsid w:val="00D03769"/>
    <w:rsid w:val="00D041B7"/>
    <w:rsid w:val="00D13B6F"/>
    <w:rsid w:val="00D21E58"/>
    <w:rsid w:val="00D23A76"/>
    <w:rsid w:val="00D272B6"/>
    <w:rsid w:val="00D57B2E"/>
    <w:rsid w:val="00D75D35"/>
    <w:rsid w:val="00D76598"/>
    <w:rsid w:val="00D8159C"/>
    <w:rsid w:val="00D827D5"/>
    <w:rsid w:val="00D90B3C"/>
    <w:rsid w:val="00D92287"/>
    <w:rsid w:val="00D9324A"/>
    <w:rsid w:val="00DE2A12"/>
    <w:rsid w:val="00DE4A6B"/>
    <w:rsid w:val="00DF4095"/>
    <w:rsid w:val="00E102C4"/>
    <w:rsid w:val="00E34AD4"/>
    <w:rsid w:val="00E45010"/>
    <w:rsid w:val="00E45461"/>
    <w:rsid w:val="00E6400A"/>
    <w:rsid w:val="00EB59E3"/>
    <w:rsid w:val="00ED1D2E"/>
    <w:rsid w:val="00EF466C"/>
    <w:rsid w:val="00F11DE4"/>
    <w:rsid w:val="00F130FE"/>
    <w:rsid w:val="00F16505"/>
    <w:rsid w:val="00F22831"/>
    <w:rsid w:val="00F30003"/>
    <w:rsid w:val="00F5052F"/>
    <w:rsid w:val="00F62771"/>
    <w:rsid w:val="00F722EF"/>
    <w:rsid w:val="00F93B05"/>
    <w:rsid w:val="00FC3AF6"/>
    <w:rsid w:val="00FD466C"/>
    <w:rsid w:val="00FE23BE"/>
    <w:rsid w:val="00FF1E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0D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501A1"/>
    <w:pPr>
      <w:spacing w:after="0" w:line="240" w:lineRule="auto"/>
    </w:pPr>
    <w:rPr>
      <w:rFonts w:ascii="Times New Roman" w:eastAsia="Times New Roman" w:hAnsi="Times New Roman" w:cs="Times New Roman"/>
      <w:sz w:val="20"/>
      <w:szCs w:val="20"/>
      <w:lang w:eastAsia="sk-SK"/>
    </w:rPr>
  </w:style>
  <w:style w:type="paragraph" w:styleId="Nadpis4">
    <w:name w:val="heading 4"/>
    <w:basedOn w:val="Normlny"/>
    <w:next w:val="Zkladntext"/>
    <w:link w:val="Nadpis4Char"/>
    <w:qFormat/>
    <w:rsid w:val="00DF4095"/>
    <w:pPr>
      <w:keepNext/>
      <w:numPr>
        <w:ilvl w:val="3"/>
        <w:numId w:val="2"/>
      </w:numPr>
      <w:suppressAutoHyphens/>
      <w:spacing w:line="100" w:lineRule="atLeast"/>
      <w:ind w:left="0" w:right="-2" w:firstLine="0"/>
      <w:jc w:val="center"/>
      <w:outlineLvl w:val="3"/>
    </w:pPr>
    <w:rPr>
      <w:b/>
      <w:smallCaps/>
      <w:sz w:val="26"/>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350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3501A1"/>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3501A1"/>
    <w:rPr>
      <w:rFonts w:ascii="Tahoma" w:hAnsi="Tahoma" w:cs="Tahoma"/>
      <w:sz w:val="16"/>
      <w:szCs w:val="16"/>
    </w:rPr>
  </w:style>
  <w:style w:type="character" w:customStyle="1" w:styleId="TextbublinyChar">
    <w:name w:val="Text bubliny Char"/>
    <w:basedOn w:val="Predvolenpsmoodseku"/>
    <w:link w:val="Textbubliny"/>
    <w:uiPriority w:val="99"/>
    <w:semiHidden/>
    <w:rsid w:val="003501A1"/>
    <w:rPr>
      <w:rFonts w:ascii="Tahoma" w:eastAsia="Times New Roman" w:hAnsi="Tahoma" w:cs="Tahoma"/>
      <w:sz w:val="16"/>
      <w:szCs w:val="16"/>
      <w:lang w:eastAsia="sk-SK"/>
    </w:rPr>
  </w:style>
  <w:style w:type="paragraph" w:styleId="Hlavika">
    <w:name w:val="header"/>
    <w:basedOn w:val="Normlny"/>
    <w:link w:val="HlavikaChar"/>
    <w:uiPriority w:val="99"/>
    <w:unhideWhenUsed/>
    <w:rsid w:val="003501A1"/>
    <w:pPr>
      <w:tabs>
        <w:tab w:val="center" w:pos="4536"/>
        <w:tab w:val="right" w:pos="9072"/>
      </w:tabs>
    </w:pPr>
  </w:style>
  <w:style w:type="character" w:customStyle="1" w:styleId="HlavikaChar">
    <w:name w:val="Hlavička Char"/>
    <w:basedOn w:val="Predvolenpsmoodseku"/>
    <w:link w:val="Hlavika"/>
    <w:uiPriority w:val="99"/>
    <w:rsid w:val="003501A1"/>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3501A1"/>
    <w:pPr>
      <w:tabs>
        <w:tab w:val="center" w:pos="4536"/>
        <w:tab w:val="right" w:pos="9072"/>
      </w:tabs>
    </w:pPr>
  </w:style>
  <w:style w:type="character" w:customStyle="1" w:styleId="PtaChar">
    <w:name w:val="Päta Char"/>
    <w:basedOn w:val="Predvolenpsmoodseku"/>
    <w:link w:val="Pta"/>
    <w:uiPriority w:val="99"/>
    <w:rsid w:val="003501A1"/>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uiPriority w:val="99"/>
    <w:semiHidden/>
    <w:unhideWhenUsed/>
    <w:rsid w:val="00F22831"/>
  </w:style>
  <w:style w:type="character" w:customStyle="1" w:styleId="TextpoznmkypodiarouChar">
    <w:name w:val="Text poznámky pod čiarou Char"/>
    <w:basedOn w:val="Predvolenpsmoodseku"/>
    <w:link w:val="Textpoznmkypodiarou"/>
    <w:uiPriority w:val="99"/>
    <w:semiHidden/>
    <w:rsid w:val="00F22831"/>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F22831"/>
    <w:rPr>
      <w:vertAlign w:val="superscript"/>
    </w:rPr>
  </w:style>
  <w:style w:type="character" w:styleId="Odkaznakomentr">
    <w:name w:val="annotation reference"/>
    <w:basedOn w:val="Predvolenpsmoodseku"/>
    <w:uiPriority w:val="99"/>
    <w:semiHidden/>
    <w:unhideWhenUsed/>
    <w:rsid w:val="00175FD8"/>
    <w:rPr>
      <w:sz w:val="16"/>
      <w:szCs w:val="16"/>
    </w:rPr>
  </w:style>
  <w:style w:type="paragraph" w:styleId="Textkomentra">
    <w:name w:val="annotation text"/>
    <w:basedOn w:val="Normlny"/>
    <w:link w:val="TextkomentraChar"/>
    <w:uiPriority w:val="99"/>
    <w:semiHidden/>
    <w:unhideWhenUsed/>
    <w:rsid w:val="00175FD8"/>
  </w:style>
  <w:style w:type="character" w:customStyle="1" w:styleId="TextkomentraChar">
    <w:name w:val="Text komentára Char"/>
    <w:basedOn w:val="Predvolenpsmoodseku"/>
    <w:link w:val="Textkomentra"/>
    <w:uiPriority w:val="99"/>
    <w:semiHidden/>
    <w:rsid w:val="00175FD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75FD8"/>
    <w:rPr>
      <w:b/>
      <w:bCs/>
    </w:rPr>
  </w:style>
  <w:style w:type="character" w:customStyle="1" w:styleId="PredmetkomentraChar">
    <w:name w:val="Predmet komentára Char"/>
    <w:basedOn w:val="TextkomentraChar"/>
    <w:link w:val="Predmetkomentra"/>
    <w:uiPriority w:val="99"/>
    <w:semiHidden/>
    <w:rsid w:val="00175FD8"/>
    <w:rPr>
      <w:rFonts w:ascii="Times New Roman" w:eastAsia="Times New Roman" w:hAnsi="Times New Roman" w:cs="Times New Roman"/>
      <w:b/>
      <w:bCs/>
      <w:sz w:val="20"/>
      <w:szCs w:val="20"/>
      <w:lang w:eastAsia="sk-SK"/>
    </w:rPr>
  </w:style>
  <w:style w:type="character" w:styleId="Hypertextovprepojenie">
    <w:name w:val="Hyperlink"/>
    <w:basedOn w:val="Predvolenpsmoodseku"/>
    <w:uiPriority w:val="99"/>
    <w:unhideWhenUsed/>
    <w:rsid w:val="00D90B3C"/>
    <w:rPr>
      <w:color w:val="0000FF" w:themeColor="hyperlink"/>
      <w:u w:val="single"/>
    </w:rPr>
  </w:style>
  <w:style w:type="character" w:styleId="PouitHypertextovPrepojenie">
    <w:name w:val="FollowedHyperlink"/>
    <w:basedOn w:val="Predvolenpsmoodseku"/>
    <w:uiPriority w:val="99"/>
    <w:semiHidden/>
    <w:unhideWhenUsed/>
    <w:rsid w:val="00D90B3C"/>
    <w:rPr>
      <w:color w:val="800080" w:themeColor="followedHyperlink"/>
      <w:u w:val="single"/>
    </w:rPr>
  </w:style>
  <w:style w:type="character" w:customStyle="1" w:styleId="Nadpis4Char">
    <w:name w:val="Nadpis 4 Char"/>
    <w:basedOn w:val="Predvolenpsmoodseku"/>
    <w:link w:val="Nadpis4"/>
    <w:rsid w:val="00DF4095"/>
    <w:rPr>
      <w:rFonts w:ascii="Times New Roman" w:eastAsia="Times New Roman" w:hAnsi="Times New Roman" w:cs="Times New Roman"/>
      <w:b/>
      <w:smallCaps/>
      <w:sz w:val="26"/>
      <w:szCs w:val="20"/>
      <w:lang w:eastAsia="ar-SA"/>
    </w:rPr>
  </w:style>
  <w:style w:type="paragraph" w:styleId="Zkladntext">
    <w:name w:val="Body Text"/>
    <w:basedOn w:val="Normlny"/>
    <w:link w:val="ZkladntextChar"/>
    <w:uiPriority w:val="99"/>
    <w:semiHidden/>
    <w:unhideWhenUsed/>
    <w:rsid w:val="00DF4095"/>
    <w:pPr>
      <w:spacing w:after="120"/>
    </w:pPr>
  </w:style>
  <w:style w:type="character" w:customStyle="1" w:styleId="ZkladntextChar">
    <w:name w:val="Základný text Char"/>
    <w:basedOn w:val="Predvolenpsmoodseku"/>
    <w:link w:val="Zkladntext"/>
    <w:uiPriority w:val="99"/>
    <w:semiHidden/>
    <w:rsid w:val="00DF4095"/>
    <w:rPr>
      <w:rFonts w:ascii="Times New Roman" w:eastAsia="Times New Roman" w:hAnsi="Times New Roman" w:cs="Times New Roman"/>
      <w:sz w:val="20"/>
      <w:szCs w:val="2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501A1"/>
    <w:pPr>
      <w:spacing w:after="0" w:line="240" w:lineRule="auto"/>
    </w:pPr>
    <w:rPr>
      <w:rFonts w:ascii="Times New Roman" w:eastAsia="Times New Roman" w:hAnsi="Times New Roman" w:cs="Times New Roman"/>
      <w:sz w:val="20"/>
      <w:szCs w:val="20"/>
      <w:lang w:eastAsia="sk-SK"/>
    </w:rPr>
  </w:style>
  <w:style w:type="paragraph" w:styleId="Nadpis4">
    <w:name w:val="heading 4"/>
    <w:basedOn w:val="Normlny"/>
    <w:next w:val="Zkladntext"/>
    <w:link w:val="Nadpis4Char"/>
    <w:qFormat/>
    <w:rsid w:val="00DF4095"/>
    <w:pPr>
      <w:keepNext/>
      <w:numPr>
        <w:ilvl w:val="3"/>
        <w:numId w:val="2"/>
      </w:numPr>
      <w:suppressAutoHyphens/>
      <w:spacing w:line="100" w:lineRule="atLeast"/>
      <w:ind w:left="0" w:right="-2" w:firstLine="0"/>
      <w:jc w:val="center"/>
      <w:outlineLvl w:val="3"/>
    </w:pPr>
    <w:rPr>
      <w:b/>
      <w:smallCaps/>
      <w:sz w:val="26"/>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350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3501A1"/>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3501A1"/>
    <w:rPr>
      <w:rFonts w:ascii="Tahoma" w:hAnsi="Tahoma" w:cs="Tahoma"/>
      <w:sz w:val="16"/>
      <w:szCs w:val="16"/>
    </w:rPr>
  </w:style>
  <w:style w:type="character" w:customStyle="1" w:styleId="TextbublinyChar">
    <w:name w:val="Text bubliny Char"/>
    <w:basedOn w:val="Predvolenpsmoodseku"/>
    <w:link w:val="Textbubliny"/>
    <w:uiPriority w:val="99"/>
    <w:semiHidden/>
    <w:rsid w:val="003501A1"/>
    <w:rPr>
      <w:rFonts w:ascii="Tahoma" w:eastAsia="Times New Roman" w:hAnsi="Tahoma" w:cs="Tahoma"/>
      <w:sz w:val="16"/>
      <w:szCs w:val="16"/>
      <w:lang w:eastAsia="sk-SK"/>
    </w:rPr>
  </w:style>
  <w:style w:type="paragraph" w:styleId="Hlavika">
    <w:name w:val="header"/>
    <w:basedOn w:val="Normlny"/>
    <w:link w:val="HlavikaChar"/>
    <w:uiPriority w:val="99"/>
    <w:unhideWhenUsed/>
    <w:rsid w:val="003501A1"/>
    <w:pPr>
      <w:tabs>
        <w:tab w:val="center" w:pos="4536"/>
        <w:tab w:val="right" w:pos="9072"/>
      </w:tabs>
    </w:pPr>
  </w:style>
  <w:style w:type="character" w:customStyle="1" w:styleId="HlavikaChar">
    <w:name w:val="Hlavička Char"/>
    <w:basedOn w:val="Predvolenpsmoodseku"/>
    <w:link w:val="Hlavika"/>
    <w:uiPriority w:val="99"/>
    <w:rsid w:val="003501A1"/>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3501A1"/>
    <w:pPr>
      <w:tabs>
        <w:tab w:val="center" w:pos="4536"/>
        <w:tab w:val="right" w:pos="9072"/>
      </w:tabs>
    </w:pPr>
  </w:style>
  <w:style w:type="character" w:customStyle="1" w:styleId="PtaChar">
    <w:name w:val="Päta Char"/>
    <w:basedOn w:val="Predvolenpsmoodseku"/>
    <w:link w:val="Pta"/>
    <w:uiPriority w:val="99"/>
    <w:rsid w:val="003501A1"/>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uiPriority w:val="99"/>
    <w:semiHidden/>
    <w:unhideWhenUsed/>
    <w:rsid w:val="00F22831"/>
  </w:style>
  <w:style w:type="character" w:customStyle="1" w:styleId="TextpoznmkypodiarouChar">
    <w:name w:val="Text poznámky pod čiarou Char"/>
    <w:basedOn w:val="Predvolenpsmoodseku"/>
    <w:link w:val="Textpoznmkypodiarou"/>
    <w:uiPriority w:val="99"/>
    <w:semiHidden/>
    <w:rsid w:val="00F22831"/>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F22831"/>
    <w:rPr>
      <w:vertAlign w:val="superscript"/>
    </w:rPr>
  </w:style>
  <w:style w:type="character" w:styleId="Odkaznakomentr">
    <w:name w:val="annotation reference"/>
    <w:basedOn w:val="Predvolenpsmoodseku"/>
    <w:uiPriority w:val="99"/>
    <w:semiHidden/>
    <w:unhideWhenUsed/>
    <w:rsid w:val="00175FD8"/>
    <w:rPr>
      <w:sz w:val="16"/>
      <w:szCs w:val="16"/>
    </w:rPr>
  </w:style>
  <w:style w:type="paragraph" w:styleId="Textkomentra">
    <w:name w:val="annotation text"/>
    <w:basedOn w:val="Normlny"/>
    <w:link w:val="TextkomentraChar"/>
    <w:uiPriority w:val="99"/>
    <w:semiHidden/>
    <w:unhideWhenUsed/>
    <w:rsid w:val="00175FD8"/>
  </w:style>
  <w:style w:type="character" w:customStyle="1" w:styleId="TextkomentraChar">
    <w:name w:val="Text komentára Char"/>
    <w:basedOn w:val="Predvolenpsmoodseku"/>
    <w:link w:val="Textkomentra"/>
    <w:uiPriority w:val="99"/>
    <w:semiHidden/>
    <w:rsid w:val="00175FD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75FD8"/>
    <w:rPr>
      <w:b/>
      <w:bCs/>
    </w:rPr>
  </w:style>
  <w:style w:type="character" w:customStyle="1" w:styleId="PredmetkomentraChar">
    <w:name w:val="Predmet komentára Char"/>
    <w:basedOn w:val="TextkomentraChar"/>
    <w:link w:val="Predmetkomentra"/>
    <w:uiPriority w:val="99"/>
    <w:semiHidden/>
    <w:rsid w:val="00175FD8"/>
    <w:rPr>
      <w:rFonts w:ascii="Times New Roman" w:eastAsia="Times New Roman" w:hAnsi="Times New Roman" w:cs="Times New Roman"/>
      <w:b/>
      <w:bCs/>
      <w:sz w:val="20"/>
      <w:szCs w:val="20"/>
      <w:lang w:eastAsia="sk-SK"/>
    </w:rPr>
  </w:style>
  <w:style w:type="character" w:styleId="Hypertextovprepojenie">
    <w:name w:val="Hyperlink"/>
    <w:basedOn w:val="Predvolenpsmoodseku"/>
    <w:uiPriority w:val="99"/>
    <w:unhideWhenUsed/>
    <w:rsid w:val="00D90B3C"/>
    <w:rPr>
      <w:color w:val="0000FF" w:themeColor="hyperlink"/>
      <w:u w:val="single"/>
    </w:rPr>
  </w:style>
  <w:style w:type="character" w:styleId="PouitHypertextovPrepojenie">
    <w:name w:val="FollowedHyperlink"/>
    <w:basedOn w:val="Predvolenpsmoodseku"/>
    <w:uiPriority w:val="99"/>
    <w:semiHidden/>
    <w:unhideWhenUsed/>
    <w:rsid w:val="00D90B3C"/>
    <w:rPr>
      <w:color w:val="800080" w:themeColor="followedHyperlink"/>
      <w:u w:val="single"/>
    </w:rPr>
  </w:style>
  <w:style w:type="character" w:customStyle="1" w:styleId="Nadpis4Char">
    <w:name w:val="Nadpis 4 Char"/>
    <w:basedOn w:val="Predvolenpsmoodseku"/>
    <w:link w:val="Nadpis4"/>
    <w:rsid w:val="00DF4095"/>
    <w:rPr>
      <w:rFonts w:ascii="Times New Roman" w:eastAsia="Times New Roman" w:hAnsi="Times New Roman" w:cs="Times New Roman"/>
      <w:b/>
      <w:smallCaps/>
      <w:sz w:val="26"/>
      <w:szCs w:val="20"/>
      <w:lang w:eastAsia="ar-SA"/>
    </w:rPr>
  </w:style>
  <w:style w:type="paragraph" w:styleId="Zkladntext">
    <w:name w:val="Body Text"/>
    <w:basedOn w:val="Normlny"/>
    <w:link w:val="ZkladntextChar"/>
    <w:uiPriority w:val="99"/>
    <w:semiHidden/>
    <w:unhideWhenUsed/>
    <w:rsid w:val="00DF4095"/>
    <w:pPr>
      <w:spacing w:after="120"/>
    </w:pPr>
  </w:style>
  <w:style w:type="character" w:customStyle="1" w:styleId="ZkladntextChar">
    <w:name w:val="Základný text Char"/>
    <w:basedOn w:val="Predvolenpsmoodseku"/>
    <w:link w:val="Zkladntext"/>
    <w:uiPriority w:val="99"/>
    <w:semiHidden/>
    <w:rsid w:val="00DF4095"/>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01682">
      <w:bodyDiv w:val="1"/>
      <w:marLeft w:val="0"/>
      <w:marRight w:val="0"/>
      <w:marTop w:val="0"/>
      <w:marBottom w:val="0"/>
      <w:divBdr>
        <w:top w:val="none" w:sz="0" w:space="0" w:color="auto"/>
        <w:left w:val="none" w:sz="0" w:space="0" w:color="auto"/>
        <w:bottom w:val="none" w:sz="0" w:space="0" w:color="auto"/>
        <w:right w:val="none" w:sz="0" w:space="0" w:color="auto"/>
      </w:divBdr>
    </w:div>
    <w:div w:id="209512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finance.gov.sk/sk/financie/institut-financnej-politiky/ekonomicke-prognozy/makroekonomicke-prognozy/47-zasadnutie-vyboru-makroekonomicke-prognozy-februar-2019.html" TargetMode="External"/><Relationship Id="rId4" Type="http://schemas.microsoft.com/office/2007/relationships/stylesWithEffects" Target="stylesWithEffects.xml"/><Relationship Id="rId9" Type="http://schemas.openxmlformats.org/officeDocument/2006/relationships/hyperlink" Target="mailto:miroslav.dancek@employment.gov.sk" TargetMode="External"/><Relationship Id="rId14" Type="http://schemas.microsoft.com/office/2011/relationships/people" Target="peop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13FE1-71BB-449D-B767-A02AD5845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1494</Words>
  <Characters>8522</Characters>
  <Application>Microsoft Office Word</Application>
  <DocSecurity>0</DocSecurity>
  <Lines>71</Lines>
  <Paragraphs>19</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9997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Duricova Elena</cp:lastModifiedBy>
  <cp:revision>2</cp:revision>
  <cp:lastPrinted>2019-02-26T11:56:00Z</cp:lastPrinted>
  <dcterms:created xsi:type="dcterms:W3CDTF">2019-04-23T11:50:00Z</dcterms:created>
  <dcterms:modified xsi:type="dcterms:W3CDTF">2019-04-23T11:50:00Z</dcterms:modified>
</cp:coreProperties>
</file>