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F2DFA" w:rsidRPr="00F04CCD" w14:paraId="099C9266" w14:textId="77777777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14:paraId="4C69D0C4" w14:textId="77777777" w:rsidR="009F2DFA" w:rsidRPr="00042C66" w:rsidRDefault="008A1252" w:rsidP="007B71A4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 w:rsidRPr="008A1252">
              <w:rPr>
                <w:b/>
                <w:sz w:val="28"/>
              </w:rPr>
              <w:t xml:space="preserve">Analýza </w:t>
            </w:r>
            <w:r>
              <w:rPr>
                <w:b/>
                <w:sz w:val="28"/>
              </w:rPr>
              <w:t>v</w:t>
            </w:r>
            <w:r w:rsidR="009F2DFA" w:rsidRPr="00042C66">
              <w:rPr>
                <w:b/>
                <w:sz w:val="28"/>
              </w:rPr>
              <w:t>plyv</w:t>
            </w:r>
            <w:r>
              <w:rPr>
                <w:b/>
                <w:sz w:val="28"/>
              </w:rPr>
              <w:t>ov</w:t>
            </w:r>
            <w:r w:rsidR="009F2DFA" w:rsidRPr="00042C66">
              <w:rPr>
                <w:b/>
                <w:sz w:val="28"/>
              </w:rPr>
              <w:t xml:space="preserve"> na podnikateľské prostredie </w:t>
            </w:r>
          </w:p>
          <w:p w14:paraId="127ABC75" w14:textId="77777777" w:rsidR="009F2DFA" w:rsidRPr="00F04CCD" w:rsidRDefault="009F2DFA" w:rsidP="00780BA6">
            <w:pPr>
              <w:jc w:val="center"/>
              <w:rPr>
                <w:b/>
              </w:rPr>
            </w:pPr>
            <w:r w:rsidRPr="00042C66">
              <w:rPr>
                <w:b/>
                <w:sz w:val="24"/>
              </w:rPr>
              <w:t xml:space="preserve">(vrátane </w:t>
            </w:r>
            <w:r w:rsidR="00780BA6">
              <w:rPr>
                <w:b/>
                <w:sz w:val="24"/>
              </w:rPr>
              <w:t xml:space="preserve">testu </w:t>
            </w:r>
            <w:r w:rsidRPr="00042C66">
              <w:rPr>
                <w:b/>
                <w:sz w:val="24"/>
              </w:rPr>
              <w:t>MSP)</w:t>
            </w:r>
          </w:p>
        </w:tc>
      </w:tr>
      <w:tr w:rsidR="009F2DFA" w:rsidRPr="00F04CCD" w14:paraId="2DA01EC0" w14:textId="77777777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14:paraId="56A907E1" w14:textId="77777777" w:rsidR="009F2DFA" w:rsidRPr="00042C66" w:rsidRDefault="009F2DFA" w:rsidP="007B71A4">
            <w:pPr>
              <w:rPr>
                <w:b/>
                <w:sz w:val="24"/>
              </w:rPr>
            </w:pPr>
            <w:r w:rsidRPr="00042C66">
              <w:rPr>
                <w:b/>
                <w:sz w:val="24"/>
              </w:rPr>
              <w:t>Materiál bude mať vplyv s ohľadom na veľkostnú kategóriu podnikov:</w:t>
            </w:r>
          </w:p>
        </w:tc>
      </w:tr>
      <w:tr w:rsidR="009F2DFA" w:rsidRPr="00F04CCD" w14:paraId="07FC42BF" w14:textId="77777777" w:rsidTr="007B71A4">
        <w:trPr>
          <w:trHeight w:val="567"/>
        </w:trPr>
        <w:tc>
          <w:tcPr>
            <w:tcW w:w="9212" w:type="dxa"/>
            <w:shd w:val="clear" w:color="auto" w:fill="auto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F2DFA" w:rsidRPr="00F04CCD" w14:paraId="2E428086" w14:textId="77777777" w:rsidTr="007B71A4">
              <w:sdt>
                <w:sdtPr>
                  <w:id w:val="4333983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2C887AF" w14:textId="77777777" w:rsidR="009F2DFA" w:rsidRPr="00F04CCD" w:rsidRDefault="00EB302B" w:rsidP="007B71A4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20A3FE9" w14:textId="77777777" w:rsidR="009F2DFA" w:rsidRPr="00F04CCD" w:rsidRDefault="009F2DFA" w:rsidP="007B71A4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 xml:space="preserve">iba na MSP (0 - 249 zamestnancov) </w:t>
                  </w:r>
                </w:p>
              </w:tc>
            </w:tr>
            <w:tr w:rsidR="009F2DFA" w:rsidRPr="00F04CCD" w14:paraId="78847795" w14:textId="77777777" w:rsidTr="007B71A4">
              <w:sdt>
                <w:sdtPr>
                  <w:id w:val="-794538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484954F8" w14:textId="77777777" w:rsidR="009F2DFA" w:rsidRPr="00F04CCD" w:rsidRDefault="009F2DFA" w:rsidP="007B71A4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04D8217" w14:textId="77777777" w:rsidR="009F2DFA" w:rsidRPr="00F04CCD" w:rsidRDefault="009F2DFA" w:rsidP="007B71A4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>iba na veľké podniky (250 a viac zamestnancov)</w:t>
                  </w:r>
                </w:p>
              </w:tc>
            </w:tr>
            <w:tr w:rsidR="009F2DFA" w:rsidRPr="00F04CCD" w14:paraId="29B2B2E9" w14:textId="77777777" w:rsidTr="007B71A4">
              <w:sdt>
                <w:sdtPr>
                  <w:id w:val="12906345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CEC770F" w14:textId="77777777" w:rsidR="009F2DFA" w:rsidRPr="00F04CCD" w:rsidRDefault="00EB302B" w:rsidP="007B71A4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6A02B86" w14:textId="77777777" w:rsidR="009F2DFA" w:rsidRPr="00F04CCD" w:rsidRDefault="009F2DFA" w:rsidP="007B71A4">
                  <w:r w:rsidRPr="00F04CCD">
                    <w:rPr>
                      <w:b/>
                    </w:rPr>
                    <w:t xml:space="preserve">na všetky </w:t>
                  </w:r>
                  <w:r>
                    <w:rPr>
                      <w:b/>
                    </w:rPr>
                    <w:t>kategórie</w:t>
                  </w:r>
                  <w:r w:rsidRPr="00F04CCD">
                    <w:rPr>
                      <w:b/>
                    </w:rPr>
                    <w:t xml:space="preserve"> podnikov</w:t>
                  </w:r>
                </w:p>
              </w:tc>
            </w:tr>
          </w:tbl>
          <w:p w14:paraId="47865874" w14:textId="77777777" w:rsidR="009F2DFA" w:rsidRPr="00F04CCD" w:rsidRDefault="009F2DFA" w:rsidP="007B71A4">
            <w:pPr>
              <w:rPr>
                <w:b/>
              </w:rPr>
            </w:pPr>
          </w:p>
        </w:tc>
      </w:tr>
      <w:tr w:rsidR="009F2DFA" w:rsidRPr="00F04CCD" w14:paraId="2C510F99" w14:textId="77777777" w:rsidTr="007B71A4">
        <w:tc>
          <w:tcPr>
            <w:tcW w:w="9212" w:type="dxa"/>
            <w:shd w:val="clear" w:color="auto" w:fill="D9D9D9" w:themeFill="background1" w:themeFillShade="D9"/>
          </w:tcPr>
          <w:p w14:paraId="73993C60" w14:textId="77777777"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.1 Dotknuté podnikateľské subjekty</w:t>
            </w:r>
          </w:p>
          <w:p w14:paraId="58AE2868" w14:textId="77777777" w:rsidR="009F2DFA" w:rsidRPr="00F04CCD" w:rsidRDefault="009F2DFA" w:rsidP="007B71A4">
            <w:pPr>
              <w:ind w:left="284"/>
              <w:rPr>
                <w:b/>
              </w:rPr>
            </w:pPr>
            <w:r w:rsidRPr="00042C66">
              <w:rPr>
                <w:sz w:val="24"/>
              </w:rPr>
              <w:t xml:space="preserve">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14:paraId="20A78A98" w14:textId="77777777" w:rsidTr="007B71A4">
        <w:tc>
          <w:tcPr>
            <w:tcW w:w="9212" w:type="dxa"/>
            <w:tcBorders>
              <w:bottom w:val="single" w:sz="4" w:space="0" w:color="auto"/>
            </w:tcBorders>
          </w:tcPr>
          <w:p w14:paraId="3CD0370D" w14:textId="77777777"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Uveďte, aké podnikateľské subjekty budú predkladaným návrhom ovplyvnené.</w:t>
            </w:r>
          </w:p>
          <w:p w14:paraId="1ADCB8BA" w14:textId="77777777"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Aký je ich počet?</w:t>
            </w:r>
          </w:p>
        </w:tc>
      </w:tr>
      <w:tr w:rsidR="009F2DFA" w:rsidRPr="00F04CCD" w14:paraId="070F9945" w14:textId="77777777" w:rsidTr="007B71A4"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</w:tcPr>
          <w:p w14:paraId="567CA695" w14:textId="3B4DA6AD" w:rsidR="009F2DFA" w:rsidRPr="005F47F2" w:rsidRDefault="00C1240F" w:rsidP="00235F26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Predkladaným</w:t>
            </w:r>
            <w:r w:rsidR="00436C4C" w:rsidRPr="005F47F2">
              <w:rPr>
                <w:sz w:val="24"/>
                <w:szCs w:val="24"/>
              </w:rPr>
              <w:t xml:space="preserve"> návrh</w:t>
            </w:r>
            <w:r>
              <w:rPr>
                <w:sz w:val="24"/>
                <w:szCs w:val="24"/>
              </w:rPr>
              <w:t>om</w:t>
            </w:r>
            <w:r w:rsidR="00571312" w:rsidRPr="005F47F2">
              <w:rPr>
                <w:sz w:val="24"/>
                <w:szCs w:val="24"/>
              </w:rPr>
              <w:t xml:space="preserve"> </w:t>
            </w:r>
            <w:r w:rsidR="005B61A0">
              <w:rPr>
                <w:sz w:val="24"/>
                <w:szCs w:val="24"/>
              </w:rPr>
              <w:t xml:space="preserve">novely </w:t>
            </w:r>
            <w:r w:rsidR="00571312" w:rsidRPr="005F47F2">
              <w:rPr>
                <w:sz w:val="24"/>
                <w:szCs w:val="24"/>
              </w:rPr>
              <w:t>zákona</w:t>
            </w:r>
            <w:r>
              <w:rPr>
                <w:sz w:val="24"/>
                <w:szCs w:val="24"/>
              </w:rPr>
              <w:t xml:space="preserve"> budú</w:t>
            </w:r>
            <w:r w:rsidR="00436C4C" w:rsidRPr="005F47F2">
              <w:rPr>
                <w:sz w:val="24"/>
                <w:szCs w:val="24"/>
              </w:rPr>
              <w:t xml:space="preserve"> ovplyvnení </w:t>
            </w:r>
            <w:r>
              <w:rPr>
                <w:sz w:val="24"/>
                <w:szCs w:val="24"/>
              </w:rPr>
              <w:t>prevádzkovatelia zriadení, ktoré obsahujú flu</w:t>
            </w:r>
            <w:r w:rsidR="00235F26">
              <w:rPr>
                <w:sz w:val="24"/>
                <w:szCs w:val="24"/>
              </w:rPr>
              <w:t>órované sk</w:t>
            </w:r>
            <w:r>
              <w:rPr>
                <w:sz w:val="24"/>
                <w:szCs w:val="24"/>
              </w:rPr>
              <w:t>l</w:t>
            </w:r>
            <w:r w:rsidR="00235F26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níkové plyny</w:t>
            </w:r>
            <w:r w:rsidR="00235F26">
              <w:rPr>
                <w:sz w:val="24"/>
                <w:szCs w:val="24"/>
              </w:rPr>
              <w:t>; výrobcovia, dovozcovia, vývozcovia a distribútori fluórovaných skleníkových plynov, výrobkov a zariadení obsahujúcich tieto plyny; organizácie, ktoré by požiadali o poverenie na činnosť hodnotiaceho a certifikačného orgánu. Presný počet dotknutých podnikateľských subjektov nie je možné určiť.</w:t>
            </w:r>
          </w:p>
        </w:tc>
      </w:tr>
      <w:tr w:rsidR="009F2DFA" w:rsidRPr="00F04CCD" w14:paraId="694AE6B9" w14:textId="77777777" w:rsidTr="007B71A4">
        <w:trPr>
          <w:trHeight w:val="339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779832" w14:textId="77777777"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.2 Vyhodnotenie konzultácií</w:t>
            </w:r>
          </w:p>
          <w:p w14:paraId="1316B5D8" w14:textId="77777777"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t xml:space="preserve"> 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14:paraId="0E6ADD8F" w14:textId="77777777" w:rsidTr="007B71A4">
        <w:trPr>
          <w:trHeight w:val="557"/>
        </w:trPr>
        <w:tc>
          <w:tcPr>
            <w:tcW w:w="9212" w:type="dxa"/>
            <w:tcBorders>
              <w:bottom w:val="single" w:sz="4" w:space="0" w:color="auto"/>
            </w:tcBorders>
          </w:tcPr>
          <w:p w14:paraId="79823D71" w14:textId="77777777"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Uveďte, akou formou (verejné alebo cielené konzultácie a prečo)</w:t>
            </w:r>
            <w:r>
              <w:rPr>
                <w:i/>
              </w:rPr>
              <w:t xml:space="preserve"> a </w:t>
            </w:r>
            <w:r w:rsidRPr="00F04CCD">
              <w:rPr>
                <w:i/>
              </w:rPr>
              <w:t>s kým bol návrh konzultovaný.</w:t>
            </w:r>
          </w:p>
          <w:p w14:paraId="147C0A05" w14:textId="77777777"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Ako dlho trvali konzultácie?</w:t>
            </w:r>
          </w:p>
          <w:p w14:paraId="75991FEE" w14:textId="77777777" w:rsidR="009F2DFA" w:rsidRPr="000D2622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Uveďte hlavné body konzultácií a výsledky konzultácií. </w:t>
            </w:r>
          </w:p>
        </w:tc>
      </w:tr>
      <w:tr w:rsidR="009F2DFA" w:rsidRPr="00F04CCD" w14:paraId="546ADC27" w14:textId="77777777" w:rsidTr="007B71A4"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</w:tcPr>
          <w:p w14:paraId="34C2603C" w14:textId="0966FFC5" w:rsidR="002B21F3" w:rsidRDefault="00A91B06" w:rsidP="005B61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Navrhované úpravy a zmeny v rámci novely zákona</w:t>
            </w:r>
            <w:r w:rsidR="005B61A0">
              <w:rPr>
                <w:sz w:val="24"/>
                <w:szCs w:val="24"/>
              </w:rPr>
              <w:t xml:space="preserve"> boli </w:t>
            </w:r>
            <w:r>
              <w:rPr>
                <w:sz w:val="24"/>
                <w:szCs w:val="24"/>
              </w:rPr>
              <w:t>d</w:t>
            </w:r>
            <w:r w:rsidR="005B61A0">
              <w:rPr>
                <w:sz w:val="24"/>
                <w:szCs w:val="24"/>
              </w:rPr>
              <w:t xml:space="preserve">iskutované so zástupcami Slovenského zväzu </w:t>
            </w:r>
            <w:r>
              <w:rPr>
                <w:sz w:val="24"/>
                <w:szCs w:val="24"/>
              </w:rPr>
              <w:t>pre chladiacu a klimatizačnú techniku</w:t>
            </w:r>
            <w:r w:rsidR="00C57EF9">
              <w:rPr>
                <w:sz w:val="24"/>
                <w:szCs w:val="24"/>
              </w:rPr>
              <w:t>. Konzultácie sa týkali otázok a detailov nastavenia spôsobu evidencie a oznamovania údajov pre dotknuté podnikateľské subjekty, kde sa navrhuje zmena spôsobu oznamovania a to prostredníctvom elektronického systému, ktorý poskytne a bude spravovať organizácia poverená ministerstvom. Diskusia týkajúca sa náležitej úpravy priebežne prebieha</w:t>
            </w:r>
            <w:r w:rsidR="001C4479">
              <w:rPr>
                <w:sz w:val="24"/>
                <w:szCs w:val="24"/>
              </w:rPr>
              <w:t>.</w:t>
            </w:r>
            <w:r w:rsidR="002B21F3">
              <w:rPr>
                <w:sz w:val="24"/>
                <w:szCs w:val="24"/>
              </w:rPr>
              <w:t xml:space="preserve"> </w:t>
            </w:r>
          </w:p>
          <w:p w14:paraId="1FF2BADC" w14:textId="77777777" w:rsidR="002B21F3" w:rsidRDefault="002B21F3" w:rsidP="005B61A0">
            <w:pPr>
              <w:jc w:val="both"/>
              <w:rPr>
                <w:sz w:val="24"/>
                <w:szCs w:val="24"/>
              </w:rPr>
            </w:pPr>
          </w:p>
          <w:p w14:paraId="3DF75453" w14:textId="615CDC76" w:rsidR="009F2DFA" w:rsidRPr="00571312" w:rsidRDefault="002B21F3" w:rsidP="00CE1E61">
            <w:pPr>
              <w:jc w:val="both"/>
              <w:rPr>
                <w:sz w:val="24"/>
                <w:szCs w:val="24"/>
              </w:rPr>
            </w:pPr>
            <w:r w:rsidRPr="002B21F3">
              <w:rPr>
                <w:sz w:val="24"/>
                <w:szCs w:val="24"/>
              </w:rPr>
              <w:t xml:space="preserve">Verejnosť bola o príprave návrhu </w:t>
            </w:r>
            <w:r>
              <w:rPr>
                <w:sz w:val="24"/>
                <w:szCs w:val="24"/>
              </w:rPr>
              <w:t>novely zákona</w:t>
            </w:r>
            <w:r w:rsidRPr="002B21F3">
              <w:rPr>
                <w:sz w:val="24"/>
                <w:szCs w:val="24"/>
              </w:rPr>
              <w:t xml:space="preserve"> informovaná prostredníctvom predbežnej informácie zverejnenej v informačnom systéme verejnej správy Slov-Lex (PI/2</w:t>
            </w:r>
            <w:r>
              <w:rPr>
                <w:sz w:val="24"/>
                <w:szCs w:val="24"/>
              </w:rPr>
              <w:t>01</w:t>
            </w:r>
            <w:r w:rsidR="00CE1E6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/</w:t>
            </w:r>
            <w:r w:rsidR="00CE1E61">
              <w:rPr>
                <w:sz w:val="24"/>
                <w:szCs w:val="24"/>
              </w:rPr>
              <w:t>98</w:t>
            </w:r>
            <w:r>
              <w:rPr>
                <w:sz w:val="24"/>
                <w:szCs w:val="24"/>
              </w:rPr>
              <w:t xml:space="preserve">) od </w:t>
            </w:r>
            <w:r w:rsidR="00CE1E61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.0</w:t>
            </w:r>
            <w:r w:rsidR="00CE1E6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.201</w:t>
            </w:r>
            <w:r w:rsidR="00CE1E6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do </w:t>
            </w:r>
            <w:r w:rsidR="00CE1E61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.0</w:t>
            </w:r>
            <w:r w:rsidR="00CE1E6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Pr="002B21F3">
              <w:rPr>
                <w:sz w:val="24"/>
                <w:szCs w:val="24"/>
              </w:rPr>
              <w:t>201</w:t>
            </w:r>
            <w:r w:rsidR="00CE1E61">
              <w:rPr>
                <w:sz w:val="24"/>
                <w:szCs w:val="24"/>
              </w:rPr>
              <w:t>8.</w:t>
            </w:r>
          </w:p>
        </w:tc>
      </w:tr>
      <w:tr w:rsidR="009F2DFA" w:rsidRPr="00F04CCD" w14:paraId="0CE2E7E3" w14:textId="77777777" w:rsidTr="007B71A4">
        <w:tc>
          <w:tcPr>
            <w:tcW w:w="9212" w:type="dxa"/>
            <w:shd w:val="clear" w:color="auto" w:fill="D9D9D9" w:themeFill="background1" w:themeFillShade="D9"/>
          </w:tcPr>
          <w:p w14:paraId="228CA281" w14:textId="77777777"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.3 Náklady regulácie</w:t>
            </w:r>
          </w:p>
          <w:p w14:paraId="0842FCA4" w14:textId="77777777"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t xml:space="preserve">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14:paraId="7CE76350" w14:textId="77777777" w:rsidTr="007B71A4">
        <w:tc>
          <w:tcPr>
            <w:tcW w:w="9212" w:type="dxa"/>
            <w:tcBorders>
              <w:bottom w:val="single" w:sz="4" w:space="0" w:color="auto"/>
            </w:tcBorders>
          </w:tcPr>
          <w:p w14:paraId="77E6ADCD" w14:textId="77777777"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.3.1 Priame finančné náklady</w:t>
            </w:r>
          </w:p>
          <w:p w14:paraId="67A69678" w14:textId="77777777"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 w:rsidR="009F2DFA" w:rsidRPr="00F04CCD" w14:paraId="6D2EB2FF" w14:textId="77777777" w:rsidTr="007B71A4">
        <w:tc>
          <w:tcPr>
            <w:tcW w:w="9212" w:type="dxa"/>
            <w:tcBorders>
              <w:bottom w:val="single" w:sz="4" w:space="0" w:color="auto"/>
            </w:tcBorders>
          </w:tcPr>
          <w:p w14:paraId="53D9FF94" w14:textId="77777777" w:rsidR="009F2DFA" w:rsidRPr="00A72BBC" w:rsidRDefault="00A72BBC" w:rsidP="007B71A4">
            <w:pPr>
              <w:rPr>
                <w:b/>
                <w:i/>
                <w:sz w:val="24"/>
                <w:szCs w:val="24"/>
              </w:rPr>
            </w:pPr>
            <w:r w:rsidRPr="00A72BBC">
              <w:rPr>
                <w:sz w:val="24"/>
                <w:szCs w:val="24"/>
              </w:rPr>
              <w:t>Návrh nebude mať vplyv na zvýšenie ani na zníženie priamych finančných nákladov.</w:t>
            </w:r>
          </w:p>
        </w:tc>
      </w:tr>
      <w:tr w:rsidR="009F2DFA" w:rsidRPr="00F04CCD" w14:paraId="40897F14" w14:textId="77777777" w:rsidTr="007B71A4">
        <w:tc>
          <w:tcPr>
            <w:tcW w:w="9212" w:type="dxa"/>
            <w:tcBorders>
              <w:bottom w:val="single" w:sz="4" w:space="0" w:color="auto"/>
            </w:tcBorders>
          </w:tcPr>
          <w:p w14:paraId="3395BF7F" w14:textId="77777777" w:rsidR="009F2DFA" w:rsidRPr="004F36EF" w:rsidRDefault="002B1108" w:rsidP="007B71A4">
            <w:pPr>
              <w:rPr>
                <w:b/>
                <w:i/>
              </w:rPr>
            </w:pPr>
            <w:r w:rsidRPr="004F36EF">
              <w:rPr>
                <w:b/>
                <w:i/>
              </w:rPr>
              <w:t>3</w:t>
            </w:r>
            <w:r w:rsidR="009F2DFA" w:rsidRPr="004F36EF">
              <w:rPr>
                <w:b/>
                <w:i/>
              </w:rPr>
              <w:t>.3.2 Nepriame finančné náklady</w:t>
            </w:r>
          </w:p>
          <w:p w14:paraId="12E0437B" w14:textId="77777777" w:rsidR="009F2DFA" w:rsidRPr="00AF3D5C" w:rsidRDefault="009F2DFA" w:rsidP="00B31A8E">
            <w:pPr>
              <w:rPr>
                <w:i/>
                <w:highlight w:val="yellow"/>
              </w:rPr>
            </w:pPr>
            <w:r w:rsidRPr="004F36EF">
              <w:rPr>
                <w:i/>
              </w:rPr>
              <w:t xml:space="preserve">Vyžaduje si predkladaný návrh dodatočné náklady na nákup tovarov alebo služieb? </w:t>
            </w:r>
            <w:r w:rsidR="00B31A8E" w:rsidRPr="004F36EF">
              <w:rPr>
                <w:i/>
              </w:rPr>
              <w:t xml:space="preserve">Zvyšuje predkladaný návrh náklady súvisiace so zamestnávaním? </w:t>
            </w:r>
            <w:r w:rsidRPr="004F36EF">
              <w:rPr>
                <w:i/>
              </w:rPr>
              <w:t>Ak áno, popíšte a vyčíslite ich. Uveďte tiež spôsob ich výpočtu.</w:t>
            </w:r>
          </w:p>
        </w:tc>
      </w:tr>
      <w:tr w:rsidR="009F2DFA" w:rsidRPr="00F04CCD" w14:paraId="3A89A06E" w14:textId="77777777" w:rsidTr="007B71A4">
        <w:tc>
          <w:tcPr>
            <w:tcW w:w="9212" w:type="dxa"/>
            <w:tcBorders>
              <w:bottom w:val="single" w:sz="4" w:space="0" w:color="auto"/>
            </w:tcBorders>
          </w:tcPr>
          <w:p w14:paraId="0F2023A6" w14:textId="77777777" w:rsidR="00311A6C" w:rsidRDefault="007B1B68" w:rsidP="00CE1E61">
            <w:pPr>
              <w:jc w:val="both"/>
              <w:rPr>
                <w:sz w:val="24"/>
                <w:szCs w:val="24"/>
              </w:rPr>
            </w:pPr>
            <w:r w:rsidRPr="004F36EF">
              <w:rPr>
                <w:sz w:val="24"/>
                <w:szCs w:val="24"/>
              </w:rPr>
              <w:t xml:space="preserve">Predkladaný návrh nevyžaduje dodatočné náklady na nákup tovarov a služieb. </w:t>
            </w:r>
          </w:p>
          <w:p w14:paraId="75DD0159" w14:textId="7A54FC1F" w:rsidR="00311A6C" w:rsidRPr="004F36EF" w:rsidRDefault="00311A6C" w:rsidP="007307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Prípadné nepriame finančné náklady môžu vzniknúť pre organizácie, ktoré by </w:t>
            </w:r>
            <w:r w:rsidR="006367A2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hceli vykonávať činnosť hodnotiaceho</w:t>
            </w:r>
            <w:r w:rsidR="007307D0">
              <w:rPr>
                <w:sz w:val="24"/>
                <w:szCs w:val="24"/>
              </w:rPr>
              <w:t xml:space="preserve"> orgánu </w:t>
            </w:r>
            <w:r>
              <w:rPr>
                <w:sz w:val="24"/>
                <w:szCs w:val="24"/>
              </w:rPr>
              <w:t xml:space="preserve"> a certifikačného orgánu</w:t>
            </w:r>
            <w:r w:rsidR="006367A2">
              <w:rPr>
                <w:sz w:val="24"/>
                <w:szCs w:val="24"/>
              </w:rPr>
              <w:t xml:space="preserve"> a to v súvislosti so zabezpečením učebných textov</w:t>
            </w:r>
            <w:r w:rsidR="007307D0">
              <w:rPr>
                <w:sz w:val="24"/>
                <w:szCs w:val="24"/>
              </w:rPr>
              <w:t xml:space="preserve"> pre žiadateľov o certifikát o odbornej spôsobilosti</w:t>
            </w:r>
            <w:r w:rsidR="006367A2">
              <w:rPr>
                <w:sz w:val="24"/>
                <w:szCs w:val="24"/>
              </w:rPr>
              <w:t>, technického vybavenia na teoretickú a praktickú výučbu a odborných školiteľov (ak už uvedeným nedisponujú). Treba však podotknúť, že vo vzťahu k poplatkom za účasť na odbornom školení a za vydanie certifikátu  sa očakáva pozitívny efekt.</w:t>
            </w:r>
          </w:p>
        </w:tc>
      </w:tr>
      <w:tr w:rsidR="009F2DFA" w:rsidRPr="00F04CCD" w14:paraId="2C07E192" w14:textId="77777777" w:rsidTr="0002446B">
        <w:trPr>
          <w:trHeight w:val="866"/>
        </w:trPr>
        <w:tc>
          <w:tcPr>
            <w:tcW w:w="9212" w:type="dxa"/>
            <w:tcBorders>
              <w:bottom w:val="single" w:sz="4" w:space="0" w:color="auto"/>
            </w:tcBorders>
          </w:tcPr>
          <w:p w14:paraId="4CDC616B" w14:textId="77777777"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.3.3 Administratívne náklady</w:t>
            </w:r>
          </w:p>
          <w:p w14:paraId="3D922E52" w14:textId="77777777"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 w:rsidR="009F2DFA" w:rsidRPr="00F04CCD" w14:paraId="1685EF41" w14:textId="77777777" w:rsidTr="007B71A4">
        <w:tc>
          <w:tcPr>
            <w:tcW w:w="9212" w:type="dxa"/>
            <w:tcBorders>
              <w:bottom w:val="single" w:sz="4" w:space="0" w:color="auto"/>
            </w:tcBorders>
          </w:tcPr>
          <w:p w14:paraId="2079EB72" w14:textId="4FB61E9E" w:rsidR="001413BD" w:rsidRPr="00AB7A6A" w:rsidRDefault="00D80BFA" w:rsidP="00F708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Novela zákona nezavádza nové informačné povinnosti. Navrhuje sa len úprava existujúcich </w:t>
            </w:r>
            <w:r>
              <w:rPr>
                <w:sz w:val="24"/>
                <w:szCs w:val="24"/>
              </w:rPr>
              <w:lastRenderedPageBreak/>
              <w:t>informačných</w:t>
            </w:r>
            <w:r w:rsidR="0073278C">
              <w:rPr>
                <w:sz w:val="24"/>
                <w:szCs w:val="24"/>
              </w:rPr>
              <w:t xml:space="preserve"> povinností – v prípade evidencie</w:t>
            </w:r>
            <w:r w:rsidR="00F7086C">
              <w:rPr>
                <w:sz w:val="24"/>
                <w:szCs w:val="24"/>
              </w:rPr>
              <w:t xml:space="preserve"> ide o</w:t>
            </w:r>
            <w:r w:rsidR="0073278C">
              <w:rPr>
                <w:sz w:val="24"/>
                <w:szCs w:val="24"/>
              </w:rPr>
              <w:t xml:space="preserve"> presne a jasné zadefinovanie informácií a údajov, ktoré musí evidencia obsahovať</w:t>
            </w:r>
            <w:r w:rsidR="00BA1EE0">
              <w:rPr>
                <w:sz w:val="24"/>
                <w:szCs w:val="24"/>
              </w:rPr>
              <w:t xml:space="preserve">. Nejde o novú povinnosť, povinnosť viesť evidenciu je už ustanovená </w:t>
            </w:r>
            <w:r w:rsidR="00ED51F8">
              <w:rPr>
                <w:sz w:val="24"/>
                <w:szCs w:val="24"/>
              </w:rPr>
              <w:t xml:space="preserve">a v tomto smere </w:t>
            </w:r>
            <w:r w:rsidR="00B53B45">
              <w:rPr>
                <w:sz w:val="24"/>
                <w:szCs w:val="24"/>
              </w:rPr>
              <w:t xml:space="preserve">sa preto nepredpokladajú zvýšené administratívne náklady </w:t>
            </w:r>
            <w:r w:rsidR="00ED51F8">
              <w:rPr>
                <w:sz w:val="24"/>
                <w:szCs w:val="24"/>
              </w:rPr>
              <w:t>v súvislosti s upresnením jej náležitostí (obsah</w:t>
            </w:r>
            <w:r w:rsidR="00B53B45">
              <w:rPr>
                <w:sz w:val="24"/>
                <w:szCs w:val="24"/>
              </w:rPr>
              <w:t>u)</w:t>
            </w:r>
            <w:r w:rsidR="00ED51F8">
              <w:rPr>
                <w:sz w:val="24"/>
                <w:szCs w:val="24"/>
              </w:rPr>
              <w:t xml:space="preserve">, nakoľko tieto údaje musel podnikateľský subjekt mať v evidencii aj doteraz. Boli však len všeobecne zadefinované, čo malo za následok rôznu interpretáciu obsahu evidencie zo strany dotknutých subjektov, </w:t>
            </w:r>
            <w:r w:rsidR="00B53B45">
              <w:rPr>
                <w:sz w:val="24"/>
                <w:szCs w:val="24"/>
              </w:rPr>
              <w:t>preto sa pristúpilo k jej detailnejšiemu popisu.</w:t>
            </w:r>
            <w:r w:rsidR="00ED51F8">
              <w:rPr>
                <w:sz w:val="24"/>
                <w:szCs w:val="24"/>
              </w:rPr>
              <w:t xml:space="preserve"> </w:t>
            </w:r>
            <w:r w:rsidR="001030F2">
              <w:rPr>
                <w:sz w:val="24"/>
                <w:szCs w:val="24"/>
              </w:rPr>
              <w:t>Povinnosť výrobcu a dovozcu fluórovaných uhľovodíkov požiadať Európsku komisiu o pridelenie kvóty rovnako nie je novou povinnosťou. Nariadenie (EÚ) č. 517/2014 ustanovuje, že dovozca</w:t>
            </w:r>
            <w:r w:rsidR="00AC23D2">
              <w:rPr>
                <w:sz w:val="24"/>
                <w:szCs w:val="24"/>
              </w:rPr>
              <w:t xml:space="preserve"> nemôže doviesť fluórované uhľovodíky bez pridelenej kvóty a o túto musí požiadať prostredníctvom elektronického registra</w:t>
            </w:r>
            <w:r w:rsidR="00140B8C">
              <w:rPr>
                <w:sz w:val="24"/>
                <w:szCs w:val="24"/>
              </w:rPr>
              <w:t>, ktorý zriadila EK. Táto povinnosť pre</w:t>
            </w:r>
            <w:r w:rsidR="00A2154C">
              <w:rPr>
                <w:sz w:val="24"/>
                <w:szCs w:val="24"/>
              </w:rPr>
              <w:t xml:space="preserve"> neho vyplýva od roku 2015. Praktický výkon štátneho dozoru </w:t>
            </w:r>
            <w:r w:rsidR="00140B8C">
              <w:rPr>
                <w:sz w:val="24"/>
                <w:szCs w:val="24"/>
              </w:rPr>
              <w:t xml:space="preserve">však ukázal, že </w:t>
            </w:r>
            <w:r w:rsidR="00A2154C">
              <w:rPr>
                <w:sz w:val="24"/>
                <w:szCs w:val="24"/>
              </w:rPr>
              <w:t>SIŽP bola pri kontrolách dodržiavania ustanovení zákona konfrontovaná s podnikateľskými subjektmi</w:t>
            </w:r>
            <w:r w:rsidR="002818F7">
              <w:rPr>
                <w:sz w:val="24"/>
                <w:szCs w:val="24"/>
              </w:rPr>
              <w:t xml:space="preserve">, ktorí nepožiadali o kvóty </w:t>
            </w:r>
            <w:r w:rsidR="007073CB">
              <w:rPr>
                <w:sz w:val="24"/>
                <w:szCs w:val="24"/>
              </w:rPr>
              <w:t xml:space="preserve">na dovoz a odvolávali sa na chýbajúce ustanovenie  v zákone; inšpekcia preto požadovala doplniť takúto povinnosť do zákona. Keďže ide o elektronický register nepredpokladajú sa administratívne náklady. </w:t>
            </w:r>
            <w:r w:rsidR="00B53B45">
              <w:rPr>
                <w:sz w:val="24"/>
                <w:szCs w:val="24"/>
              </w:rPr>
              <w:t>N</w:t>
            </w:r>
            <w:r w:rsidR="0073278C">
              <w:rPr>
                <w:sz w:val="24"/>
                <w:szCs w:val="24"/>
              </w:rPr>
              <w:t xml:space="preserve">avrhuje </w:t>
            </w:r>
            <w:r w:rsidR="007307D0">
              <w:rPr>
                <w:sz w:val="24"/>
                <w:szCs w:val="24"/>
              </w:rPr>
              <w:t xml:space="preserve">sa </w:t>
            </w:r>
            <w:r w:rsidR="00B53B45">
              <w:rPr>
                <w:sz w:val="24"/>
                <w:szCs w:val="24"/>
              </w:rPr>
              <w:t xml:space="preserve">tiež </w:t>
            </w:r>
            <w:r w:rsidR="0073278C">
              <w:rPr>
                <w:sz w:val="24"/>
                <w:szCs w:val="24"/>
              </w:rPr>
              <w:t>zmena spôsobu oznamovania údajov prevádzkovateľmi zaria</w:t>
            </w:r>
            <w:r w:rsidR="00F7086C">
              <w:rPr>
                <w:sz w:val="24"/>
                <w:szCs w:val="24"/>
              </w:rPr>
              <w:t>dení, a to prostredníctvom elektronického systému, kde sa však z pohľadu dotknutých prevádzkovateľov predpokladá zníženie administratívnej záťaže</w:t>
            </w:r>
            <w:r w:rsidR="00205722">
              <w:rPr>
                <w:sz w:val="24"/>
                <w:szCs w:val="24"/>
              </w:rPr>
              <w:t>, nakoľko papierová forma bude nahradená elektronickým vložením príslušných údajov</w:t>
            </w:r>
            <w:r w:rsidR="00FF4C89">
              <w:rPr>
                <w:sz w:val="24"/>
                <w:szCs w:val="24"/>
              </w:rPr>
              <w:t xml:space="preserve"> do systému</w:t>
            </w:r>
            <w:r w:rsidR="00F7086C">
              <w:rPr>
                <w:sz w:val="24"/>
                <w:szCs w:val="24"/>
              </w:rPr>
              <w:t xml:space="preserve"> </w:t>
            </w:r>
            <w:r w:rsidR="00205722">
              <w:rPr>
                <w:sz w:val="24"/>
                <w:szCs w:val="24"/>
              </w:rPr>
              <w:t xml:space="preserve"> a</w:t>
            </w:r>
            <w:r w:rsidR="00FF4C89">
              <w:rPr>
                <w:sz w:val="24"/>
                <w:szCs w:val="24"/>
              </w:rPr>
              <w:t xml:space="preserve"> tie budú </w:t>
            </w:r>
            <w:r w:rsidR="00205722">
              <w:rPr>
                <w:sz w:val="24"/>
                <w:szCs w:val="24"/>
              </w:rPr>
              <w:t>archiv</w:t>
            </w:r>
            <w:r w:rsidR="00FF4C89">
              <w:rPr>
                <w:sz w:val="24"/>
                <w:szCs w:val="24"/>
              </w:rPr>
              <w:t>ované</w:t>
            </w:r>
            <w:r w:rsidR="00205722">
              <w:rPr>
                <w:sz w:val="24"/>
                <w:szCs w:val="24"/>
              </w:rPr>
              <w:t xml:space="preserve"> za jednotlivé roky, čo bude viesť k </w:t>
            </w:r>
            <w:r w:rsidR="00F7086C">
              <w:rPr>
                <w:sz w:val="24"/>
                <w:szCs w:val="24"/>
              </w:rPr>
              <w:t>sprehľadneni</w:t>
            </w:r>
            <w:r w:rsidR="00205722">
              <w:rPr>
                <w:sz w:val="24"/>
                <w:szCs w:val="24"/>
              </w:rPr>
              <w:t>u</w:t>
            </w:r>
            <w:r w:rsidR="00F7086C">
              <w:rPr>
                <w:sz w:val="24"/>
                <w:szCs w:val="24"/>
              </w:rPr>
              <w:t xml:space="preserve"> oznamovaných údajov a zabezpečenia komfortného prístupu k</w:t>
            </w:r>
            <w:r w:rsidR="00205722">
              <w:rPr>
                <w:sz w:val="24"/>
                <w:szCs w:val="24"/>
              </w:rPr>
              <w:t> </w:t>
            </w:r>
            <w:r w:rsidR="00F7086C">
              <w:rPr>
                <w:sz w:val="24"/>
                <w:szCs w:val="24"/>
              </w:rPr>
              <w:t>informáciám</w:t>
            </w:r>
            <w:r w:rsidR="00205722">
              <w:rPr>
                <w:sz w:val="24"/>
                <w:szCs w:val="24"/>
              </w:rPr>
              <w:t xml:space="preserve"> jednak pre podnikateľské subjekty ako aj ministerstvo</w:t>
            </w:r>
            <w:r w:rsidR="00F7086C">
              <w:rPr>
                <w:sz w:val="24"/>
                <w:szCs w:val="24"/>
              </w:rPr>
              <w:t xml:space="preserve">. </w:t>
            </w:r>
            <w:r w:rsidR="00AB7A6A" w:rsidRPr="00AB7A6A">
              <w:rPr>
                <w:sz w:val="24"/>
                <w:szCs w:val="24"/>
              </w:rPr>
              <w:t>Povinnosť zdokumentovať prípadnú haváriu zariadenia a bezodkladne túto skutočnosť oznámiť Slovenskej inšpekcii ŽP je nová povinnosť, kde môže do určitej miery dôjsť k miernemu navýšeniu administratívnych nákladov, avšak počet a riziko havárií nie je možné dostatočne kvantifikovať</w:t>
            </w:r>
            <w:r w:rsidR="00AB7A6A">
              <w:rPr>
                <w:sz w:val="24"/>
                <w:szCs w:val="24"/>
              </w:rPr>
              <w:t>.</w:t>
            </w:r>
          </w:p>
          <w:p w14:paraId="1DA6793E" w14:textId="49536C98" w:rsidR="007307D0" w:rsidRPr="00065F2C" w:rsidRDefault="007307D0" w:rsidP="00F7086C">
            <w:pPr>
              <w:jc w:val="both"/>
              <w:rPr>
                <w:sz w:val="24"/>
                <w:szCs w:val="24"/>
              </w:rPr>
            </w:pPr>
          </w:p>
        </w:tc>
      </w:tr>
      <w:tr w:rsidR="009F2DFA" w:rsidRPr="00F04CCD" w14:paraId="3E0F1E79" w14:textId="77777777" w:rsidTr="007B71A4">
        <w:trPr>
          <w:trHeight w:val="2318"/>
        </w:trPr>
        <w:tc>
          <w:tcPr>
            <w:tcW w:w="9212" w:type="dxa"/>
            <w:tcBorders>
              <w:bottom w:val="single" w:sz="4" w:space="0" w:color="auto"/>
            </w:tcBorders>
          </w:tcPr>
          <w:p w14:paraId="2B385F24" w14:textId="77777777" w:rsidR="009F2DFA" w:rsidRPr="00F04CCD" w:rsidRDefault="002B1108" w:rsidP="007B71A4">
            <w:pPr>
              <w:rPr>
                <w:i/>
              </w:rPr>
            </w:pPr>
            <w:r>
              <w:rPr>
                <w:b/>
                <w:i/>
              </w:rPr>
              <w:lastRenderedPageBreak/>
              <w:t>3</w:t>
            </w:r>
            <w:r w:rsidR="009F2DFA" w:rsidRPr="00F04CCD">
              <w:rPr>
                <w:b/>
                <w:i/>
              </w:rPr>
              <w:t>.3.4 Súhrnná tabuľka nákladov regulácie</w:t>
            </w:r>
          </w:p>
          <w:p w14:paraId="2CA6A958" w14:textId="77777777" w:rsidR="009F2DFA" w:rsidRPr="00F04CCD" w:rsidRDefault="009F2DFA" w:rsidP="007B71A4">
            <w:pPr>
              <w:rPr>
                <w:i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993"/>
              <w:gridCol w:w="2994"/>
              <w:gridCol w:w="2994"/>
            </w:tblGrid>
            <w:tr w:rsidR="009F2DFA" w:rsidRPr="00F04CCD" w14:paraId="694A3B85" w14:textId="77777777" w:rsidTr="007B71A4">
              <w:tc>
                <w:tcPr>
                  <w:tcW w:w="2993" w:type="dxa"/>
                </w:tcPr>
                <w:p w14:paraId="10BB5077" w14:textId="77777777" w:rsidR="009F2DFA" w:rsidRPr="00F04CCD" w:rsidRDefault="009F2DFA" w:rsidP="007B71A4">
                  <w:pPr>
                    <w:rPr>
                      <w:i/>
                    </w:rPr>
                  </w:pPr>
                </w:p>
              </w:tc>
              <w:tc>
                <w:tcPr>
                  <w:tcW w:w="2994" w:type="dxa"/>
                </w:tcPr>
                <w:p w14:paraId="7D0AA13F" w14:textId="77777777"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</w:tcPr>
                <w:p w14:paraId="1BD8DAAF" w14:textId="77777777"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celé podnikateľské prostredie</w:t>
                  </w:r>
                </w:p>
              </w:tc>
            </w:tr>
            <w:tr w:rsidR="009F2DFA" w:rsidRPr="00F04CCD" w14:paraId="5F359387" w14:textId="77777777" w:rsidTr="007B71A4">
              <w:tc>
                <w:tcPr>
                  <w:tcW w:w="2993" w:type="dxa"/>
                </w:tcPr>
                <w:p w14:paraId="5FDA5640" w14:textId="77777777"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</w:tcPr>
                <w:p w14:paraId="562BB588" w14:textId="1F03D8E4" w:rsidR="009F2DFA" w:rsidRPr="00F04CCD" w:rsidRDefault="001030F2" w:rsidP="007B71A4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-</w:t>
                  </w:r>
                </w:p>
              </w:tc>
              <w:tc>
                <w:tcPr>
                  <w:tcW w:w="2994" w:type="dxa"/>
                </w:tcPr>
                <w:p w14:paraId="65E00BE7" w14:textId="5FB9EC5B" w:rsidR="009F2DFA" w:rsidRPr="00F04CCD" w:rsidRDefault="001030F2" w:rsidP="007B71A4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-</w:t>
                  </w:r>
                </w:p>
              </w:tc>
            </w:tr>
            <w:tr w:rsidR="009F2DFA" w:rsidRPr="00F04CCD" w14:paraId="38455EC7" w14:textId="77777777" w:rsidTr="007B71A4">
              <w:tc>
                <w:tcPr>
                  <w:tcW w:w="2993" w:type="dxa"/>
                </w:tcPr>
                <w:p w14:paraId="2569907D" w14:textId="77777777"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</w:tcPr>
                <w:p w14:paraId="5DD8DB35" w14:textId="38D0983E" w:rsidR="009F2DFA" w:rsidRPr="00F04CCD" w:rsidRDefault="001030F2" w:rsidP="007B71A4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-</w:t>
                  </w:r>
                </w:p>
              </w:tc>
              <w:tc>
                <w:tcPr>
                  <w:tcW w:w="2994" w:type="dxa"/>
                </w:tcPr>
                <w:p w14:paraId="635E6B40" w14:textId="13FC2939" w:rsidR="009F2DFA" w:rsidRPr="00F04CCD" w:rsidRDefault="001030F2" w:rsidP="007B71A4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-</w:t>
                  </w:r>
                </w:p>
              </w:tc>
            </w:tr>
            <w:tr w:rsidR="009F2DFA" w:rsidRPr="00F04CCD" w14:paraId="3DA8D6CC" w14:textId="77777777" w:rsidTr="007B71A4">
              <w:tc>
                <w:tcPr>
                  <w:tcW w:w="2993" w:type="dxa"/>
                </w:tcPr>
                <w:p w14:paraId="5851BAAE" w14:textId="77777777"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</w:tcPr>
                <w:p w14:paraId="52737C80" w14:textId="5EC4BF39" w:rsidR="009F2DFA" w:rsidRPr="00F04CCD" w:rsidRDefault="001030F2" w:rsidP="007B71A4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-</w:t>
                  </w:r>
                </w:p>
              </w:tc>
              <w:tc>
                <w:tcPr>
                  <w:tcW w:w="2994" w:type="dxa"/>
                </w:tcPr>
                <w:p w14:paraId="337C2BCB" w14:textId="1EFA46E9" w:rsidR="009F2DFA" w:rsidRPr="00F04CCD" w:rsidRDefault="001030F2" w:rsidP="007B71A4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-</w:t>
                  </w:r>
                </w:p>
              </w:tc>
            </w:tr>
            <w:tr w:rsidR="009F2DFA" w:rsidRPr="00F04CCD" w14:paraId="15547B44" w14:textId="77777777" w:rsidTr="007B71A4">
              <w:tc>
                <w:tcPr>
                  <w:tcW w:w="2993" w:type="dxa"/>
                </w:tcPr>
                <w:p w14:paraId="114537F7" w14:textId="77777777" w:rsidR="009F2DFA" w:rsidRPr="00F04CCD" w:rsidRDefault="009F2DFA" w:rsidP="007B71A4">
                  <w:pPr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</w:tcPr>
                <w:p w14:paraId="2780A8C4" w14:textId="11BEF022" w:rsidR="009F2DFA" w:rsidRPr="00F04CCD" w:rsidRDefault="001030F2" w:rsidP="007B71A4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-</w:t>
                  </w:r>
                </w:p>
              </w:tc>
              <w:tc>
                <w:tcPr>
                  <w:tcW w:w="2994" w:type="dxa"/>
                </w:tcPr>
                <w:p w14:paraId="0DD73D39" w14:textId="4D8CE3AE" w:rsidR="009F2DFA" w:rsidRPr="00F04CCD" w:rsidRDefault="001030F2" w:rsidP="007B71A4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-</w:t>
                  </w:r>
                </w:p>
              </w:tc>
            </w:tr>
          </w:tbl>
          <w:p w14:paraId="6509A516" w14:textId="77777777" w:rsidR="009F2DFA" w:rsidRPr="00F04CCD" w:rsidRDefault="009F2DFA" w:rsidP="007B71A4">
            <w:pPr>
              <w:rPr>
                <w:i/>
              </w:rPr>
            </w:pPr>
          </w:p>
        </w:tc>
      </w:tr>
      <w:tr w:rsidR="009F2DFA" w:rsidRPr="00F04CCD" w14:paraId="74460A71" w14:textId="77777777" w:rsidTr="007B71A4">
        <w:tc>
          <w:tcPr>
            <w:tcW w:w="9212" w:type="dxa"/>
            <w:shd w:val="clear" w:color="auto" w:fill="D9D9D9" w:themeFill="background1" w:themeFillShade="D9"/>
          </w:tcPr>
          <w:p w14:paraId="6510EDDC" w14:textId="77777777"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.4 Konkurencieschopnosť a správanie sa podnikov na trhu</w:t>
            </w:r>
          </w:p>
          <w:p w14:paraId="5581EBF5" w14:textId="77777777" w:rsidR="009F2DFA" w:rsidRPr="00F04CCD" w:rsidRDefault="009F2DFA" w:rsidP="007B71A4">
            <w:r w:rsidRPr="00042C66">
              <w:rPr>
                <w:b/>
                <w:sz w:val="24"/>
              </w:rPr>
              <w:t xml:space="preserve">       </w:t>
            </w:r>
            <w:r w:rsidRPr="00042C66">
              <w:rPr>
                <w:sz w:val="24"/>
              </w:rPr>
              <w:t xml:space="preserve">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14:paraId="2428B7F7" w14:textId="77777777" w:rsidTr="007B71A4">
        <w:tc>
          <w:tcPr>
            <w:tcW w:w="9212" w:type="dxa"/>
            <w:tcBorders>
              <w:bottom w:val="single" w:sz="4" w:space="0" w:color="auto"/>
            </w:tcBorders>
          </w:tcPr>
          <w:p w14:paraId="3E0B753B" w14:textId="77777777"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Dochádza k vytvoreniu bariér pre vstup na trh pre nových dodávateľov alebo poskytovateľov služieb? </w:t>
            </w:r>
            <w:r>
              <w:rPr>
                <w:i/>
              </w:rPr>
              <w:t xml:space="preserve">Bude mať navrhovaná zmena za následok </w:t>
            </w:r>
            <w:r w:rsidRPr="00F04CCD">
              <w:rPr>
                <w:i/>
              </w:rPr>
              <w:t>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14:paraId="589D2CBA" w14:textId="77777777"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14:paraId="20C9C2AD" w14:textId="77777777"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Ako ovplyvní cenu alebo dostupnosť základných zdrojov (suroviny, mechanizmy, pracovná sila, energie atď.)?</w:t>
            </w:r>
          </w:p>
          <w:p w14:paraId="773E17EC" w14:textId="77777777"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Ovplyvňuje prístup k financiám? Ak áno, ako?</w:t>
            </w:r>
          </w:p>
        </w:tc>
      </w:tr>
      <w:tr w:rsidR="009F2DFA" w:rsidRPr="00F04CCD" w14:paraId="5BD95079" w14:textId="77777777" w:rsidTr="007B71A4">
        <w:trPr>
          <w:trHeight w:val="1282"/>
        </w:trPr>
        <w:tc>
          <w:tcPr>
            <w:tcW w:w="9212" w:type="dxa"/>
            <w:tcBorders>
              <w:bottom w:val="single" w:sz="4" w:space="0" w:color="auto"/>
            </w:tcBorders>
          </w:tcPr>
          <w:p w14:paraId="2CA0CB28" w14:textId="6D33CD87" w:rsidR="009F2DFA" w:rsidRPr="00F36A24" w:rsidRDefault="00F7086C" w:rsidP="00F7086C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Navrhované zmeny nebudú mať vplyv na</w:t>
            </w:r>
            <w:r w:rsidR="001C45C9" w:rsidRPr="001C45C9">
              <w:rPr>
                <w:rFonts w:eastAsia="Calibri"/>
                <w:sz w:val="24"/>
                <w:szCs w:val="24"/>
              </w:rPr>
              <w:t xml:space="preserve"> konkurencies</w:t>
            </w:r>
            <w:r>
              <w:rPr>
                <w:rFonts w:eastAsia="Calibri"/>
                <w:sz w:val="24"/>
                <w:szCs w:val="24"/>
              </w:rPr>
              <w:t xml:space="preserve">chopnosť oproti súčasnému stavu. </w:t>
            </w:r>
          </w:p>
        </w:tc>
      </w:tr>
      <w:tr w:rsidR="009F2DFA" w:rsidRPr="00F04CCD" w14:paraId="420FB426" w14:textId="77777777" w:rsidTr="007B71A4">
        <w:tc>
          <w:tcPr>
            <w:tcW w:w="9212" w:type="dxa"/>
            <w:shd w:val="clear" w:color="auto" w:fill="D9D9D9" w:themeFill="background1" w:themeFillShade="D9"/>
          </w:tcPr>
          <w:p w14:paraId="3AF1196F" w14:textId="77777777"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 xml:space="preserve">.5 Inovácie </w:t>
            </w:r>
          </w:p>
          <w:p w14:paraId="4E698B3E" w14:textId="77777777"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lastRenderedPageBreak/>
              <w:t xml:space="preserve"> 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14:paraId="73216904" w14:textId="77777777" w:rsidTr="007B71A4">
        <w:tc>
          <w:tcPr>
            <w:tcW w:w="9212" w:type="dxa"/>
          </w:tcPr>
          <w:p w14:paraId="6F7EDB7C" w14:textId="77777777"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lastRenderedPageBreak/>
              <w:t>Uveďte, ako podporuje navrhovaná zmena inovácie.</w:t>
            </w:r>
          </w:p>
          <w:p w14:paraId="70B72166" w14:textId="77777777"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Zjednodušuje uvedenie alebo rozšírenie nových výrobných metód, technológií a výrobkov na trh?</w:t>
            </w:r>
          </w:p>
          <w:p w14:paraId="3C8941E9" w14:textId="77777777"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Uveďte, ako vplýva navrhovaná zmena na </w:t>
            </w:r>
            <w:r w:rsidR="00904C9B">
              <w:rPr>
                <w:i/>
              </w:rPr>
              <w:t xml:space="preserve">jednotlivé </w:t>
            </w:r>
            <w:r w:rsidRPr="00F04CCD">
              <w:rPr>
                <w:i/>
              </w:rPr>
              <w:t>práva duševného vlastníctva (</w:t>
            </w:r>
            <w:r w:rsidR="00904C9B">
              <w:rPr>
                <w:i/>
              </w:rPr>
              <w:t xml:space="preserve">napr. </w:t>
            </w:r>
            <w:r w:rsidRPr="00F04CCD">
              <w:rPr>
                <w:i/>
              </w:rPr>
              <w:t xml:space="preserve">patenty, ochranné známky, </w:t>
            </w:r>
            <w:r w:rsidR="00904C9B">
              <w:rPr>
                <w:i/>
              </w:rPr>
              <w:t>autorské práva</w:t>
            </w:r>
            <w:r w:rsidRPr="00F04CCD">
              <w:rPr>
                <w:i/>
              </w:rPr>
              <w:t>, vlastníctvo know-how).</w:t>
            </w:r>
          </w:p>
          <w:p w14:paraId="78B26B39" w14:textId="77777777" w:rsidR="009F2DFA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Podporuje vyššiu efektivitu výroby/využívania zdrojov? Ak áno, ako?</w:t>
            </w:r>
          </w:p>
          <w:p w14:paraId="6FC852E7" w14:textId="77777777" w:rsidR="00837639" w:rsidRPr="00F04CCD" w:rsidRDefault="00837639" w:rsidP="007B71A4">
            <w:r w:rsidRPr="00154881">
              <w:rPr>
                <w:i/>
              </w:rPr>
              <w:t>Vytvorí zmena nové pracovné miesta pre zamestnancov výskumu a vývoja v</w:t>
            </w:r>
            <w:r>
              <w:rPr>
                <w:i/>
              </w:rPr>
              <w:t> </w:t>
            </w:r>
            <w:r w:rsidRPr="00154881">
              <w:rPr>
                <w:i/>
              </w:rPr>
              <w:t>SR</w:t>
            </w:r>
            <w:r>
              <w:rPr>
                <w:i/>
              </w:rPr>
              <w:t>?</w:t>
            </w:r>
          </w:p>
        </w:tc>
      </w:tr>
      <w:tr w:rsidR="009F2DFA" w:rsidRPr="00F04CCD" w14:paraId="0A968867" w14:textId="77777777" w:rsidTr="00F36A24">
        <w:trPr>
          <w:trHeight w:val="567"/>
        </w:trPr>
        <w:tc>
          <w:tcPr>
            <w:tcW w:w="9212" w:type="dxa"/>
          </w:tcPr>
          <w:p w14:paraId="6D442323" w14:textId="294B48BA" w:rsidR="00F36A24" w:rsidRDefault="00F36A24" w:rsidP="00DA230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63C6BD74" w14:textId="77777777" w:rsidR="00A81C80" w:rsidRPr="005F47F2" w:rsidRDefault="001B7B80" w:rsidP="00DA230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7F2">
              <w:rPr>
                <w:sz w:val="24"/>
                <w:szCs w:val="24"/>
              </w:rPr>
              <w:t>Materiál nemá priam</w:t>
            </w:r>
            <w:r w:rsidR="00A81C80" w:rsidRPr="005F47F2">
              <w:rPr>
                <w:sz w:val="24"/>
                <w:szCs w:val="24"/>
              </w:rPr>
              <w:t>y</w:t>
            </w:r>
            <w:r w:rsidRPr="005F47F2">
              <w:rPr>
                <w:sz w:val="24"/>
                <w:szCs w:val="24"/>
              </w:rPr>
              <w:t xml:space="preserve"> vplyv na inovácie.</w:t>
            </w:r>
          </w:p>
          <w:p w14:paraId="5A5F06D9" w14:textId="77777777" w:rsidR="001B7B80" w:rsidRPr="00F04CCD" w:rsidRDefault="001B7B80" w:rsidP="00DA2304">
            <w:pPr>
              <w:spacing w:line="276" w:lineRule="auto"/>
              <w:jc w:val="both"/>
              <w:rPr>
                <w:i/>
              </w:rPr>
            </w:pPr>
          </w:p>
        </w:tc>
      </w:tr>
    </w:tbl>
    <w:p w14:paraId="44957BFB" w14:textId="77777777" w:rsidR="00CB3623" w:rsidRPr="00643F5B" w:rsidRDefault="00CB3623">
      <w:pPr>
        <w:rPr>
          <w:sz w:val="24"/>
          <w:szCs w:val="24"/>
        </w:rPr>
      </w:pPr>
    </w:p>
    <w:sectPr w:rsidR="00CB3623" w:rsidRPr="00643F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0DBCE" w14:textId="77777777" w:rsidR="00F9725C" w:rsidRDefault="00F9725C" w:rsidP="009F2DFA">
      <w:r>
        <w:separator/>
      </w:r>
    </w:p>
  </w:endnote>
  <w:endnote w:type="continuationSeparator" w:id="0">
    <w:p w14:paraId="381A3177" w14:textId="77777777" w:rsidR="00F9725C" w:rsidRDefault="00F9725C" w:rsidP="009F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5381234"/>
      <w:docPartObj>
        <w:docPartGallery w:val="Page Numbers (Bottom of Page)"/>
        <w:docPartUnique/>
      </w:docPartObj>
    </w:sdtPr>
    <w:sdtEndPr/>
    <w:sdtContent>
      <w:p w14:paraId="78D2549A" w14:textId="5E92B3B2" w:rsidR="009F2DFA" w:rsidRDefault="009F2DF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D9E">
          <w:rPr>
            <w:noProof/>
          </w:rPr>
          <w:t>1</w:t>
        </w:r>
        <w:r>
          <w:fldChar w:fldCharType="end"/>
        </w:r>
      </w:p>
    </w:sdtContent>
  </w:sdt>
  <w:p w14:paraId="380489FD" w14:textId="77777777" w:rsidR="009F2DFA" w:rsidRDefault="009F2DF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F01E7" w14:textId="77777777" w:rsidR="00F9725C" w:rsidRDefault="00F9725C" w:rsidP="009F2DFA">
      <w:r>
        <w:separator/>
      </w:r>
    </w:p>
  </w:footnote>
  <w:footnote w:type="continuationSeparator" w:id="0">
    <w:p w14:paraId="18689787" w14:textId="77777777" w:rsidR="00F9725C" w:rsidRDefault="00F9725C" w:rsidP="009F2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20D9"/>
    <w:multiLevelType w:val="hybridMultilevel"/>
    <w:tmpl w:val="BE7EA2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B66859"/>
    <w:multiLevelType w:val="hybridMultilevel"/>
    <w:tmpl w:val="F4145C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D65B4"/>
    <w:multiLevelType w:val="hybridMultilevel"/>
    <w:tmpl w:val="05EEF73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A620081"/>
    <w:multiLevelType w:val="hybridMultilevel"/>
    <w:tmpl w:val="EFA415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B2702CF"/>
    <w:multiLevelType w:val="hybridMultilevel"/>
    <w:tmpl w:val="B87C199E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C7B1F"/>
    <w:multiLevelType w:val="hybridMultilevel"/>
    <w:tmpl w:val="5D6C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C2D03"/>
    <w:multiLevelType w:val="hybridMultilevel"/>
    <w:tmpl w:val="1EFC29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CCE19A5"/>
    <w:multiLevelType w:val="hybridMultilevel"/>
    <w:tmpl w:val="E66AFDB2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80BAD"/>
    <w:multiLevelType w:val="hybridMultilevel"/>
    <w:tmpl w:val="41D4CC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46C3F"/>
    <w:multiLevelType w:val="hybridMultilevel"/>
    <w:tmpl w:val="1C9C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33080"/>
    <w:multiLevelType w:val="hybridMultilevel"/>
    <w:tmpl w:val="E85A8616"/>
    <w:lvl w:ilvl="0" w:tplc="328A3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F06E0"/>
    <w:multiLevelType w:val="hybridMultilevel"/>
    <w:tmpl w:val="33EA1EE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13"/>
    <w:rsid w:val="0002446B"/>
    <w:rsid w:val="00065F2C"/>
    <w:rsid w:val="00075613"/>
    <w:rsid w:val="00083870"/>
    <w:rsid w:val="00084CB1"/>
    <w:rsid w:val="0009008C"/>
    <w:rsid w:val="000978FF"/>
    <w:rsid w:val="000A7454"/>
    <w:rsid w:val="001030F2"/>
    <w:rsid w:val="00140B8C"/>
    <w:rsid w:val="001413BD"/>
    <w:rsid w:val="0014658D"/>
    <w:rsid w:val="00154881"/>
    <w:rsid w:val="001B7B80"/>
    <w:rsid w:val="001C2969"/>
    <w:rsid w:val="001C4479"/>
    <w:rsid w:val="001C45C9"/>
    <w:rsid w:val="00205722"/>
    <w:rsid w:val="00235F26"/>
    <w:rsid w:val="00260D96"/>
    <w:rsid w:val="00275D50"/>
    <w:rsid w:val="002818F7"/>
    <w:rsid w:val="002B1108"/>
    <w:rsid w:val="002B21F3"/>
    <w:rsid w:val="002E2AEE"/>
    <w:rsid w:val="002F53AD"/>
    <w:rsid w:val="0030601D"/>
    <w:rsid w:val="00311A6C"/>
    <w:rsid w:val="00330397"/>
    <w:rsid w:val="00331063"/>
    <w:rsid w:val="0034327B"/>
    <w:rsid w:val="00373A29"/>
    <w:rsid w:val="003950C9"/>
    <w:rsid w:val="00401D9E"/>
    <w:rsid w:val="00403029"/>
    <w:rsid w:val="00436C4C"/>
    <w:rsid w:val="0044620A"/>
    <w:rsid w:val="00456514"/>
    <w:rsid w:val="00462D20"/>
    <w:rsid w:val="004B6E0B"/>
    <w:rsid w:val="004D0185"/>
    <w:rsid w:val="004E1EE6"/>
    <w:rsid w:val="004F36EF"/>
    <w:rsid w:val="00505593"/>
    <w:rsid w:val="0052297F"/>
    <w:rsid w:val="0053235F"/>
    <w:rsid w:val="00571312"/>
    <w:rsid w:val="00593610"/>
    <w:rsid w:val="005B61A0"/>
    <w:rsid w:val="005F47F2"/>
    <w:rsid w:val="00602C98"/>
    <w:rsid w:val="00622250"/>
    <w:rsid w:val="006367A2"/>
    <w:rsid w:val="00643F5B"/>
    <w:rsid w:val="006876BD"/>
    <w:rsid w:val="00697F29"/>
    <w:rsid w:val="006C48A7"/>
    <w:rsid w:val="006E12F8"/>
    <w:rsid w:val="007073CB"/>
    <w:rsid w:val="00724482"/>
    <w:rsid w:val="007307D0"/>
    <w:rsid w:val="0073278C"/>
    <w:rsid w:val="00740FB4"/>
    <w:rsid w:val="00780BA6"/>
    <w:rsid w:val="007B1B68"/>
    <w:rsid w:val="007C729B"/>
    <w:rsid w:val="00815F3B"/>
    <w:rsid w:val="00837639"/>
    <w:rsid w:val="00876541"/>
    <w:rsid w:val="008A1252"/>
    <w:rsid w:val="008D0108"/>
    <w:rsid w:val="008D3018"/>
    <w:rsid w:val="008D4912"/>
    <w:rsid w:val="00904C9B"/>
    <w:rsid w:val="00921F42"/>
    <w:rsid w:val="009630B2"/>
    <w:rsid w:val="00965549"/>
    <w:rsid w:val="009B12CB"/>
    <w:rsid w:val="009F2DFA"/>
    <w:rsid w:val="00A2154C"/>
    <w:rsid w:val="00A270F1"/>
    <w:rsid w:val="00A56AA0"/>
    <w:rsid w:val="00A612B3"/>
    <w:rsid w:val="00A644BB"/>
    <w:rsid w:val="00A72BBC"/>
    <w:rsid w:val="00A81C80"/>
    <w:rsid w:val="00A90999"/>
    <w:rsid w:val="00A91B06"/>
    <w:rsid w:val="00AB7A6A"/>
    <w:rsid w:val="00AC23D2"/>
    <w:rsid w:val="00AD218B"/>
    <w:rsid w:val="00AD6433"/>
    <w:rsid w:val="00AF3D5C"/>
    <w:rsid w:val="00AF7C69"/>
    <w:rsid w:val="00B169E2"/>
    <w:rsid w:val="00B275E9"/>
    <w:rsid w:val="00B31073"/>
    <w:rsid w:val="00B31A8E"/>
    <w:rsid w:val="00B36DE8"/>
    <w:rsid w:val="00B53B45"/>
    <w:rsid w:val="00B80ACD"/>
    <w:rsid w:val="00BA073A"/>
    <w:rsid w:val="00BA1EE0"/>
    <w:rsid w:val="00BB6AA5"/>
    <w:rsid w:val="00C1240F"/>
    <w:rsid w:val="00C14296"/>
    <w:rsid w:val="00C57EF9"/>
    <w:rsid w:val="00CA130B"/>
    <w:rsid w:val="00CA2651"/>
    <w:rsid w:val="00CB3623"/>
    <w:rsid w:val="00CB5619"/>
    <w:rsid w:val="00CE1E61"/>
    <w:rsid w:val="00D31E7A"/>
    <w:rsid w:val="00D80BFA"/>
    <w:rsid w:val="00DA2304"/>
    <w:rsid w:val="00DA5A55"/>
    <w:rsid w:val="00DD187C"/>
    <w:rsid w:val="00DD521A"/>
    <w:rsid w:val="00DD58F5"/>
    <w:rsid w:val="00DE575B"/>
    <w:rsid w:val="00E86AD1"/>
    <w:rsid w:val="00EB302B"/>
    <w:rsid w:val="00ED51F8"/>
    <w:rsid w:val="00EF1F7A"/>
    <w:rsid w:val="00F36A24"/>
    <w:rsid w:val="00F41620"/>
    <w:rsid w:val="00F65B98"/>
    <w:rsid w:val="00F7086C"/>
    <w:rsid w:val="00F73BD1"/>
    <w:rsid w:val="00F9725C"/>
    <w:rsid w:val="00FB0D5F"/>
    <w:rsid w:val="00FB4B12"/>
    <w:rsid w:val="00FB5C13"/>
    <w:rsid w:val="00FF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6F62"/>
  <w15:docId w15:val="{C478D390-9B7E-4C1F-8E97-9F117495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F2D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paragraph" w:styleId="Normlnywebov">
    <w:name w:val="Normal (Web)"/>
    <w:basedOn w:val="Normlny"/>
    <w:uiPriority w:val="99"/>
    <w:unhideWhenUsed/>
    <w:rsid w:val="009F2DF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eastAsia="Times New Roman" w:hAnsi="Arial" w:cs="Times New Roman"/>
      <w:color w:val="000000"/>
      <w:szCs w:val="48"/>
    </w:rPr>
  </w:style>
  <w:style w:type="paragraph" w:customStyle="1" w:styleId="TableColumnheader">
    <w:name w:val="Table Column header"/>
    <w:basedOn w:val="Normlny"/>
    <w:rsid w:val="009F2DFA"/>
    <w:pPr>
      <w:spacing w:before="80" w:after="80"/>
    </w:pPr>
    <w:rPr>
      <w:rFonts w:ascii="Arial" w:eastAsia="Times" w:hAnsi="Arial"/>
      <w:b/>
      <w:noProof/>
      <w:color w:val="FFFFFF"/>
      <w:sz w:val="18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2DFA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244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448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244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44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2448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Beláňová Sylvia</cp:lastModifiedBy>
  <cp:revision>2</cp:revision>
  <cp:lastPrinted>2018-06-20T10:52:00Z</cp:lastPrinted>
  <dcterms:created xsi:type="dcterms:W3CDTF">2019-04-23T10:21:00Z</dcterms:created>
  <dcterms:modified xsi:type="dcterms:W3CDTF">2019-04-23T10:21:00Z</dcterms:modified>
</cp:coreProperties>
</file>