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B3" w:rsidRDefault="005D4FCF">
      <w:r>
        <w:rPr>
          <w:b/>
        </w:rPr>
        <w:t>B</w:t>
      </w:r>
      <w:r w:rsidR="00156D1C">
        <w:rPr>
          <w:b/>
        </w:rPr>
        <w:t>. Osobitná časť</w:t>
      </w:r>
    </w:p>
    <w:p w:rsidR="00156D1C" w:rsidRDefault="00156D1C"/>
    <w:p w:rsidR="00156D1C" w:rsidRDefault="00156D1C"/>
    <w:p w:rsidR="00156D1C" w:rsidRDefault="00156D1C">
      <w:pPr>
        <w:rPr>
          <w:b/>
        </w:rPr>
      </w:pPr>
      <w:r>
        <w:rPr>
          <w:b/>
        </w:rPr>
        <w:t>Čl. I</w:t>
      </w:r>
    </w:p>
    <w:p w:rsidR="00156D1C" w:rsidRPr="00156D1C" w:rsidRDefault="00156D1C">
      <w:pPr>
        <w:rPr>
          <w:b/>
        </w:rPr>
      </w:pPr>
    </w:p>
    <w:p w:rsidR="00CC3544" w:rsidRDefault="00AD173D">
      <w:pPr>
        <w:rPr>
          <w:b/>
        </w:rPr>
      </w:pPr>
      <w:r>
        <w:rPr>
          <w:b/>
        </w:rPr>
        <w:t xml:space="preserve">K bodom </w:t>
      </w:r>
      <w:r w:rsidR="00E22665">
        <w:rPr>
          <w:b/>
        </w:rPr>
        <w:t>1</w:t>
      </w:r>
      <w:r>
        <w:rPr>
          <w:b/>
        </w:rPr>
        <w:t xml:space="preserve">, 3, </w:t>
      </w:r>
      <w:r w:rsidR="000E79A5">
        <w:rPr>
          <w:b/>
        </w:rPr>
        <w:t>7</w:t>
      </w:r>
      <w:r w:rsidR="00474056">
        <w:rPr>
          <w:b/>
        </w:rPr>
        <w:t>,</w:t>
      </w:r>
      <w:r w:rsidR="0096336B">
        <w:rPr>
          <w:b/>
        </w:rPr>
        <w:t xml:space="preserve"> 1</w:t>
      </w:r>
      <w:r w:rsidR="00E22665">
        <w:rPr>
          <w:b/>
        </w:rPr>
        <w:t>5</w:t>
      </w:r>
      <w:r w:rsidR="0096336B">
        <w:rPr>
          <w:b/>
        </w:rPr>
        <w:t>,</w:t>
      </w:r>
      <w:r w:rsidR="00580113">
        <w:rPr>
          <w:b/>
        </w:rPr>
        <w:t xml:space="preserve"> 16,</w:t>
      </w:r>
      <w:r>
        <w:rPr>
          <w:b/>
        </w:rPr>
        <w:t xml:space="preserve"> 1</w:t>
      </w:r>
      <w:r w:rsidR="00E22665">
        <w:rPr>
          <w:b/>
        </w:rPr>
        <w:t>7</w:t>
      </w:r>
      <w:r w:rsidR="00580113">
        <w:rPr>
          <w:b/>
        </w:rPr>
        <w:t>,</w:t>
      </w:r>
      <w:r>
        <w:rPr>
          <w:b/>
        </w:rPr>
        <w:t xml:space="preserve"> </w:t>
      </w:r>
      <w:r w:rsidR="00474056">
        <w:rPr>
          <w:b/>
        </w:rPr>
        <w:t>18,</w:t>
      </w:r>
      <w:r w:rsidR="00E22665">
        <w:rPr>
          <w:b/>
        </w:rPr>
        <w:t xml:space="preserve"> 20</w:t>
      </w:r>
      <w:r w:rsidR="00580113">
        <w:rPr>
          <w:b/>
        </w:rPr>
        <w:t>, 21, 22 a 25</w:t>
      </w:r>
    </w:p>
    <w:p w:rsidR="00AD173D" w:rsidRPr="00AD173D" w:rsidRDefault="00AD173D">
      <w:r>
        <w:t>Navrhuje sa aktualizácia poznámok pod čiarou, z dôvodu neaktuálnosti právnych predpisov.</w:t>
      </w:r>
      <w:r w:rsidR="00414249">
        <w:t xml:space="preserve"> Neplatné právne predpisy sa nahrádzajú platnými právnymi predpismy.</w:t>
      </w:r>
    </w:p>
    <w:p w:rsidR="005F0FFF" w:rsidRPr="00CC3544" w:rsidRDefault="005F0FFF"/>
    <w:p w:rsidR="00156D1C" w:rsidRDefault="00E22665">
      <w:pPr>
        <w:rPr>
          <w:b/>
        </w:rPr>
      </w:pPr>
      <w:r w:rsidRPr="00E22665">
        <w:rPr>
          <w:b/>
        </w:rPr>
        <w:t>K</w:t>
      </w:r>
      <w:r>
        <w:rPr>
          <w:b/>
        </w:rPr>
        <w:t xml:space="preserve"> bodu 2 </w:t>
      </w:r>
    </w:p>
    <w:p w:rsidR="00E22665" w:rsidRPr="00E22665" w:rsidRDefault="00E22665">
      <w:r>
        <w:t>Z definície nakladania s výrobkami a zariadeniami sa vypúšťa slovo prevádzka z dôvodu nerelevantnosti.</w:t>
      </w:r>
    </w:p>
    <w:p w:rsidR="00AD173D" w:rsidRPr="00414249" w:rsidRDefault="00AD173D">
      <w:pPr>
        <w:rPr>
          <w:b/>
          <w:highlight w:val="yellow"/>
        </w:rPr>
      </w:pPr>
    </w:p>
    <w:p w:rsidR="00AD173D" w:rsidRDefault="000E79A5">
      <w:pPr>
        <w:rPr>
          <w:b/>
        </w:rPr>
      </w:pPr>
      <w:r>
        <w:rPr>
          <w:b/>
        </w:rPr>
        <w:t>K bodu 4 a 5</w:t>
      </w:r>
    </w:p>
    <w:p w:rsidR="00E22665" w:rsidRPr="00E22665" w:rsidRDefault="00E22665">
      <w:r>
        <w:t>Z dôvodu jednoznačnosti</w:t>
      </w:r>
      <w:r w:rsidR="008B234C">
        <w:t xml:space="preserve"> </w:t>
      </w:r>
      <w:r>
        <w:t>a</w:t>
      </w:r>
      <w:r w:rsidR="008B234C">
        <w:t xml:space="preserve"> pre </w:t>
      </w:r>
      <w:r>
        <w:t>lepšiu aplikáciu v praxi sa spresňuje vymedzenie vlastníka zariadenia, ktorého sa týka určenie prevádzkovateľa zariadenia</w:t>
      </w:r>
      <w:r w:rsidR="00337BAB">
        <w:t>.</w:t>
      </w:r>
    </w:p>
    <w:p w:rsidR="00AD173D" w:rsidRDefault="00AD173D">
      <w:pPr>
        <w:rPr>
          <w:b/>
        </w:rPr>
      </w:pPr>
    </w:p>
    <w:p w:rsidR="00AD173D" w:rsidRDefault="000E79A5">
      <w:pPr>
        <w:rPr>
          <w:b/>
        </w:rPr>
      </w:pPr>
      <w:r>
        <w:rPr>
          <w:b/>
        </w:rPr>
        <w:t>K bodu 6</w:t>
      </w:r>
    </w:p>
    <w:p w:rsidR="00580113" w:rsidRDefault="00580113">
      <w:r>
        <w:t>Ustanovenie sa navrhuje vypustiť v</w:t>
      </w:r>
      <w:r w:rsidRPr="00580113">
        <w:t xml:space="preserve"> súvislosti </w:t>
      </w:r>
      <w:r>
        <w:t xml:space="preserve">so zriadením </w:t>
      </w:r>
      <w:r w:rsidR="00B97438">
        <w:t xml:space="preserve">registra prevádzkovateľov zariadení, ktoré obsahujú fluorované skleníkové plyny </w:t>
      </w:r>
      <w:r>
        <w:t xml:space="preserve">od 1. januára 2022. </w:t>
      </w:r>
    </w:p>
    <w:p w:rsidR="00580113" w:rsidRPr="00580113" w:rsidRDefault="00580113"/>
    <w:p w:rsidR="00580113" w:rsidRPr="00580113" w:rsidRDefault="00580113">
      <w:pPr>
        <w:rPr>
          <w:b/>
        </w:rPr>
      </w:pPr>
      <w:r w:rsidRPr="00580113">
        <w:rPr>
          <w:b/>
        </w:rPr>
        <w:t>K bodu 8</w:t>
      </w:r>
    </w:p>
    <w:p w:rsidR="00156D1C" w:rsidRDefault="00460D91">
      <w:r>
        <w:t>Vzhľadom k tomu, že prekročenie pridelenej kvóty na uvedenie fluórovaných uhľovodíkov na trh je v zmysle zákona správny delikt, za ktorý môže</w:t>
      </w:r>
      <w:r w:rsidR="00A12EBB">
        <w:t xml:space="preserve"> SIŽP</w:t>
      </w:r>
      <w:r>
        <w:t xml:space="preserve"> udeliť pokutu,  zadefinovala sa táto povinnosť v zákone, ktorá tam </w:t>
      </w:r>
      <w:r w:rsidR="00946C0E">
        <w:t>absentovala</w:t>
      </w:r>
      <w:r>
        <w:t>. Zároveň sa ustanovila povinnosť pre výrobcu a dovozcu fluórovaných uľovodíkov každoročne požiadať Európsku komisiu o pridelenie kvóty na uvádzanie týchto látok na trh</w:t>
      </w:r>
      <w:r w:rsidR="00946C0E">
        <w:t xml:space="preserve">, </w:t>
      </w:r>
      <w:r w:rsidR="00374A30">
        <w:t xml:space="preserve">a to prostredníctvom elektronického systému kvót, ktorý na tento účel zriadila Komisia. V súlade s nariadením (EÚ) č. 517/2014 </w:t>
      </w:r>
      <w:r w:rsidR="00946C0E">
        <w:t xml:space="preserve"> výroba a dovoz fluórovaných uhľovodíkov a ich uvedenie na trh bez pridelenej kvóty nie je možný.</w:t>
      </w:r>
    </w:p>
    <w:p w:rsidR="000F3620" w:rsidRDefault="000F3620"/>
    <w:p w:rsidR="00460D91" w:rsidRDefault="008A3B75">
      <w:r>
        <w:rPr>
          <w:b/>
        </w:rPr>
        <w:t>K bodu</w:t>
      </w:r>
      <w:r w:rsidR="00B215F6">
        <w:rPr>
          <w:b/>
        </w:rPr>
        <w:t xml:space="preserve"> 9</w:t>
      </w:r>
      <w:r>
        <w:rPr>
          <w:b/>
        </w:rPr>
        <w:t xml:space="preserve"> a 10</w:t>
      </w:r>
    </w:p>
    <w:p w:rsidR="00460D91" w:rsidRDefault="00946C0E">
      <w:r>
        <w:t>P</w:t>
      </w:r>
      <w:r w:rsidR="0047595C">
        <w:t>revádz</w:t>
      </w:r>
      <w:r>
        <w:t xml:space="preserve">kovateľ </w:t>
      </w:r>
      <w:r w:rsidR="0047595C">
        <w:t>zariadení obsahujúcich fluó</w:t>
      </w:r>
      <w:r>
        <w:t>r</w:t>
      </w:r>
      <w:r w:rsidR="0047595C">
        <w:t>o</w:t>
      </w:r>
      <w:r>
        <w:t>vané skleníkové</w:t>
      </w:r>
      <w:r w:rsidR="0047595C">
        <w:t xml:space="preserve"> p</w:t>
      </w:r>
      <w:r>
        <w:t>lyny má povinnosť viesť evidenciu o týc</w:t>
      </w:r>
      <w:r w:rsidR="0047595C">
        <w:t>ht</w:t>
      </w:r>
      <w:r>
        <w:t>o zari</w:t>
      </w:r>
      <w:r w:rsidR="0047595C">
        <w:t>a</w:t>
      </w:r>
      <w:r>
        <w:t>deniach, ktorá musí byť vedená v súlade s článkom 6 nariadenia (EÚ) č. 517/2014 o fluórovaných skleníkových plynoch</w:t>
      </w:r>
      <w:r w:rsidR="0047595C">
        <w:t>. Táto povinnosť sa však týka len zariadení, ktoré obsahujú 5 ton ekvivalentu CO</w:t>
      </w:r>
      <w:r w:rsidR="0047595C">
        <w:rPr>
          <w:vertAlign w:val="subscript"/>
        </w:rPr>
        <w:t>2</w:t>
      </w:r>
      <w:r w:rsidR="0047595C">
        <w:t xml:space="preserve"> alebo viac fluórovaných skleníkových plynov a sú kontrolované na únik</w:t>
      </w:r>
      <w:r w:rsidR="009939C6">
        <w:t>, čo sa v príslušnom odseku § 5 zadefinovalo</w:t>
      </w:r>
      <w:r w:rsidR="0047595C">
        <w:t>. V pôvodnom ustanovení nebola táto skutočnosť jednoznačne špecifikovaná a dochádzalo k nejasnostiam zo strany prevádzkovateľov, ktorých zariadení sa táto povinnosť týka</w:t>
      </w:r>
      <w:r w:rsidR="009939C6">
        <w:t>.</w:t>
      </w:r>
      <w:r>
        <w:t xml:space="preserve"> </w:t>
      </w:r>
    </w:p>
    <w:p w:rsidR="0050604A" w:rsidRDefault="0050604A"/>
    <w:p w:rsidR="0050604A" w:rsidRDefault="008A3B75">
      <w:pPr>
        <w:rPr>
          <w:b/>
        </w:rPr>
      </w:pPr>
      <w:r>
        <w:rPr>
          <w:b/>
        </w:rPr>
        <w:t>K bodu 11</w:t>
      </w:r>
    </w:p>
    <w:p w:rsidR="008A3B75" w:rsidRDefault="008A3B75" w:rsidP="008A3B75">
      <w:r>
        <w:t>Ustanovenie sa navrhuje vypustiť v</w:t>
      </w:r>
      <w:r w:rsidRPr="00580113">
        <w:t xml:space="preserve"> súvislosti </w:t>
      </w:r>
      <w:r>
        <w:t xml:space="preserve">so zriadením </w:t>
      </w:r>
      <w:r w:rsidR="00B97438">
        <w:t xml:space="preserve">registra prevádzkovateľov zariadení, ktoré obsahujú fluorované skleníkové plyny </w:t>
      </w:r>
      <w:r>
        <w:t xml:space="preserve">od 1. januára 2022. </w:t>
      </w:r>
    </w:p>
    <w:p w:rsidR="008A3B75" w:rsidRDefault="008A3B75">
      <w:pPr>
        <w:rPr>
          <w:b/>
        </w:rPr>
      </w:pPr>
    </w:p>
    <w:p w:rsidR="00474056" w:rsidRDefault="00474056" w:rsidP="00474056">
      <w:pPr>
        <w:rPr>
          <w:b/>
        </w:rPr>
      </w:pPr>
      <w:r>
        <w:rPr>
          <w:b/>
        </w:rPr>
        <w:t>K bodu 12</w:t>
      </w:r>
    </w:p>
    <w:p w:rsidR="00474056" w:rsidRDefault="00474056" w:rsidP="00474056">
      <w:r>
        <w:t xml:space="preserve">Dopĺňajú náležitosti obsahu evidencie, ktorú vedú dovozcovia, vývozcovia a distribútori fluórovaných skleníkových plynov. Táto požiadavka vyplynula z praktického výkonu štátneho dozoru zo strany SIŽP. Doterajšia úprava bola všeobecná a ako sa ukázalo aj nedostatočná a bolo potrebné spodrobniť náležitosti evidencie. V rámci kontrol podnikateľských subjektov SIŽP narážala na problémy týkajúce sa evidencie zo strany podnikateľských subjektov, ktorá nebola vedená v dostatočnom rozsahu a nebolo možné získať relevantné informácie na zistenie </w:t>
      </w:r>
      <w:r>
        <w:lastRenderedPageBreak/>
        <w:t xml:space="preserve">skutočného stavu a dodržiavania povinností pri nakladaní s fluórovanými skleníkovými plynmi. </w:t>
      </w:r>
    </w:p>
    <w:p w:rsidR="00474056" w:rsidRDefault="00474056">
      <w:pPr>
        <w:rPr>
          <w:b/>
        </w:rPr>
      </w:pPr>
    </w:p>
    <w:p w:rsidR="008A3B75" w:rsidRPr="00B215F6" w:rsidRDefault="00474056">
      <w:pPr>
        <w:rPr>
          <w:b/>
        </w:rPr>
      </w:pPr>
      <w:r>
        <w:rPr>
          <w:b/>
        </w:rPr>
        <w:t>K bodu 13</w:t>
      </w:r>
    </w:p>
    <w:p w:rsidR="00AD173D" w:rsidRPr="00B215F6" w:rsidRDefault="00AD173D">
      <w:r w:rsidRPr="00B215F6">
        <w:t xml:space="preserve">Navrhuje sa zriadenie </w:t>
      </w:r>
      <w:r w:rsidR="00B97438">
        <w:t xml:space="preserve">registra prevádzkovateľov zariadení, ktoré obsahujú fluorované skleníkové plyny </w:t>
      </w:r>
      <w:r w:rsidR="00B215F6">
        <w:t>o</w:t>
      </w:r>
      <w:r w:rsidRPr="00B215F6">
        <w:t>d 1. januára 2022.</w:t>
      </w:r>
    </w:p>
    <w:p w:rsidR="0050604A" w:rsidRDefault="00B215F6">
      <w:r>
        <w:t>Týmto návrhom dôjde k zmene</w:t>
      </w:r>
      <w:r w:rsidR="0050604A" w:rsidRPr="00B215F6">
        <w:t xml:space="preserve"> spôsobu oznamovania údajov pre prevádzkovateľov zariadení obsahujúcich fluórované skleníkové plyny. Prevádzkovatelia zariadení oznamovali príslušné údaje okresným úradom, odborom staros</w:t>
      </w:r>
      <w:r w:rsidR="00330936" w:rsidRPr="00B215F6">
        <w:t>t</w:t>
      </w:r>
      <w:r w:rsidR="0050604A" w:rsidRPr="00B215F6">
        <w:t>livosti o životné prostredie</w:t>
      </w:r>
      <w:r w:rsidR="00A12EBB" w:rsidRPr="00B215F6">
        <w:t>,</w:t>
      </w:r>
      <w:r w:rsidR="0050604A" w:rsidRPr="00B215F6">
        <w:t xml:space="preserve"> v územnej pôsobnosti ktorého sa daná prevádzka nachádza. </w:t>
      </w:r>
      <w:r w:rsidR="00F936AF" w:rsidRPr="00B215F6">
        <w:t>V zmysle n</w:t>
      </w:r>
      <w:r w:rsidR="00330936" w:rsidRPr="00B215F6">
        <w:t>a</w:t>
      </w:r>
      <w:r w:rsidR="00F936AF" w:rsidRPr="00B215F6">
        <w:t xml:space="preserve">vrhovaného  nového </w:t>
      </w:r>
      <w:r>
        <w:t>paragrafu</w:t>
      </w:r>
      <w:r w:rsidR="00F936AF" w:rsidRPr="00B215F6">
        <w:t xml:space="preserve"> budú prevádzkovatelia zariad</w:t>
      </w:r>
      <w:r w:rsidR="00330936" w:rsidRPr="00B215F6">
        <w:t>e</w:t>
      </w:r>
      <w:r w:rsidR="00F936AF" w:rsidRPr="00B215F6">
        <w:t>ní oznamo</w:t>
      </w:r>
      <w:r w:rsidR="00A31700" w:rsidRPr="00B215F6">
        <w:t xml:space="preserve">vať údaje prostredníctvom </w:t>
      </w:r>
      <w:r w:rsidR="00B97438">
        <w:t>registra prevádzkovateľov zariadení, ktoré obsahujú fluorované skleníkové plyny</w:t>
      </w:r>
      <w:r w:rsidR="00F936AF" w:rsidRPr="00B215F6">
        <w:t xml:space="preserve">, ktorý bude spravovať organizácia poverená ministerstvom. </w:t>
      </w:r>
      <w:r w:rsidR="00B97438">
        <w:t>Tento register</w:t>
      </w:r>
      <w:r>
        <w:t xml:space="preserve"> bude slúžiť na registráciu prevádzkovateľov, zariadení, ktoré obsahujú 5 ton ekvivalentu </w:t>
      </w:r>
      <w:r w:rsidRPr="00B215F6">
        <w:t>CO</w:t>
      </w:r>
      <w:r>
        <w:rPr>
          <w:vertAlign w:val="subscript"/>
        </w:rPr>
        <w:t>2</w:t>
      </w:r>
      <w:r>
        <w:t xml:space="preserve"> alebo viac a sú kontrolované na únik,  na vedenie evidencie a oznamovanie stanovených údajov. </w:t>
      </w:r>
      <w:r w:rsidR="00F936AF" w:rsidRPr="00B215F6">
        <w:t>Prevádzkovatelia budú mať komfortnejší spôsob oznamovania a prístup k svojim údajom a dôjde k sprehľadneniu a</w:t>
      </w:r>
      <w:r w:rsidR="00A31700" w:rsidRPr="00B215F6">
        <w:t xml:space="preserve"> </w:t>
      </w:r>
      <w:r w:rsidR="00F936AF" w:rsidRPr="00B215F6">
        <w:t>lepšej spracovateľnosti získaných informácií.</w:t>
      </w:r>
    </w:p>
    <w:p w:rsidR="00474056" w:rsidRDefault="00474056"/>
    <w:p w:rsidR="00474056" w:rsidRDefault="00474056" w:rsidP="00474056">
      <w:pPr>
        <w:rPr>
          <w:b/>
        </w:rPr>
      </w:pPr>
      <w:r>
        <w:rPr>
          <w:b/>
        </w:rPr>
        <w:t>K bodu 14</w:t>
      </w:r>
    </w:p>
    <w:p w:rsidR="00474056" w:rsidRPr="0096336B" w:rsidRDefault="00474056" w:rsidP="00474056">
      <w:r>
        <w:t>Navrhuje sa oprava nesprávne používaného pojmu „elektronická forma“ a vo všetkých ustanoveniach zákona sa nahrádza pojmom „elektronická podoba“.</w:t>
      </w:r>
    </w:p>
    <w:p w:rsidR="0096336B" w:rsidRDefault="0096336B">
      <w:pPr>
        <w:rPr>
          <w:b/>
        </w:rPr>
      </w:pPr>
    </w:p>
    <w:p w:rsidR="00795E35" w:rsidRDefault="008A3B75">
      <w:pPr>
        <w:rPr>
          <w:b/>
        </w:rPr>
      </w:pPr>
      <w:r>
        <w:rPr>
          <w:b/>
        </w:rPr>
        <w:t>K bodu 1</w:t>
      </w:r>
      <w:r w:rsidR="00474056">
        <w:rPr>
          <w:b/>
        </w:rPr>
        <w:t>9</w:t>
      </w:r>
    </w:p>
    <w:p w:rsidR="0096336B" w:rsidRDefault="0096336B" w:rsidP="0096336B">
      <w:r>
        <w:t>Zmena sa uskutočňuje v nadväznosti na 2</w:t>
      </w:r>
      <w:r w:rsidR="00474056">
        <w:t>4</w:t>
      </w:r>
      <w:r>
        <w:t xml:space="preserve">. novelizačný bod. Vypustená tretia veta sa vkladá do navrhovaného § 6b. </w:t>
      </w:r>
    </w:p>
    <w:p w:rsidR="00795E35" w:rsidRDefault="00795E35"/>
    <w:p w:rsidR="00795E35" w:rsidRDefault="00B215F6">
      <w:r>
        <w:rPr>
          <w:b/>
        </w:rPr>
        <w:t>K bodu 2</w:t>
      </w:r>
      <w:r w:rsidR="00707AF6">
        <w:rPr>
          <w:b/>
        </w:rPr>
        <w:t>3</w:t>
      </w:r>
    </w:p>
    <w:p w:rsidR="00795E35" w:rsidRDefault="00A12EBB">
      <w:r>
        <w:t xml:space="preserve">Navrhuje sa úprava </w:t>
      </w:r>
      <w:r w:rsidR="00795E35">
        <w:t>podmien</w:t>
      </w:r>
      <w:r>
        <w:t>ok</w:t>
      </w:r>
      <w:r w:rsidR="00795E35">
        <w:t xml:space="preserve"> a požiadav</w:t>
      </w:r>
      <w:r>
        <w:t>iek</w:t>
      </w:r>
      <w:r w:rsidR="00795E35">
        <w:t xml:space="preserve"> na získanie pov</w:t>
      </w:r>
      <w:r w:rsidR="000777F1">
        <w:t>e</w:t>
      </w:r>
      <w:r w:rsidR="00795E35">
        <w:t xml:space="preserve">renia na činnosť hodnotiaceho orgánu a certifikačného orgánu, ktoré vydáva ministerstvo. </w:t>
      </w:r>
      <w:r w:rsidR="007B60EA">
        <w:t xml:space="preserve">Všeobecné požiadavky sú sčasti ustanovené v nariadeniach Komisie, avšak vzišla potreba ustanoviť náležitosti priamo a podrobnejšie rozpracované priamo v zákone. Novými paragrafmi sa táto nezrovnalosť odstráni. Ustanovujú sa podrobnosti žiadosti o vydanie poverenia na činnosť hodnotiaceho a certifikačného orgánu, povinnosti, ktoré musia tieto orgány </w:t>
      </w:r>
      <w:r w:rsidR="00F824FC">
        <w:t>v rám</w:t>
      </w:r>
      <w:r w:rsidR="00A31700">
        <w:t>c</w:t>
      </w:r>
      <w:r w:rsidR="00F824FC">
        <w:t xml:space="preserve">i svojej činnosti </w:t>
      </w:r>
      <w:r w:rsidR="007B60EA">
        <w:t>plniť ako aj prípady</w:t>
      </w:r>
      <w:r w:rsidR="00F824FC">
        <w:t>,</w:t>
      </w:r>
      <w:r w:rsidR="00326F1F">
        <w:t xml:space="preserve"> kedy ministerstvo poverenie zmení</w:t>
      </w:r>
      <w:r w:rsidR="002770BF">
        <w:t xml:space="preserve">, zruší </w:t>
      </w:r>
      <w:r w:rsidR="007B60EA">
        <w:t>a</w:t>
      </w:r>
      <w:r w:rsidR="00F824FC">
        <w:t xml:space="preserve"> </w:t>
      </w:r>
      <w:r w:rsidR="007B60EA">
        <w:t>kedy takéto poverenie zaniká.</w:t>
      </w:r>
    </w:p>
    <w:p w:rsidR="0047320C" w:rsidRPr="0047320C" w:rsidRDefault="0047320C"/>
    <w:p w:rsidR="00F824FC" w:rsidRDefault="0096336B">
      <w:r>
        <w:rPr>
          <w:b/>
        </w:rPr>
        <w:t>K bodom 2</w:t>
      </w:r>
      <w:r w:rsidR="00707AF6">
        <w:rPr>
          <w:b/>
        </w:rPr>
        <w:t>5 a 26</w:t>
      </w:r>
    </w:p>
    <w:p w:rsidR="00F824FC" w:rsidRDefault="00A12EBB">
      <w:r>
        <w:t>Upravuje sa</w:t>
      </w:r>
      <w:r w:rsidR="00EE4AD5">
        <w:t xml:space="preserve"> pôsobnosť M</w:t>
      </w:r>
      <w:r w:rsidR="00FD2503">
        <w:t xml:space="preserve">inisterstva </w:t>
      </w:r>
      <w:r w:rsidR="00EE4AD5">
        <w:t xml:space="preserve">životného prostredia Slovenskej republiky </w:t>
      </w:r>
      <w:r w:rsidR="00FD2503">
        <w:t>vo vzťahu k vydávaniu poverení na činnosť hodnotiaceho a certifikačného orgánu. Ministerstvo bude vykonávať hlavný štátny dozor  vo veciach dodržiavania povinností hodnotiaceho a certifikačného orgánu, kto</w:t>
      </w:r>
      <w:r w:rsidR="00A31700">
        <w:t>r</w:t>
      </w:r>
      <w:r w:rsidR="00FD2503">
        <w:t xml:space="preserve">é bude kontrolovať v spolupráci so </w:t>
      </w:r>
      <w:r w:rsidR="00EE4AD5">
        <w:t>Slovenskou inšpekciou životného prostredia (</w:t>
      </w:r>
      <w:r>
        <w:t>SIŽP</w:t>
      </w:r>
      <w:r w:rsidR="00EE4AD5">
        <w:t>)</w:t>
      </w:r>
      <w:r w:rsidR="00FD2503">
        <w:t xml:space="preserve">. </w:t>
      </w:r>
      <w:r w:rsidR="002E2B76">
        <w:t>Vydané poverenia zároveň bude môcť zmeniť alebo zrušiť, ak dôjde porušeniu povinností ustanovených nariadeniami Komisie a zákonom.</w:t>
      </w:r>
    </w:p>
    <w:p w:rsidR="002E2B76" w:rsidRDefault="002E2B76"/>
    <w:p w:rsidR="00474056" w:rsidRDefault="00707AF6" w:rsidP="00474056">
      <w:pPr>
        <w:rPr>
          <w:b/>
        </w:rPr>
      </w:pPr>
      <w:r>
        <w:rPr>
          <w:b/>
        </w:rPr>
        <w:t>K bodu 27</w:t>
      </w:r>
    </w:p>
    <w:p w:rsidR="00474056" w:rsidRDefault="00474056" w:rsidP="00474056">
      <w:r>
        <w:t>Ustanovenie sa navrhuje vypustiť v</w:t>
      </w:r>
      <w:r w:rsidRPr="00580113">
        <w:t xml:space="preserve"> súvislosti </w:t>
      </w:r>
      <w:r>
        <w:t xml:space="preserve">so zriadením </w:t>
      </w:r>
      <w:r w:rsidR="004A24E6">
        <w:t xml:space="preserve">registra prevádzkovateľov zariadení, ktoré obsahujú fluorované skleníkové plyny </w:t>
      </w:r>
      <w:r>
        <w:t xml:space="preserve">od 1. januára 2022. </w:t>
      </w:r>
    </w:p>
    <w:p w:rsidR="00474056" w:rsidRDefault="00474056" w:rsidP="00474056"/>
    <w:p w:rsidR="00614636" w:rsidRDefault="008A3B75">
      <w:pPr>
        <w:rPr>
          <w:b/>
        </w:rPr>
      </w:pPr>
      <w:r>
        <w:rPr>
          <w:b/>
        </w:rPr>
        <w:t>K bodu 2</w:t>
      </w:r>
      <w:r w:rsidR="00707AF6">
        <w:rPr>
          <w:b/>
        </w:rPr>
        <w:t>8</w:t>
      </w:r>
    </w:p>
    <w:p w:rsidR="00614636" w:rsidRDefault="00765CE3">
      <w:r>
        <w:lastRenderedPageBreak/>
        <w:t>R</w:t>
      </w:r>
      <w:r w:rsidR="00614636">
        <w:t xml:space="preserve">ozširuje </w:t>
      </w:r>
      <w:r>
        <w:t xml:space="preserve">sa </w:t>
      </w:r>
      <w:r w:rsidR="00614636">
        <w:t xml:space="preserve">štátny dozor, ktorý bude vykonávať </w:t>
      </w:r>
      <w:r w:rsidR="00A12EBB">
        <w:t>SIŽP</w:t>
      </w:r>
      <w:r w:rsidR="00614636">
        <w:t xml:space="preserve">, a to o kontrolu činnosti hodnotiaceho a certifikačného orgánu. Tie bude kontrolovať v spolupráci s ministerstvom. Tiež sa precizujú právomoci </w:t>
      </w:r>
      <w:r w:rsidR="00A12EBB">
        <w:t xml:space="preserve">SIŽP </w:t>
      </w:r>
      <w:r w:rsidR="00614636">
        <w:t>pri výkone odborného štátneho dozoru.</w:t>
      </w:r>
    </w:p>
    <w:p w:rsidR="008A3B75" w:rsidRDefault="008A3B75"/>
    <w:p w:rsidR="00614636" w:rsidRDefault="00614636"/>
    <w:p w:rsidR="00614636" w:rsidRDefault="0047320C">
      <w:pPr>
        <w:rPr>
          <w:b/>
        </w:rPr>
      </w:pPr>
      <w:r>
        <w:rPr>
          <w:b/>
        </w:rPr>
        <w:t xml:space="preserve">K bodu </w:t>
      </w:r>
      <w:r w:rsidR="00707AF6">
        <w:rPr>
          <w:b/>
        </w:rPr>
        <w:t>29</w:t>
      </w:r>
      <w:r w:rsidR="008A3B75">
        <w:rPr>
          <w:b/>
        </w:rPr>
        <w:t>, 3</w:t>
      </w:r>
      <w:r w:rsidR="00707AF6">
        <w:rPr>
          <w:b/>
        </w:rPr>
        <w:t>0, 31</w:t>
      </w:r>
      <w:r w:rsidR="008A3B75">
        <w:rPr>
          <w:b/>
        </w:rPr>
        <w:t>, 3</w:t>
      </w:r>
      <w:r w:rsidR="00707AF6">
        <w:rPr>
          <w:b/>
        </w:rPr>
        <w:t>2</w:t>
      </w:r>
      <w:r w:rsidR="008A3B75">
        <w:rPr>
          <w:b/>
        </w:rPr>
        <w:t xml:space="preserve"> a 3</w:t>
      </w:r>
      <w:r w:rsidR="00707AF6">
        <w:rPr>
          <w:b/>
        </w:rPr>
        <w:t>3</w:t>
      </w:r>
    </w:p>
    <w:p w:rsidR="00614636" w:rsidRDefault="00614636">
      <w:r>
        <w:t>V nadväznosti na ustanovenie nových povinností boli v tomto smere náležite doplnené aj správne delikty za porušenie týchto povinno</w:t>
      </w:r>
      <w:r w:rsidR="00A31700">
        <w:t>s</w:t>
      </w:r>
      <w:r>
        <w:t>tí.</w:t>
      </w:r>
    </w:p>
    <w:p w:rsidR="00614636" w:rsidRDefault="00614636"/>
    <w:p w:rsidR="00614636" w:rsidRDefault="00707AF6">
      <w:pPr>
        <w:rPr>
          <w:b/>
        </w:rPr>
      </w:pPr>
      <w:r>
        <w:rPr>
          <w:b/>
        </w:rPr>
        <w:t>K bodu 34</w:t>
      </w:r>
    </w:p>
    <w:p w:rsidR="00614636" w:rsidRDefault="00D46799">
      <w:r>
        <w:t xml:space="preserve">Navrhuje sa </w:t>
      </w:r>
      <w:r w:rsidR="003B5B09">
        <w:t xml:space="preserve">nové znenie § 13 ods. 2 v nadväznosti na </w:t>
      </w:r>
      <w:r>
        <w:t>zmen</w:t>
      </w:r>
      <w:r w:rsidR="003B5B09">
        <w:t>u</w:t>
      </w:r>
      <w:r>
        <w:t xml:space="preserve"> dolných hraníc súm pokút ako aj doplneni</w:t>
      </w:r>
      <w:r w:rsidR="00765CE3">
        <w:t>e</w:t>
      </w:r>
      <w:r>
        <w:t xml:space="preserve"> nových správnych deliktov, resp. zmen</w:t>
      </w:r>
      <w:r w:rsidR="00765CE3">
        <w:t>a</w:t>
      </w:r>
      <w:r>
        <w:t xml:space="preserve"> ich zaradenia pod príslušnú pokutu.</w:t>
      </w:r>
    </w:p>
    <w:p w:rsidR="00414249" w:rsidRPr="00414249" w:rsidRDefault="00414249">
      <w:pPr>
        <w:rPr>
          <w:b/>
        </w:rPr>
      </w:pPr>
    </w:p>
    <w:p w:rsidR="00414249" w:rsidRPr="00414249" w:rsidRDefault="00707AF6">
      <w:pPr>
        <w:rPr>
          <w:b/>
        </w:rPr>
      </w:pPr>
      <w:r>
        <w:rPr>
          <w:b/>
        </w:rPr>
        <w:t>K bodu 35</w:t>
      </w:r>
    </w:p>
    <w:p w:rsidR="00D46799" w:rsidRDefault="00414249">
      <w:r>
        <w:t>Ustanovuje s</w:t>
      </w:r>
      <w:r w:rsidR="00922326">
        <w:t>a</w:t>
      </w:r>
      <w:r>
        <w:t> pôsobnosť správneho poriadku na konanie o uložení pokuty podľa tohto zákona.</w:t>
      </w:r>
    </w:p>
    <w:p w:rsidR="00765CE3" w:rsidRDefault="00765CE3"/>
    <w:p w:rsidR="00922326" w:rsidRDefault="00707AF6">
      <w:pPr>
        <w:rPr>
          <w:b/>
        </w:rPr>
      </w:pPr>
      <w:r>
        <w:rPr>
          <w:b/>
        </w:rPr>
        <w:t>K bodu 36</w:t>
      </w:r>
    </w:p>
    <w:p w:rsidR="00156BFA" w:rsidRPr="00156BFA" w:rsidRDefault="00156BFA">
      <w:r w:rsidRPr="00156BFA">
        <w:t>Navrhuje</w:t>
      </w:r>
      <w:r>
        <w:t xml:space="preserve"> sa úprava v texte zákona používanej legislatívnej skratky pre Ministerstvo životného prostredia SR v súvislosti s jej zavedením v novelizačnom bode 10.</w:t>
      </w:r>
    </w:p>
    <w:p w:rsidR="00156BFA" w:rsidRPr="00922326" w:rsidRDefault="00156BFA"/>
    <w:p w:rsidR="00D46799" w:rsidRDefault="00765CE3">
      <w:pPr>
        <w:rPr>
          <w:b/>
        </w:rPr>
      </w:pPr>
      <w:r>
        <w:rPr>
          <w:b/>
        </w:rPr>
        <w:t>Čl. II</w:t>
      </w:r>
    </w:p>
    <w:p w:rsidR="00D46799" w:rsidRPr="00D46799" w:rsidRDefault="00D46799">
      <w:r>
        <w:t>Ustanovuje sa</w:t>
      </w:r>
      <w:r w:rsidR="00C9323D">
        <w:t xml:space="preserve"> </w:t>
      </w:r>
      <w:r w:rsidR="008A3B75">
        <w:t xml:space="preserve">delená </w:t>
      </w:r>
      <w:r>
        <w:t xml:space="preserve">účinnosť tohto zákona. </w:t>
      </w:r>
      <w:r w:rsidR="008A3B75">
        <w:t xml:space="preserve">Ustanovenia vzťahujúce sa na </w:t>
      </w:r>
      <w:r w:rsidR="008E0D33">
        <w:t>register prevádzkovateľov zariadení, ktoré obsahujú fluorované skleníkové plyny</w:t>
      </w:r>
      <w:r w:rsidR="008A3B75">
        <w:t xml:space="preserve"> nadobudnú účinnosť 1. januára 2022.</w:t>
      </w:r>
    </w:p>
    <w:p w:rsidR="008B25B3" w:rsidRDefault="008B25B3" w:rsidP="008B25B3">
      <w:pPr>
        <w:rPr>
          <w:rStyle w:val="Zstupntext"/>
          <w:color w:val="000000"/>
          <w:szCs w:val="24"/>
          <w:lang w:val="en-US"/>
        </w:rPr>
      </w:pPr>
    </w:p>
    <w:p w:rsidR="008B25B3" w:rsidRPr="00E545B1" w:rsidRDefault="008B25B3" w:rsidP="008B25B3">
      <w:pPr>
        <w:rPr>
          <w:rStyle w:val="Zstupntext"/>
          <w:szCs w:val="24"/>
          <w:lang w:val="en-US"/>
        </w:rPr>
      </w:pPr>
      <w:r>
        <w:rPr>
          <w:rStyle w:val="Zstupntext"/>
          <w:color w:val="000000"/>
          <w:szCs w:val="24"/>
          <w:lang w:val="en-US"/>
        </w:rPr>
        <w:t>V Bratislave 17</w:t>
      </w:r>
      <w:r w:rsidRPr="00E545B1">
        <w:rPr>
          <w:rStyle w:val="Zstupntext"/>
          <w:color w:val="000000"/>
          <w:szCs w:val="24"/>
          <w:lang w:val="en-US"/>
        </w:rPr>
        <w:t xml:space="preserve">. </w:t>
      </w:r>
      <w:r>
        <w:rPr>
          <w:rStyle w:val="Zstupntext"/>
          <w:color w:val="000000"/>
          <w:szCs w:val="24"/>
          <w:lang w:val="en-US"/>
        </w:rPr>
        <w:t>apríla</w:t>
      </w:r>
      <w:r>
        <w:rPr>
          <w:rStyle w:val="Zstupntext"/>
          <w:color w:val="000000"/>
          <w:szCs w:val="24"/>
          <w:lang w:val="en-US"/>
        </w:rPr>
        <w:t xml:space="preserve"> 2019</w:t>
      </w:r>
      <w:bookmarkStart w:id="0" w:name="_GoBack"/>
      <w:bookmarkEnd w:id="0"/>
    </w:p>
    <w:p w:rsidR="008B25B3" w:rsidRPr="00E545B1" w:rsidRDefault="008B25B3" w:rsidP="008B25B3">
      <w:pPr>
        <w:rPr>
          <w:rStyle w:val="Zstupntext"/>
          <w:szCs w:val="24"/>
          <w:lang w:val="en-US"/>
        </w:rPr>
      </w:pPr>
      <w:r w:rsidRPr="00E545B1">
        <w:rPr>
          <w:rStyle w:val="Zstupntext"/>
          <w:color w:val="000000"/>
          <w:szCs w:val="24"/>
          <w:lang w:val="en-US"/>
        </w:rPr>
        <w:t> </w:t>
      </w:r>
    </w:p>
    <w:p w:rsidR="008B25B3" w:rsidRPr="00E545B1" w:rsidRDefault="008B25B3" w:rsidP="008B25B3">
      <w:pPr>
        <w:rPr>
          <w:rStyle w:val="Zstupntext"/>
          <w:szCs w:val="24"/>
          <w:lang w:val="en-US"/>
        </w:rPr>
      </w:pPr>
      <w:r w:rsidRPr="00E545B1">
        <w:rPr>
          <w:rStyle w:val="Zstupntext"/>
          <w:color w:val="000000"/>
          <w:szCs w:val="24"/>
          <w:lang w:val="en-US"/>
        </w:rPr>
        <w:t> </w:t>
      </w:r>
    </w:p>
    <w:p w:rsidR="008B25B3" w:rsidRPr="00E545B1" w:rsidRDefault="008B25B3" w:rsidP="008B25B3">
      <w:pPr>
        <w:rPr>
          <w:rStyle w:val="Zstupntext"/>
          <w:szCs w:val="24"/>
          <w:lang w:val="en-US"/>
        </w:rPr>
      </w:pPr>
    </w:p>
    <w:p w:rsidR="008B25B3" w:rsidRPr="00E545B1" w:rsidRDefault="008B25B3" w:rsidP="008B25B3">
      <w:pPr>
        <w:jc w:val="center"/>
        <w:rPr>
          <w:rStyle w:val="Zstupntext"/>
          <w:b/>
          <w:szCs w:val="24"/>
          <w:lang w:val="en-US"/>
        </w:rPr>
      </w:pPr>
      <w:r>
        <w:rPr>
          <w:rStyle w:val="Zstupntext"/>
          <w:b/>
          <w:color w:val="000000"/>
          <w:szCs w:val="24"/>
          <w:lang w:val="en-US"/>
        </w:rPr>
        <w:t>Peter Pellegrini v. r.</w:t>
      </w:r>
    </w:p>
    <w:p w:rsidR="008B25B3" w:rsidRPr="00E545B1" w:rsidRDefault="008B25B3" w:rsidP="008B25B3">
      <w:pPr>
        <w:jc w:val="center"/>
        <w:rPr>
          <w:rStyle w:val="Zstupntext"/>
          <w:szCs w:val="24"/>
          <w:lang w:val="en-US"/>
        </w:rPr>
      </w:pPr>
      <w:r w:rsidRPr="00E545B1">
        <w:rPr>
          <w:rStyle w:val="Zstupntext"/>
          <w:color w:val="000000"/>
          <w:szCs w:val="24"/>
          <w:lang w:val="en-US"/>
        </w:rPr>
        <w:t>predseda vlády</w:t>
      </w:r>
    </w:p>
    <w:p w:rsidR="008B25B3" w:rsidRPr="00E545B1" w:rsidRDefault="008B25B3" w:rsidP="008B25B3">
      <w:pPr>
        <w:jc w:val="center"/>
        <w:rPr>
          <w:rStyle w:val="Zstupntext"/>
          <w:szCs w:val="24"/>
          <w:lang w:val="en-US"/>
        </w:rPr>
      </w:pPr>
      <w:r w:rsidRPr="00E545B1">
        <w:rPr>
          <w:rStyle w:val="Zstupntext"/>
          <w:color w:val="000000"/>
          <w:szCs w:val="24"/>
          <w:lang w:val="en-US"/>
        </w:rPr>
        <w:t>Slovenskej republiky</w:t>
      </w:r>
    </w:p>
    <w:p w:rsidR="008B25B3" w:rsidRPr="00E545B1" w:rsidRDefault="008B25B3" w:rsidP="008B25B3">
      <w:pPr>
        <w:jc w:val="center"/>
        <w:rPr>
          <w:rStyle w:val="Zstupntext"/>
          <w:szCs w:val="24"/>
          <w:lang w:val="en-US"/>
        </w:rPr>
      </w:pPr>
    </w:p>
    <w:p w:rsidR="008B25B3" w:rsidRPr="00E545B1" w:rsidRDefault="008B25B3" w:rsidP="008B25B3">
      <w:pPr>
        <w:rPr>
          <w:rStyle w:val="Zstupntext"/>
          <w:szCs w:val="24"/>
          <w:lang w:val="en-US"/>
        </w:rPr>
      </w:pPr>
    </w:p>
    <w:p w:rsidR="008B25B3" w:rsidRPr="00E545B1" w:rsidRDefault="008B25B3" w:rsidP="008B25B3">
      <w:pPr>
        <w:jc w:val="center"/>
        <w:rPr>
          <w:rStyle w:val="Zstupntext"/>
          <w:szCs w:val="24"/>
          <w:lang w:val="en-US"/>
        </w:rPr>
      </w:pPr>
    </w:p>
    <w:p w:rsidR="008B25B3" w:rsidRPr="00E545B1" w:rsidRDefault="008B25B3" w:rsidP="008B25B3">
      <w:pPr>
        <w:jc w:val="center"/>
        <w:rPr>
          <w:rStyle w:val="Zstupntext"/>
          <w:b/>
          <w:szCs w:val="24"/>
          <w:lang w:val="en-US"/>
        </w:rPr>
      </w:pPr>
      <w:r w:rsidRPr="00E545B1">
        <w:rPr>
          <w:rStyle w:val="Zstupntext"/>
          <w:b/>
          <w:color w:val="000000"/>
          <w:szCs w:val="24"/>
          <w:lang w:val="en-US"/>
        </w:rPr>
        <w:t xml:space="preserve">László Sólymos </w:t>
      </w:r>
      <w:r>
        <w:rPr>
          <w:rStyle w:val="Zstupntext"/>
          <w:b/>
          <w:color w:val="000000"/>
          <w:szCs w:val="24"/>
          <w:lang w:val="en-US"/>
        </w:rPr>
        <w:t>v. r.</w:t>
      </w:r>
    </w:p>
    <w:p w:rsidR="008B25B3" w:rsidRPr="00E545B1" w:rsidRDefault="008B25B3" w:rsidP="008B25B3">
      <w:pPr>
        <w:jc w:val="center"/>
        <w:rPr>
          <w:rStyle w:val="Zstupntext"/>
          <w:szCs w:val="24"/>
          <w:lang w:val="en-US"/>
        </w:rPr>
      </w:pPr>
      <w:r>
        <w:rPr>
          <w:rStyle w:val="Zstupntext"/>
          <w:color w:val="000000"/>
          <w:szCs w:val="24"/>
          <w:lang w:val="en-US"/>
        </w:rPr>
        <w:t xml:space="preserve">podpredseda vlády a </w:t>
      </w:r>
      <w:r w:rsidRPr="00E545B1">
        <w:rPr>
          <w:rStyle w:val="Zstupntext"/>
          <w:color w:val="000000"/>
          <w:szCs w:val="24"/>
          <w:lang w:val="en-US"/>
        </w:rPr>
        <w:t>minister životného prostredia</w:t>
      </w:r>
    </w:p>
    <w:p w:rsidR="008B25B3" w:rsidRPr="00E545B1" w:rsidRDefault="008B25B3" w:rsidP="008B25B3">
      <w:pPr>
        <w:jc w:val="center"/>
        <w:rPr>
          <w:rStyle w:val="Zstupntext"/>
          <w:szCs w:val="24"/>
          <w:lang w:val="en-US"/>
        </w:rPr>
      </w:pPr>
      <w:r w:rsidRPr="00E545B1">
        <w:rPr>
          <w:rStyle w:val="Zstupntext"/>
          <w:color w:val="000000"/>
          <w:szCs w:val="24"/>
          <w:lang w:val="en-US"/>
        </w:rPr>
        <w:t>Slovenskej republiky</w:t>
      </w:r>
    </w:p>
    <w:p w:rsidR="008B25B3" w:rsidRPr="00CE38D4" w:rsidRDefault="008B25B3" w:rsidP="008B25B3">
      <w:pPr>
        <w:rPr>
          <w:szCs w:val="24"/>
        </w:rPr>
      </w:pPr>
    </w:p>
    <w:p w:rsidR="00614636" w:rsidRPr="00614636" w:rsidRDefault="00614636" w:rsidP="008B25B3">
      <w:pPr>
        <w:rPr>
          <w:b/>
        </w:rPr>
      </w:pPr>
    </w:p>
    <w:sectPr w:rsidR="00614636" w:rsidRPr="006146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125" w:rsidRDefault="00CD6125" w:rsidP="00DF67BE">
      <w:r>
        <w:separator/>
      </w:r>
    </w:p>
  </w:endnote>
  <w:endnote w:type="continuationSeparator" w:id="0">
    <w:p w:rsidR="00CD6125" w:rsidRDefault="00CD6125" w:rsidP="00DF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9609665"/>
      <w:docPartObj>
        <w:docPartGallery w:val="Page Numbers (Bottom of Page)"/>
        <w:docPartUnique/>
      </w:docPartObj>
    </w:sdtPr>
    <w:sdtEndPr/>
    <w:sdtContent>
      <w:p w:rsidR="00DF67BE" w:rsidRDefault="00DF67B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90C">
          <w:t>3</w:t>
        </w:r>
        <w:r>
          <w:fldChar w:fldCharType="end"/>
        </w:r>
      </w:p>
    </w:sdtContent>
  </w:sdt>
  <w:p w:rsidR="00DF67BE" w:rsidRDefault="00DF67B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125" w:rsidRDefault="00CD6125" w:rsidP="00DF67BE">
      <w:r>
        <w:separator/>
      </w:r>
    </w:p>
  </w:footnote>
  <w:footnote w:type="continuationSeparator" w:id="0">
    <w:p w:rsidR="00CD6125" w:rsidRDefault="00CD6125" w:rsidP="00DF6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1C"/>
    <w:rsid w:val="000379B4"/>
    <w:rsid w:val="000777F1"/>
    <w:rsid w:val="000B64B0"/>
    <w:rsid w:val="000D07A1"/>
    <w:rsid w:val="000D44D5"/>
    <w:rsid w:val="000D4A7B"/>
    <w:rsid w:val="000E79A5"/>
    <w:rsid w:val="000F3620"/>
    <w:rsid w:val="00135FCD"/>
    <w:rsid w:val="0015477E"/>
    <w:rsid w:val="00156BFA"/>
    <w:rsid w:val="00156D1C"/>
    <w:rsid w:val="001943E2"/>
    <w:rsid w:val="001D54F9"/>
    <w:rsid w:val="0022451C"/>
    <w:rsid w:val="002770BF"/>
    <w:rsid w:val="002856B3"/>
    <w:rsid w:val="002E2B76"/>
    <w:rsid w:val="00326F1F"/>
    <w:rsid w:val="00330936"/>
    <w:rsid w:val="003314D5"/>
    <w:rsid w:val="00337BAB"/>
    <w:rsid w:val="00374A30"/>
    <w:rsid w:val="003B5B09"/>
    <w:rsid w:val="003B7982"/>
    <w:rsid w:val="00414249"/>
    <w:rsid w:val="00460D91"/>
    <w:rsid w:val="0047320C"/>
    <w:rsid w:val="00474056"/>
    <w:rsid w:val="0047595C"/>
    <w:rsid w:val="004A24E6"/>
    <w:rsid w:val="004A5B08"/>
    <w:rsid w:val="0050604A"/>
    <w:rsid w:val="00580113"/>
    <w:rsid w:val="005D4FCF"/>
    <w:rsid w:val="005F0FFF"/>
    <w:rsid w:val="00614636"/>
    <w:rsid w:val="00653C95"/>
    <w:rsid w:val="00684F1A"/>
    <w:rsid w:val="006B370D"/>
    <w:rsid w:val="006D0BFA"/>
    <w:rsid w:val="00707AF6"/>
    <w:rsid w:val="00765CE3"/>
    <w:rsid w:val="00795E35"/>
    <w:rsid w:val="007A7099"/>
    <w:rsid w:val="007B60EA"/>
    <w:rsid w:val="008172BB"/>
    <w:rsid w:val="00851931"/>
    <w:rsid w:val="008A3B75"/>
    <w:rsid w:val="008B234C"/>
    <w:rsid w:val="008B25B3"/>
    <w:rsid w:val="008D25D0"/>
    <w:rsid w:val="008E0D33"/>
    <w:rsid w:val="0091166A"/>
    <w:rsid w:val="00922326"/>
    <w:rsid w:val="00946C0E"/>
    <w:rsid w:val="00961140"/>
    <w:rsid w:val="0096336B"/>
    <w:rsid w:val="00984643"/>
    <w:rsid w:val="009939C6"/>
    <w:rsid w:val="009E33C8"/>
    <w:rsid w:val="00A12EBB"/>
    <w:rsid w:val="00A31700"/>
    <w:rsid w:val="00A96E1D"/>
    <w:rsid w:val="00AD173D"/>
    <w:rsid w:val="00AD52BA"/>
    <w:rsid w:val="00B215F6"/>
    <w:rsid w:val="00B52D8D"/>
    <w:rsid w:val="00B70C49"/>
    <w:rsid w:val="00B97438"/>
    <w:rsid w:val="00BC31B8"/>
    <w:rsid w:val="00C25F11"/>
    <w:rsid w:val="00C9090C"/>
    <w:rsid w:val="00C9323D"/>
    <w:rsid w:val="00CB3ADD"/>
    <w:rsid w:val="00CB55A4"/>
    <w:rsid w:val="00CC3544"/>
    <w:rsid w:val="00CC6ED6"/>
    <w:rsid w:val="00CD6125"/>
    <w:rsid w:val="00D01E6F"/>
    <w:rsid w:val="00D215E1"/>
    <w:rsid w:val="00D46799"/>
    <w:rsid w:val="00D54569"/>
    <w:rsid w:val="00D57131"/>
    <w:rsid w:val="00D723D9"/>
    <w:rsid w:val="00D902A7"/>
    <w:rsid w:val="00DF67BE"/>
    <w:rsid w:val="00E067E0"/>
    <w:rsid w:val="00E22665"/>
    <w:rsid w:val="00E26A70"/>
    <w:rsid w:val="00EA40EC"/>
    <w:rsid w:val="00EE4AD5"/>
    <w:rsid w:val="00F32266"/>
    <w:rsid w:val="00F6749F"/>
    <w:rsid w:val="00F824FC"/>
    <w:rsid w:val="00F833F9"/>
    <w:rsid w:val="00F936AF"/>
    <w:rsid w:val="00FA589A"/>
    <w:rsid w:val="00FD2503"/>
    <w:rsid w:val="00FE5897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B4875-E911-41E9-8422-2FB1DAB6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7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53C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3C95"/>
    <w:rPr>
      <w:rFonts w:ascii="Segoe UI" w:hAnsi="Segoe UI" w:cs="Segoe UI"/>
      <w:noProof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F67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67BE"/>
    <w:rPr>
      <w:noProof/>
    </w:rPr>
  </w:style>
  <w:style w:type="paragraph" w:styleId="Pta">
    <w:name w:val="footer"/>
    <w:basedOn w:val="Normlny"/>
    <w:link w:val="PtaChar"/>
    <w:uiPriority w:val="99"/>
    <w:unhideWhenUsed/>
    <w:rsid w:val="00DF67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67BE"/>
    <w:rPr>
      <w:noProof/>
    </w:rPr>
  </w:style>
  <w:style w:type="character" w:styleId="Zstupntext">
    <w:name w:val="Placeholder Text"/>
    <w:basedOn w:val="Predvolenpsmoodseku"/>
    <w:uiPriority w:val="99"/>
    <w:semiHidden/>
    <w:rsid w:val="008B25B3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6460-FA32-4735-97C0-1E484591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Preisingerová Andrea</dc:creator>
  <cp:keywords/>
  <dc:description/>
  <cp:lastModifiedBy>Rozborilová Monika</cp:lastModifiedBy>
  <cp:revision>2</cp:revision>
  <cp:lastPrinted>2019-04-05T06:04:00Z</cp:lastPrinted>
  <dcterms:created xsi:type="dcterms:W3CDTF">2019-04-17T12:59:00Z</dcterms:created>
  <dcterms:modified xsi:type="dcterms:W3CDTF">2019-04-17T12:59:00Z</dcterms:modified>
</cp:coreProperties>
</file>