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3C" w:rsidRPr="00A64D2D" w:rsidRDefault="00BC4D3C" w:rsidP="00BC4D3C">
      <w:pPr>
        <w:widowControl/>
        <w:jc w:val="center"/>
        <w:rPr>
          <w:b/>
          <w:caps/>
          <w:color w:val="000000"/>
          <w:spacing w:val="30"/>
        </w:rPr>
      </w:pPr>
      <w:r w:rsidRPr="00A64D2D">
        <w:rPr>
          <w:b/>
          <w:caps/>
          <w:color w:val="000000"/>
          <w:spacing w:val="30"/>
        </w:rPr>
        <w:t>Dôvodová správa</w:t>
      </w:r>
    </w:p>
    <w:p w:rsidR="00BC4D3C" w:rsidRPr="00A64D2D" w:rsidRDefault="00BC4D3C" w:rsidP="00BC4D3C">
      <w:pPr>
        <w:widowControl/>
        <w:jc w:val="both"/>
        <w:rPr>
          <w:color w:val="000000"/>
        </w:rPr>
      </w:pPr>
    </w:p>
    <w:p w:rsidR="00BC4D3C" w:rsidRPr="00A64D2D" w:rsidRDefault="00BC4D3C" w:rsidP="00BC4D3C">
      <w:pPr>
        <w:widowControl/>
        <w:jc w:val="both"/>
        <w:rPr>
          <w:color w:val="000000"/>
        </w:rPr>
      </w:pPr>
    </w:p>
    <w:p w:rsidR="00BC4D3C" w:rsidRPr="00F75375" w:rsidRDefault="00BC4D3C" w:rsidP="00BC4D3C">
      <w:pPr>
        <w:widowControl/>
        <w:jc w:val="both"/>
        <w:rPr>
          <w:b/>
          <w:color w:val="000000"/>
        </w:rPr>
      </w:pPr>
      <w:r w:rsidRPr="00F75375">
        <w:rPr>
          <w:b/>
          <w:color w:val="000000"/>
        </w:rPr>
        <w:t>Všeobecná časť</w:t>
      </w:r>
    </w:p>
    <w:p w:rsidR="00BC4D3C" w:rsidRPr="00F75375" w:rsidRDefault="00BC4D3C" w:rsidP="00BC4D3C">
      <w:pPr>
        <w:pStyle w:val="Odsekzoznamu"/>
        <w:widowControl/>
        <w:jc w:val="both"/>
        <w:rPr>
          <w:b/>
          <w:color w:val="000000"/>
        </w:rPr>
      </w:pPr>
    </w:p>
    <w:p w:rsidR="00BC4D3C" w:rsidRDefault="00BC4D3C" w:rsidP="00BC4D3C">
      <w:pPr>
        <w:autoSpaceDE w:val="0"/>
        <w:autoSpaceDN w:val="0"/>
        <w:jc w:val="both"/>
      </w:pPr>
      <w:r w:rsidRPr="005844CA">
        <w:rPr>
          <w:noProof/>
        </w:rPr>
        <w:t xml:space="preserve">Ministerstvo kultúry Slovenskej republiky predkladá návrh zákona, </w:t>
      </w:r>
      <w:r w:rsidRPr="005844CA">
        <w:rPr>
          <w:bCs/>
        </w:rPr>
        <w:t xml:space="preserve">ktorým sa mení </w:t>
      </w:r>
      <w:r>
        <w:rPr>
          <w:bCs/>
        </w:rPr>
        <w:t xml:space="preserve">a dopĺňa </w:t>
      </w:r>
      <w:r w:rsidRPr="005844CA">
        <w:rPr>
          <w:bCs/>
        </w:rPr>
        <w:t>zákon č. 516/2008</w:t>
      </w:r>
      <w:r>
        <w:rPr>
          <w:bCs/>
        </w:rPr>
        <w:t xml:space="preserve"> Z. z.</w:t>
      </w:r>
      <w:r w:rsidRPr="005844CA">
        <w:rPr>
          <w:bCs/>
        </w:rPr>
        <w:t xml:space="preserve"> </w:t>
      </w:r>
      <w:r w:rsidRPr="005844CA">
        <w:t>o Audiovizuálnom fonde a</w:t>
      </w:r>
      <w:r>
        <w:t xml:space="preserve"> </w:t>
      </w:r>
      <w:r w:rsidRPr="005844CA">
        <w:t>o zmene a doplnení niektorých zákonov v znení neskorších predpisov</w:t>
      </w:r>
      <w:r>
        <w:t xml:space="preserve"> </w:t>
      </w:r>
      <w:r w:rsidRPr="000639A3">
        <w:t xml:space="preserve">a ktorým sa </w:t>
      </w:r>
      <w:r w:rsidRPr="009C7973">
        <w:t>dopĺňa</w:t>
      </w:r>
      <w:r w:rsidRPr="000639A3">
        <w:t xml:space="preserve"> zákon č. 40/2015 Z. z. o audiovízii a o zmene a doplnení niektorých zákonov v znení neskorších predpisov</w:t>
      </w:r>
      <w:r>
        <w:t>.</w:t>
      </w:r>
      <w:r w:rsidRPr="005844CA">
        <w:t xml:space="preserve"> </w:t>
      </w:r>
      <w:r w:rsidRPr="000C77CE">
        <w:rPr>
          <w:noProof/>
        </w:rPr>
        <w:t>Návrh zákona sa predkladá</w:t>
      </w:r>
      <w:r>
        <w:rPr>
          <w:noProof/>
        </w:rPr>
        <w:t xml:space="preserve"> na základe Plánu legislatívnych úloh vlády na rok 2019.</w:t>
      </w:r>
    </w:p>
    <w:p w:rsidR="00BC4D3C" w:rsidRDefault="00BC4D3C" w:rsidP="00BC4D3C">
      <w:pPr>
        <w:autoSpaceDE w:val="0"/>
        <w:autoSpaceDN w:val="0"/>
        <w:jc w:val="both"/>
        <w:rPr>
          <w:noProof/>
        </w:rPr>
      </w:pPr>
    </w:p>
    <w:p w:rsidR="00BC4D3C" w:rsidRDefault="00BC4D3C" w:rsidP="00BC4D3C">
      <w:pPr>
        <w:autoSpaceDE w:val="0"/>
        <w:autoSpaceDN w:val="0"/>
        <w:jc w:val="both"/>
        <w:rPr>
          <w:noProof/>
        </w:rPr>
      </w:pPr>
      <w:r w:rsidRPr="00685B3D">
        <w:rPr>
          <w:noProof/>
        </w:rPr>
        <w:t xml:space="preserve">Cieľom návrhu zákona je zvýšiť konkurencieschopnosť systému podpory audiovizuálneho priemyslu na Slovensku a akcelerovať ekonomický nástroj stimulácie súkromných investícií </w:t>
      </w:r>
      <w:r>
        <w:rPr>
          <w:noProof/>
        </w:rPr>
        <w:br/>
      </w:r>
      <w:r w:rsidRPr="00685B3D">
        <w:rPr>
          <w:noProof/>
        </w:rPr>
        <w:t>do sektora audiovizuál</w:t>
      </w:r>
      <w:r>
        <w:rPr>
          <w:noProof/>
        </w:rPr>
        <w:t>neho priemyslu so zásadným vplyv</w:t>
      </w:r>
      <w:r w:rsidRPr="00685B3D">
        <w:rPr>
          <w:noProof/>
        </w:rPr>
        <w:t xml:space="preserve">om na rozvoj daného hospodárskeho prostredia. </w:t>
      </w:r>
    </w:p>
    <w:p w:rsidR="00BC4D3C" w:rsidRPr="00685B3D" w:rsidRDefault="00BC4D3C" w:rsidP="00BC4D3C">
      <w:pPr>
        <w:autoSpaceDE w:val="0"/>
        <w:autoSpaceDN w:val="0"/>
        <w:jc w:val="both"/>
        <w:rPr>
          <w:noProof/>
        </w:rPr>
      </w:pPr>
    </w:p>
    <w:p w:rsidR="00BC4D3C" w:rsidRDefault="00BC4D3C" w:rsidP="00BC4D3C">
      <w:pPr>
        <w:jc w:val="both"/>
      </w:pPr>
      <w:r w:rsidRPr="009C66C4">
        <w:rPr>
          <w:noProof/>
        </w:rPr>
        <w:t xml:space="preserve">Návrhom zákona sa </w:t>
      </w:r>
      <w:r>
        <w:t>zvyšuje percentuálny podiel dotácie, ktorú Audiovizuálny fond poskytuje na podporu audiovizuálneho priemyslu, z 20 % oprávnených výdavkov na 33 % oprávnených výdavkov, ktoré boli uhradené v súvislosti s realizáciou filmového projektu.</w:t>
      </w:r>
    </w:p>
    <w:p w:rsidR="00BC4D3C" w:rsidRDefault="00BC4D3C" w:rsidP="00BC4D3C">
      <w:pPr>
        <w:autoSpaceDE w:val="0"/>
        <w:autoSpaceDN w:val="0"/>
        <w:jc w:val="both"/>
      </w:pPr>
    </w:p>
    <w:p w:rsidR="00BC4D3C" w:rsidRDefault="00BC4D3C" w:rsidP="00BC4D3C">
      <w:pPr>
        <w:autoSpaceDE w:val="0"/>
        <w:autoSpaceDN w:val="0"/>
        <w:jc w:val="both"/>
        <w:rPr>
          <w:noProof/>
        </w:rPr>
      </w:pPr>
      <w:r w:rsidRPr="00BB06D6">
        <w:t xml:space="preserve">Upravuje sa </w:t>
      </w:r>
      <w:r>
        <w:t xml:space="preserve">zároveň aj </w:t>
      </w:r>
      <w:r w:rsidRPr="00BB06D6">
        <w:t>nová kompetencia</w:t>
      </w:r>
      <w:r>
        <w:t xml:space="preserve"> Audiovizuálneho</w:t>
      </w:r>
      <w:r w:rsidRPr="00BB06D6">
        <w:t xml:space="preserve"> fondu</w:t>
      </w:r>
      <w:r>
        <w:t>, ktorá mu umožní zrušiť osvedčenie o registrácii filmového projektu, ak sa po vydaní osvedčenia o registrácii projektu dodatočne preukáže, že filmový projekt nespĺňa všetky zákonom ustanovené kritériá.</w:t>
      </w:r>
    </w:p>
    <w:p w:rsidR="00BC4D3C" w:rsidRPr="00685B3D" w:rsidRDefault="00BC4D3C" w:rsidP="00BC4D3C">
      <w:pPr>
        <w:autoSpaceDE w:val="0"/>
        <w:autoSpaceDN w:val="0"/>
        <w:jc w:val="both"/>
        <w:rPr>
          <w:noProof/>
        </w:rPr>
      </w:pPr>
    </w:p>
    <w:p w:rsidR="00BC4D3C" w:rsidRDefault="00BC4D3C" w:rsidP="00BC4D3C">
      <w:pPr>
        <w:autoSpaceDE w:val="0"/>
        <w:autoSpaceDN w:val="0"/>
        <w:jc w:val="both"/>
        <w:rPr>
          <w:noProof/>
        </w:rPr>
      </w:pPr>
      <w:r w:rsidRPr="00685B3D">
        <w:rPr>
          <w:noProof/>
        </w:rPr>
        <w:t xml:space="preserve">Podpora audiovizuálneho </w:t>
      </w:r>
      <w:r>
        <w:rPr>
          <w:noProof/>
        </w:rPr>
        <w:t>priemyslu prostredníctvom tzv. vratiek je v európskych štáto</w:t>
      </w:r>
      <w:r w:rsidRPr="00685B3D">
        <w:rPr>
          <w:noProof/>
        </w:rPr>
        <w:t xml:space="preserve">ch bežnou formou podpory, ktorej úlohou je motivovať producentov, aby realizovali filmový projekt </w:t>
      </w:r>
      <w:r>
        <w:rPr>
          <w:noProof/>
        </w:rPr>
        <w:br/>
        <w:t>v konkrétnom štáte, ktorý</w:t>
      </w:r>
      <w:r w:rsidRPr="00685B3D">
        <w:rPr>
          <w:noProof/>
        </w:rPr>
        <w:t xml:space="preserve"> im po dokončení projektu spätne pre</w:t>
      </w:r>
      <w:r>
        <w:rPr>
          <w:noProof/>
        </w:rPr>
        <w:t>platí časť nákladov, ktoré v tomto štát</w:t>
      </w:r>
      <w:r w:rsidRPr="00685B3D">
        <w:rPr>
          <w:noProof/>
        </w:rPr>
        <w:t xml:space="preserve">e preinvestovali. Štáty Európskej únie majú typicky sadzbu preplácania v rozmedzí </w:t>
      </w:r>
      <w:r>
        <w:rPr>
          <w:noProof/>
        </w:rPr>
        <w:br/>
        <w:t>20-</w:t>
      </w:r>
      <w:r w:rsidRPr="00685B3D">
        <w:rPr>
          <w:noProof/>
        </w:rPr>
        <w:t>35 % tzv. oprávnených nákladov, s tendenciou ich navyšovať: napr. 35 % Rumunsko (navýšené 2018), Holandsko; 30 % Maďarsko (navýšené 2018), Estónsko, Poľsko (navýšenie na 30 % je v schvaľovacom procese); 25 % Fínsko (navýšené 2017), Island; 20 % Česko.</w:t>
      </w:r>
    </w:p>
    <w:p w:rsidR="00BC4D3C" w:rsidRDefault="00BC4D3C" w:rsidP="00BC4D3C">
      <w:pPr>
        <w:autoSpaceDE w:val="0"/>
        <w:autoSpaceDN w:val="0"/>
        <w:jc w:val="both"/>
        <w:rPr>
          <w:noProof/>
        </w:rPr>
      </w:pPr>
    </w:p>
    <w:p w:rsidR="00BC4D3C" w:rsidRDefault="00BC4D3C" w:rsidP="00BC4D3C">
      <w:pPr>
        <w:jc w:val="both"/>
        <w:rPr>
          <w:lang w:eastAsia="en-US"/>
        </w:rPr>
      </w:pPr>
      <w:r>
        <w:rPr>
          <w:lang w:eastAsia="en-US"/>
        </w:rPr>
        <w:t xml:space="preserve">Doplnenie zákona </w:t>
      </w:r>
      <w:r w:rsidRPr="000639A3">
        <w:t>č. 40/2015 Z. z. o audiovízii a o zmene a doplnení niektorých zákonov v znení neskorších predpisov</w:t>
      </w:r>
      <w:r>
        <w:rPr>
          <w:lang w:eastAsia="en-US"/>
        </w:rPr>
        <w:t xml:space="preserve"> je nevyhnutné z dôvodu rozšírenia okruhu osôb zapisujúcich sa do Zoznamu osôb pôsobiacich v audiovízii, ktorý je verejnou evidenciou vedenou Slovenským filmovým ústavom, o osoby zabezpečujúce verejné kultúrne podujatia, vzdelávacie, alebo prezentačné aktivity v oblasti audiovizuálnej kultúry a priemyslu, a to s ohľadom na komplexnosť zoznamu.</w:t>
      </w:r>
    </w:p>
    <w:p w:rsidR="00BC4D3C" w:rsidRDefault="00BC4D3C" w:rsidP="00BC4D3C">
      <w:pPr>
        <w:jc w:val="both"/>
        <w:rPr>
          <w:lang w:eastAsia="en-US"/>
        </w:rPr>
      </w:pPr>
    </w:p>
    <w:p w:rsidR="00BC4D3C" w:rsidRDefault="00BC4D3C" w:rsidP="00BC4D3C">
      <w:pPr>
        <w:jc w:val="both"/>
        <w:rPr>
          <w:lang w:eastAsia="en-US"/>
        </w:rPr>
      </w:pPr>
      <w:r>
        <w:rPr>
          <w:lang w:eastAsia="en-US"/>
        </w:rPr>
        <w:t>Uvedený Zoznam, s osobitným ohľadom na potrebu jeho komplexnosti, predstavuje významnú bázu poznania prostredia audiovizuálnej kultúry a priemyslu a subjektov, ktoré v tomto prostredí pôsobia. Jedine pri kvalitnom a pokiaľ možno čo najkomplexnejšom poznaní prostredia, pre ktoré sú určené ďalšie regulačné či podporné nástroje a opatrenia, je možné nastavovať takéto nástroje a opatrenia vhodne, účinne a s vysokou mierou predvídateľnosti. Nakoľko návrh zákona v čl. I obsahuje práve opatrenie na stimuláciu audiovizuálneho priemyslu, je rozšírenie Zoznamu synergickým krokom k dosiahnutiu vyššej efektivity navrhovaného stimulu.</w:t>
      </w:r>
    </w:p>
    <w:p w:rsidR="00BC4D3C" w:rsidRDefault="00BC4D3C" w:rsidP="00BC4D3C">
      <w:pPr>
        <w:jc w:val="both"/>
        <w:rPr>
          <w:rFonts w:ascii="Calibri" w:hAnsi="Calibri"/>
        </w:rPr>
      </w:pPr>
    </w:p>
    <w:p w:rsidR="007C08EC" w:rsidRPr="00622B97" w:rsidRDefault="007C08EC" w:rsidP="00BC4D3C">
      <w:pPr>
        <w:jc w:val="both"/>
        <w:rPr>
          <w:rFonts w:ascii="Calibri" w:hAnsi="Calibri"/>
        </w:rPr>
      </w:pPr>
    </w:p>
    <w:p w:rsidR="00BC4D3C" w:rsidRDefault="00BC4D3C" w:rsidP="00BC4D3C">
      <w:pPr>
        <w:jc w:val="both"/>
      </w:pPr>
      <w:r w:rsidRPr="00727314">
        <w:rPr>
          <w:bCs/>
          <w:color w:val="000000"/>
        </w:rPr>
        <w:lastRenderedPageBreak/>
        <w:t>Návrh zákona je v súlade s Ústavou Slovenskej republiky, ústavnými zákonmi a nálezmi ústavného súdu, zákonmi a medzinárodnými zmluvami</w:t>
      </w:r>
      <w:r>
        <w:rPr>
          <w:bCs/>
          <w:color w:val="000000"/>
        </w:rPr>
        <w:t xml:space="preserve"> a inými medzinárodnými dokumentmi</w:t>
      </w:r>
      <w:r w:rsidRPr="00727314">
        <w:rPr>
          <w:bCs/>
          <w:color w:val="000000"/>
        </w:rPr>
        <w:t xml:space="preserve">, ktorými je Slovenská republika viazaná, ako aj s právom EÚ.  </w:t>
      </w:r>
    </w:p>
    <w:p w:rsidR="00BC4D3C" w:rsidRDefault="00BC4D3C" w:rsidP="00BC4D3C">
      <w:pPr>
        <w:jc w:val="both"/>
      </w:pPr>
    </w:p>
    <w:p w:rsidR="00BC4D3C" w:rsidRPr="006948C6" w:rsidRDefault="00BC4D3C" w:rsidP="00BC4D3C">
      <w:pPr>
        <w:jc w:val="both"/>
        <w:rPr>
          <w:bCs/>
          <w:color w:val="000000"/>
        </w:rPr>
      </w:pPr>
      <w:r w:rsidRPr="00727314">
        <w:rPr>
          <w:bCs/>
          <w:color w:val="000000"/>
        </w:rPr>
        <w:t xml:space="preserve">Predkladaný návrh zákona má </w:t>
      </w:r>
      <w:r>
        <w:rPr>
          <w:bCs/>
          <w:color w:val="000000"/>
        </w:rPr>
        <w:t xml:space="preserve">negatívny vplyv na rozpočet verejnej správy, pozitívny vplyv </w:t>
      </w:r>
      <w:r>
        <w:rPr>
          <w:bCs/>
          <w:color w:val="000000"/>
        </w:rPr>
        <w:br/>
        <w:t xml:space="preserve">na podnikateľské prostredie a nemá žiadne sociálne vplyvy, </w:t>
      </w:r>
      <w:r w:rsidRPr="00727314">
        <w:rPr>
          <w:bCs/>
          <w:color w:val="000000"/>
        </w:rPr>
        <w:t xml:space="preserve">žiadny </w:t>
      </w:r>
      <w:r>
        <w:rPr>
          <w:bCs/>
          <w:color w:val="000000"/>
        </w:rPr>
        <w:t xml:space="preserve">vplyv na životné prostredie, </w:t>
      </w:r>
      <w:r w:rsidRPr="00727314">
        <w:rPr>
          <w:bCs/>
          <w:color w:val="000000"/>
        </w:rPr>
        <w:t>na informatizáciu spoločnosti</w:t>
      </w:r>
      <w:r>
        <w:rPr>
          <w:bCs/>
          <w:color w:val="000000"/>
        </w:rPr>
        <w:t xml:space="preserve"> ani na služby verejnej správy pre občana</w:t>
      </w:r>
      <w:r w:rsidRPr="00727314">
        <w:rPr>
          <w:bCs/>
          <w:color w:val="000000"/>
        </w:rPr>
        <w:t>.</w:t>
      </w:r>
    </w:p>
    <w:p w:rsidR="00BC4D3C" w:rsidRDefault="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Pr="00BC4D3C" w:rsidRDefault="00BC4D3C" w:rsidP="00BC4D3C"/>
    <w:p w:rsidR="00BC4D3C" w:rsidRDefault="00BC4D3C" w:rsidP="00BC4D3C"/>
    <w:p w:rsidR="00504901" w:rsidRDefault="00504901"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BC4D3C" w:rsidRDefault="00BC4D3C" w:rsidP="00BC4D3C"/>
    <w:p w:rsidR="007C08EC" w:rsidRDefault="007C08EC" w:rsidP="00BC4D3C"/>
    <w:p w:rsidR="00BC4D3C" w:rsidRDefault="00BC4D3C" w:rsidP="00BC4D3C"/>
    <w:p w:rsidR="00BC4D3C" w:rsidRPr="00A179AE" w:rsidRDefault="00BC4D3C" w:rsidP="00BC4D3C">
      <w:pPr>
        <w:jc w:val="center"/>
        <w:rPr>
          <w:b/>
          <w:bCs/>
          <w:sz w:val="28"/>
          <w:szCs w:val="28"/>
        </w:rPr>
      </w:pPr>
      <w:r>
        <w:rPr>
          <w:b/>
          <w:bCs/>
          <w:sz w:val="28"/>
          <w:szCs w:val="28"/>
        </w:rPr>
        <w:lastRenderedPageBreak/>
        <w:t>Doložka vybraných vplyvov</w:t>
      </w:r>
    </w:p>
    <w:p w:rsidR="00BC4D3C" w:rsidRPr="00BF3078" w:rsidRDefault="00BC4D3C" w:rsidP="00BC4D3C">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BC4D3C" w:rsidRPr="00A179AE" w:rsidTr="00BC4D3C">
        <w:tc>
          <w:tcPr>
            <w:tcW w:w="9180" w:type="dxa"/>
            <w:gridSpan w:val="10"/>
            <w:tcBorders>
              <w:bottom w:val="single" w:sz="4" w:space="0" w:color="FFFFFF" w:themeColor="background1"/>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t>Základné údaje</w:t>
            </w:r>
          </w:p>
        </w:tc>
      </w:tr>
      <w:tr w:rsidR="00BC4D3C" w:rsidRPr="00A179AE" w:rsidTr="00BC4D3C">
        <w:tc>
          <w:tcPr>
            <w:tcW w:w="9180" w:type="dxa"/>
            <w:gridSpan w:val="10"/>
            <w:tcBorders>
              <w:bottom w:val="single" w:sz="4" w:space="0" w:color="FFFFFF" w:themeColor="background1"/>
            </w:tcBorders>
            <w:shd w:val="clear" w:color="auto" w:fill="E2E2E2"/>
          </w:tcPr>
          <w:p w:rsidR="00BC4D3C" w:rsidRPr="00A179AE" w:rsidRDefault="00BC4D3C" w:rsidP="00BC4D3C">
            <w:pPr>
              <w:pStyle w:val="Odsekzoznamu"/>
              <w:ind w:left="142"/>
              <w:rPr>
                <w:b/>
              </w:rPr>
            </w:pPr>
            <w:r w:rsidRPr="00A179AE">
              <w:rPr>
                <w:b/>
              </w:rPr>
              <w:t>Názov materiálu</w:t>
            </w:r>
          </w:p>
        </w:tc>
      </w:tr>
      <w:tr w:rsidR="00BC4D3C" w:rsidRPr="00A179AE" w:rsidTr="00BC4D3C">
        <w:tc>
          <w:tcPr>
            <w:tcW w:w="9180" w:type="dxa"/>
            <w:gridSpan w:val="10"/>
            <w:tcBorders>
              <w:top w:val="single" w:sz="4" w:space="0" w:color="FFFFFF" w:themeColor="background1"/>
            </w:tcBorders>
          </w:tcPr>
          <w:p w:rsidR="00BC4D3C" w:rsidRPr="00A179AE" w:rsidRDefault="00BC4D3C" w:rsidP="00BC4D3C"/>
          <w:p w:rsidR="00BC4D3C" w:rsidRPr="00C337AD" w:rsidRDefault="00BC4D3C" w:rsidP="00BC4D3C">
            <w:pPr>
              <w:autoSpaceDE w:val="0"/>
              <w:autoSpaceDN w:val="0"/>
              <w:jc w:val="both"/>
              <w:rPr>
                <w:bCs/>
              </w:rPr>
            </w:pPr>
            <w:r w:rsidRPr="00D05FE4">
              <w:rPr>
                <w:noProof/>
              </w:rPr>
              <w:t xml:space="preserve">Návrh zákona, </w:t>
            </w:r>
            <w:r w:rsidRPr="00D05FE4">
              <w:rPr>
                <w:bCs/>
              </w:rPr>
              <w:t xml:space="preserve">ktorým sa mení </w:t>
            </w:r>
            <w:r>
              <w:rPr>
                <w:bCs/>
              </w:rPr>
              <w:t xml:space="preserve">a dopĺňa </w:t>
            </w:r>
            <w:r w:rsidRPr="00D05FE4">
              <w:rPr>
                <w:bCs/>
              </w:rPr>
              <w:t xml:space="preserve">zákon č. </w:t>
            </w:r>
            <w:r>
              <w:rPr>
                <w:bCs/>
              </w:rPr>
              <w:t xml:space="preserve">516/2008 Z. z. </w:t>
            </w:r>
            <w:r w:rsidRPr="00D05FE4">
              <w:t xml:space="preserve">o Audiovizuálnom fonde a o zmene a doplnení niektorých zákonov v znení neskorších predpisov </w:t>
            </w:r>
            <w:r w:rsidRPr="000639A3">
              <w:t xml:space="preserve">a ktorým sa </w:t>
            </w:r>
            <w:r w:rsidRPr="009C7973">
              <w:t>dopĺňa</w:t>
            </w:r>
            <w:r w:rsidRPr="000639A3">
              <w:t xml:space="preserve"> zákon č. 40/2015 Z. z. o audiovízii a o zmene a doplnení niektorých zákonov v znení neskorších predpisov</w:t>
            </w:r>
          </w:p>
          <w:p w:rsidR="00BC4D3C" w:rsidRPr="00A179AE" w:rsidRDefault="00BC4D3C" w:rsidP="00BC4D3C"/>
        </w:tc>
      </w:tr>
      <w:tr w:rsidR="00BC4D3C" w:rsidRPr="00A179AE" w:rsidTr="00BC4D3C">
        <w:tc>
          <w:tcPr>
            <w:tcW w:w="9180" w:type="dxa"/>
            <w:gridSpan w:val="10"/>
            <w:tcBorders>
              <w:bottom w:val="single" w:sz="4" w:space="0" w:color="FFFFFF" w:themeColor="background1"/>
            </w:tcBorders>
            <w:shd w:val="clear" w:color="auto" w:fill="E2E2E2"/>
          </w:tcPr>
          <w:p w:rsidR="00BC4D3C" w:rsidRPr="00A179AE" w:rsidRDefault="00BC4D3C" w:rsidP="00BC4D3C">
            <w:pPr>
              <w:pStyle w:val="Odsekzoznamu"/>
              <w:ind w:left="142"/>
              <w:rPr>
                <w:b/>
              </w:rPr>
            </w:pPr>
            <w:r w:rsidRPr="00A179AE">
              <w:rPr>
                <w:b/>
              </w:rPr>
              <w:t>Predkladateľ (a spolupredkladateľ)</w:t>
            </w:r>
          </w:p>
        </w:tc>
      </w:tr>
      <w:tr w:rsidR="00BC4D3C" w:rsidRPr="00A179AE" w:rsidTr="00BC4D3C">
        <w:tc>
          <w:tcPr>
            <w:tcW w:w="9180" w:type="dxa"/>
            <w:gridSpan w:val="10"/>
            <w:tcBorders>
              <w:top w:val="single" w:sz="4" w:space="0" w:color="FFFFFF" w:themeColor="background1"/>
            </w:tcBorders>
            <w:shd w:val="clear" w:color="auto" w:fill="FFFFFF" w:themeFill="background1"/>
          </w:tcPr>
          <w:p w:rsidR="00BC4D3C" w:rsidRPr="00A179AE" w:rsidRDefault="00BC4D3C" w:rsidP="00BC4D3C"/>
          <w:p w:rsidR="00BC4D3C" w:rsidRPr="00A179AE" w:rsidRDefault="00BC4D3C" w:rsidP="00BC4D3C">
            <w:r>
              <w:t>Ministerstvo kultúry Slovenskej republiky</w:t>
            </w:r>
          </w:p>
        </w:tc>
      </w:tr>
      <w:tr w:rsidR="00BC4D3C" w:rsidRPr="00A179AE" w:rsidTr="00BC4D3C">
        <w:tc>
          <w:tcPr>
            <w:tcW w:w="4212" w:type="dxa"/>
            <w:gridSpan w:val="2"/>
            <w:vMerge w:val="restart"/>
            <w:tcBorders>
              <w:bottom w:val="single" w:sz="4" w:space="0" w:color="FFFFFF" w:themeColor="background1"/>
            </w:tcBorders>
            <w:shd w:val="clear" w:color="auto" w:fill="E2E2E2"/>
            <w:vAlign w:val="center"/>
          </w:tcPr>
          <w:p w:rsidR="00BC4D3C" w:rsidRPr="00A179AE" w:rsidRDefault="00BC4D3C" w:rsidP="00BC4D3C">
            <w:pPr>
              <w:pStyle w:val="Odsekzoznamu"/>
              <w:ind w:left="142"/>
              <w:rPr>
                <w:b/>
              </w:rPr>
            </w:pPr>
            <w:r w:rsidRPr="00A179AE">
              <w:rPr>
                <w:b/>
              </w:rPr>
              <w:t>Charakter predkladaného materiálu</w:t>
            </w:r>
          </w:p>
        </w:tc>
        <w:tc>
          <w:tcPr>
            <w:tcW w:w="705" w:type="dxa"/>
            <w:gridSpan w:val="2"/>
            <w:tcBorders>
              <w:right w:val="nil"/>
            </w:tcBorders>
            <w:shd w:val="clear" w:color="auto" w:fill="FFFFFF" w:themeFill="background1"/>
          </w:tcPr>
          <w:p w:rsidR="00BC4D3C" w:rsidRPr="00A179AE" w:rsidRDefault="00BC4D3C" w:rsidP="00BC4D3C">
            <w:pPr>
              <w:jc w:val="center"/>
            </w:pPr>
            <w:r w:rsidRPr="00A179AE">
              <w:rPr>
                <w:rFonts w:ascii="MS Mincho" w:eastAsia="MS Mincho" w:hAnsi="MS Mincho" w:cs="MS Mincho" w:hint="eastAsia"/>
              </w:rPr>
              <w:t>☐</w:t>
            </w:r>
          </w:p>
        </w:tc>
        <w:tc>
          <w:tcPr>
            <w:tcW w:w="4263" w:type="dxa"/>
            <w:gridSpan w:val="6"/>
            <w:tcBorders>
              <w:left w:val="nil"/>
            </w:tcBorders>
            <w:shd w:val="clear" w:color="auto" w:fill="FFFFFF" w:themeFill="background1"/>
          </w:tcPr>
          <w:p w:rsidR="00BC4D3C" w:rsidRPr="00A179AE" w:rsidRDefault="00BC4D3C" w:rsidP="00BC4D3C">
            <w:r w:rsidRPr="00A179AE">
              <w:t>Materiál nelegislatívnej povahy</w:t>
            </w:r>
          </w:p>
        </w:tc>
      </w:tr>
      <w:tr w:rsidR="00BC4D3C" w:rsidRPr="00A179AE" w:rsidTr="00BC4D3C">
        <w:tc>
          <w:tcPr>
            <w:tcW w:w="4212" w:type="dxa"/>
            <w:gridSpan w:val="2"/>
            <w:vMerge/>
            <w:tcBorders>
              <w:top w:val="nil"/>
              <w:bottom w:val="single" w:sz="4" w:space="0" w:color="FFFFFF" w:themeColor="background1"/>
            </w:tcBorders>
            <w:shd w:val="clear" w:color="auto" w:fill="E2E2E2"/>
          </w:tcPr>
          <w:p w:rsidR="00BC4D3C" w:rsidRPr="00A179AE" w:rsidRDefault="00BC4D3C" w:rsidP="00BC4D3C"/>
        </w:tc>
        <w:tc>
          <w:tcPr>
            <w:tcW w:w="705" w:type="dxa"/>
            <w:gridSpan w:val="2"/>
            <w:tcBorders>
              <w:right w:val="nil"/>
            </w:tcBorders>
            <w:shd w:val="clear" w:color="auto" w:fill="FFFFFF" w:themeFill="background1"/>
          </w:tcPr>
          <w:p w:rsidR="00BC4D3C" w:rsidRPr="00A179AE" w:rsidRDefault="00BC4D3C" w:rsidP="00BC4D3C">
            <w:pPr>
              <w:jc w:val="center"/>
            </w:pPr>
            <w:r>
              <w:rPr>
                <w:rFonts w:ascii="MS Gothic" w:eastAsia="MS Gothic" w:hAnsi="MS Gothic" w:hint="eastAsia"/>
              </w:rPr>
              <w:t>☒</w:t>
            </w:r>
          </w:p>
        </w:tc>
        <w:tc>
          <w:tcPr>
            <w:tcW w:w="4263" w:type="dxa"/>
            <w:gridSpan w:val="6"/>
            <w:tcBorders>
              <w:left w:val="nil"/>
            </w:tcBorders>
            <w:shd w:val="clear" w:color="auto" w:fill="FFFFFF" w:themeFill="background1"/>
          </w:tcPr>
          <w:p w:rsidR="00BC4D3C" w:rsidRPr="00A179AE" w:rsidRDefault="00BC4D3C" w:rsidP="00BC4D3C">
            <w:pPr>
              <w:ind w:left="175" w:hanging="175"/>
            </w:pPr>
            <w:r w:rsidRPr="00A179AE">
              <w:t>Materiál legislatívnej povahy</w:t>
            </w:r>
          </w:p>
        </w:tc>
      </w:tr>
      <w:tr w:rsidR="00BC4D3C" w:rsidRPr="00A179AE" w:rsidTr="00BC4D3C">
        <w:tc>
          <w:tcPr>
            <w:tcW w:w="4212" w:type="dxa"/>
            <w:gridSpan w:val="2"/>
            <w:vMerge/>
            <w:tcBorders>
              <w:top w:val="nil"/>
            </w:tcBorders>
            <w:shd w:val="clear" w:color="auto" w:fill="E2E2E2"/>
          </w:tcPr>
          <w:p w:rsidR="00BC4D3C" w:rsidRPr="00A179AE" w:rsidRDefault="00BC4D3C" w:rsidP="00BC4D3C"/>
        </w:tc>
        <w:tc>
          <w:tcPr>
            <w:tcW w:w="705" w:type="dxa"/>
            <w:gridSpan w:val="2"/>
            <w:tcBorders>
              <w:right w:val="nil"/>
            </w:tcBorders>
            <w:shd w:val="clear" w:color="auto" w:fill="FFFFFF" w:themeFill="background1"/>
          </w:tcPr>
          <w:p w:rsidR="00BC4D3C" w:rsidRPr="00A179AE" w:rsidRDefault="00BC4D3C" w:rsidP="00BC4D3C">
            <w:pPr>
              <w:jc w:val="center"/>
            </w:pPr>
            <w:r w:rsidRPr="00A179AE">
              <w:rPr>
                <w:rFonts w:ascii="MS Mincho" w:eastAsia="MS Mincho" w:hAnsi="MS Mincho" w:cs="MS Mincho" w:hint="eastAsia"/>
              </w:rPr>
              <w:t>☐</w:t>
            </w:r>
          </w:p>
        </w:tc>
        <w:tc>
          <w:tcPr>
            <w:tcW w:w="4263" w:type="dxa"/>
            <w:gridSpan w:val="6"/>
            <w:tcBorders>
              <w:left w:val="nil"/>
            </w:tcBorders>
            <w:shd w:val="clear" w:color="auto" w:fill="FFFFFF" w:themeFill="background1"/>
          </w:tcPr>
          <w:p w:rsidR="00BC4D3C" w:rsidRPr="00A179AE" w:rsidRDefault="00BC4D3C" w:rsidP="00BC4D3C">
            <w:r w:rsidRPr="00A179AE">
              <w:t>Transpozícia práva EÚ</w:t>
            </w:r>
          </w:p>
        </w:tc>
      </w:tr>
      <w:tr w:rsidR="00BC4D3C" w:rsidRPr="00A179AE" w:rsidTr="00BC4D3C">
        <w:tc>
          <w:tcPr>
            <w:tcW w:w="9180" w:type="dxa"/>
            <w:gridSpan w:val="10"/>
            <w:tcBorders>
              <w:bottom w:val="single" w:sz="4" w:space="0" w:color="FFFFFF" w:themeColor="background1"/>
            </w:tcBorders>
            <w:shd w:val="clear" w:color="auto" w:fill="FFFFFF" w:themeFill="background1"/>
          </w:tcPr>
          <w:p w:rsidR="00BC4D3C" w:rsidRPr="00A179AE" w:rsidRDefault="00BC4D3C" w:rsidP="00BC4D3C">
            <w:pPr>
              <w:rPr>
                <w:i/>
              </w:rPr>
            </w:pPr>
            <w:r w:rsidRPr="00A179AE">
              <w:rPr>
                <w:i/>
              </w:rPr>
              <w:t>V prípade transpozície uveďte zoznam transponovaných predpisov:</w:t>
            </w:r>
          </w:p>
          <w:p w:rsidR="00BC4D3C" w:rsidRPr="00A179AE" w:rsidRDefault="00BC4D3C" w:rsidP="00BC4D3C"/>
          <w:p w:rsidR="00BC4D3C" w:rsidRPr="00A179AE" w:rsidRDefault="00BC4D3C" w:rsidP="00BC4D3C"/>
        </w:tc>
      </w:tr>
      <w:tr w:rsidR="00BC4D3C" w:rsidRPr="00A179AE" w:rsidTr="00BC4D3C">
        <w:tc>
          <w:tcPr>
            <w:tcW w:w="5634" w:type="dxa"/>
            <w:gridSpan w:val="5"/>
            <w:tcBorders>
              <w:top w:val="single" w:sz="4" w:space="0" w:color="000000" w:themeColor="text1"/>
              <w:bottom w:val="single" w:sz="4" w:space="0" w:color="FFFFFF" w:themeColor="background1"/>
            </w:tcBorders>
            <w:shd w:val="clear" w:color="auto" w:fill="E2E2E2"/>
          </w:tcPr>
          <w:p w:rsidR="00BC4D3C" w:rsidRPr="00A179AE" w:rsidRDefault="00BC4D3C" w:rsidP="00BC4D3C">
            <w:pPr>
              <w:pStyle w:val="Odsekzoznamu"/>
              <w:ind w:left="142"/>
              <w:rPr>
                <w:b/>
              </w:rPr>
            </w:pPr>
            <w:r w:rsidRPr="00A179AE">
              <w:rPr>
                <w:b/>
              </w:rPr>
              <w:t>Termín začiatku a ukončenia PPK</w:t>
            </w:r>
          </w:p>
        </w:tc>
        <w:tc>
          <w:tcPr>
            <w:tcW w:w="3546" w:type="dxa"/>
            <w:gridSpan w:val="5"/>
            <w:tcBorders>
              <w:top w:val="single" w:sz="4" w:space="0" w:color="000000" w:themeColor="text1"/>
            </w:tcBorders>
          </w:tcPr>
          <w:p w:rsidR="00BC4D3C" w:rsidRPr="00D93857" w:rsidRDefault="00BC4D3C" w:rsidP="00BC4D3C">
            <w:r>
              <w:t>19. december 2018 – 8. január 2019</w:t>
            </w:r>
          </w:p>
        </w:tc>
      </w:tr>
      <w:tr w:rsidR="00BC4D3C" w:rsidRPr="00A179AE" w:rsidTr="00BC4D3C">
        <w:tc>
          <w:tcPr>
            <w:tcW w:w="5634" w:type="dxa"/>
            <w:gridSpan w:val="5"/>
            <w:tcBorders>
              <w:bottom w:val="single" w:sz="4" w:space="0" w:color="FFFFFF" w:themeColor="background1"/>
            </w:tcBorders>
            <w:shd w:val="clear" w:color="auto" w:fill="E2E2E2"/>
          </w:tcPr>
          <w:p w:rsidR="00BC4D3C" w:rsidRPr="00A179AE" w:rsidRDefault="00BC4D3C" w:rsidP="00BC4D3C">
            <w:pPr>
              <w:pStyle w:val="Odsekzoznamu"/>
              <w:ind w:left="142"/>
              <w:rPr>
                <w:b/>
              </w:rPr>
            </w:pPr>
            <w:r w:rsidRPr="00A179AE">
              <w:rPr>
                <w:b/>
              </w:rPr>
              <w:t>Predpokladaný termín predloženia na MPK</w:t>
            </w:r>
            <w:r>
              <w:rPr>
                <w:b/>
              </w:rPr>
              <w:t>*</w:t>
            </w:r>
          </w:p>
        </w:tc>
        <w:tc>
          <w:tcPr>
            <w:tcW w:w="3546" w:type="dxa"/>
            <w:gridSpan w:val="5"/>
          </w:tcPr>
          <w:p w:rsidR="00BC4D3C" w:rsidRPr="00D93857" w:rsidRDefault="00BC4D3C" w:rsidP="00BC4D3C">
            <w:r>
              <w:t>j</w:t>
            </w:r>
            <w:r w:rsidRPr="00D93857">
              <w:t>anuár 2019</w:t>
            </w:r>
          </w:p>
        </w:tc>
      </w:tr>
      <w:tr w:rsidR="00BC4D3C" w:rsidRPr="00A179AE" w:rsidTr="00BC4D3C">
        <w:tc>
          <w:tcPr>
            <w:tcW w:w="5634" w:type="dxa"/>
            <w:gridSpan w:val="5"/>
            <w:tcBorders>
              <w:bottom w:val="single" w:sz="4" w:space="0" w:color="FFFFFF" w:themeColor="background1"/>
            </w:tcBorders>
            <w:shd w:val="clear" w:color="auto" w:fill="E2E2E2"/>
          </w:tcPr>
          <w:p w:rsidR="00BC4D3C" w:rsidRPr="00A179AE" w:rsidRDefault="00BC4D3C" w:rsidP="00BC4D3C">
            <w:pPr>
              <w:pStyle w:val="Odsekzoznamu"/>
              <w:ind w:left="142"/>
              <w:rPr>
                <w:b/>
              </w:rPr>
            </w:pPr>
            <w:r w:rsidRPr="00A179AE">
              <w:rPr>
                <w:b/>
              </w:rPr>
              <w:t>Predpokladaný termín predloženia na Rokovanie vlády SR</w:t>
            </w:r>
            <w:r>
              <w:rPr>
                <w:b/>
              </w:rPr>
              <w:t>*</w:t>
            </w:r>
          </w:p>
        </w:tc>
        <w:tc>
          <w:tcPr>
            <w:tcW w:w="3546" w:type="dxa"/>
            <w:gridSpan w:val="5"/>
          </w:tcPr>
          <w:p w:rsidR="00BC4D3C" w:rsidRPr="00D93857" w:rsidRDefault="00BC4D3C" w:rsidP="00BC4D3C">
            <w:r>
              <w:t>apríl</w:t>
            </w:r>
            <w:r w:rsidRPr="00D93857">
              <w:t xml:space="preserve"> 2019</w:t>
            </w:r>
          </w:p>
        </w:tc>
      </w:tr>
      <w:tr w:rsidR="00BC4D3C" w:rsidRPr="00A179AE" w:rsidTr="00BC4D3C">
        <w:tc>
          <w:tcPr>
            <w:tcW w:w="9180" w:type="dxa"/>
            <w:gridSpan w:val="10"/>
            <w:tcBorders>
              <w:left w:val="nil"/>
              <w:right w:val="nil"/>
            </w:tcBorders>
            <w:shd w:val="clear" w:color="auto" w:fill="FFFFFF" w:themeFill="background1"/>
          </w:tcPr>
          <w:p w:rsidR="00BC4D3C" w:rsidRPr="00A179AE" w:rsidRDefault="00BC4D3C" w:rsidP="00BC4D3C"/>
        </w:tc>
      </w:tr>
      <w:tr w:rsidR="00BC4D3C" w:rsidRPr="00A179AE" w:rsidTr="00BC4D3C">
        <w:tc>
          <w:tcPr>
            <w:tcW w:w="9180" w:type="dxa"/>
            <w:gridSpan w:val="10"/>
            <w:tcBorders>
              <w:bottom w:val="single" w:sz="4" w:space="0" w:color="FFFFFF" w:themeColor="background1"/>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t>Defin</w:t>
            </w:r>
            <w:r>
              <w:rPr>
                <w:b/>
              </w:rPr>
              <w:t>ovanie</w:t>
            </w:r>
            <w:r w:rsidRPr="00A179AE">
              <w:rPr>
                <w:b/>
              </w:rPr>
              <w:t xml:space="preserve"> problému</w:t>
            </w:r>
          </w:p>
        </w:tc>
      </w:tr>
      <w:tr w:rsidR="00BC4D3C" w:rsidRPr="00A179AE" w:rsidTr="00BC4D3C">
        <w:trPr>
          <w:trHeight w:val="718"/>
        </w:trPr>
        <w:tc>
          <w:tcPr>
            <w:tcW w:w="9180" w:type="dxa"/>
            <w:gridSpan w:val="10"/>
            <w:tcBorders>
              <w:top w:val="single" w:sz="4" w:space="0" w:color="FFFFFF" w:themeColor="background1"/>
            </w:tcBorders>
            <w:shd w:val="clear" w:color="auto" w:fill="FFFFFF" w:themeFill="background1"/>
          </w:tcPr>
          <w:p w:rsidR="00BC4D3C" w:rsidRPr="00A179AE" w:rsidRDefault="00BC4D3C" w:rsidP="00BC4D3C">
            <w:pPr>
              <w:rPr>
                <w:i/>
              </w:rPr>
            </w:pPr>
            <w:r w:rsidRPr="00A179AE">
              <w:rPr>
                <w:i/>
              </w:rPr>
              <w:t>Uveďte základné problémy, na ktoré navrhovaná regulácia reaguje.</w:t>
            </w:r>
          </w:p>
          <w:p w:rsidR="00BC4D3C" w:rsidRDefault="00BC4D3C" w:rsidP="00BC4D3C">
            <w:pPr>
              <w:autoSpaceDE w:val="0"/>
              <w:autoSpaceDN w:val="0"/>
              <w:jc w:val="both"/>
              <w:rPr>
                <w:noProof/>
              </w:rPr>
            </w:pPr>
          </w:p>
          <w:p w:rsidR="00BC4D3C" w:rsidRDefault="00BC4D3C" w:rsidP="00BC4D3C">
            <w:pPr>
              <w:autoSpaceDE w:val="0"/>
              <w:autoSpaceDN w:val="0"/>
              <w:jc w:val="both"/>
              <w:rPr>
                <w:noProof/>
              </w:rPr>
            </w:pPr>
            <w:r>
              <w:rPr>
                <w:noProof/>
              </w:rPr>
              <w:t>Systém p</w:t>
            </w:r>
            <w:r w:rsidRPr="00685B3D">
              <w:rPr>
                <w:noProof/>
              </w:rPr>
              <w:t>odpory audiovizuálneho priemyslu</w:t>
            </w:r>
            <w:r>
              <w:rPr>
                <w:noProof/>
              </w:rPr>
              <w:t xml:space="preserve"> </w:t>
            </w:r>
            <w:r w:rsidRPr="00685B3D">
              <w:rPr>
                <w:noProof/>
              </w:rPr>
              <w:t>na Slovensku</w:t>
            </w:r>
            <w:r>
              <w:rPr>
                <w:noProof/>
              </w:rPr>
              <w:t xml:space="preserve"> je na spodnej hranici oproti iným krajinám EÚ, čím nie je dostatočne konkurencieschopný. Od roku 2015 poskytuje Audiovizuálny fond (ďalej len „fond“) dotáciu na 20 % oprávnených výdavkov pri realizácii filmového projektu, teda výdavkov realizovaných na území Slovenska. V niektorých iných krajinách EÚ sú tieto dotácie nastavené na 30 % (Maďarsko) či až 35 % (Rumunsko), pričom v niektorých sú 20 % rovnako ako u nás (Česká republika).  </w:t>
            </w:r>
          </w:p>
          <w:p w:rsidR="00BC4D3C" w:rsidRDefault="00BC4D3C" w:rsidP="00BC4D3C">
            <w:pPr>
              <w:autoSpaceDE w:val="0"/>
              <w:autoSpaceDN w:val="0"/>
              <w:jc w:val="both"/>
              <w:rPr>
                <w:noProof/>
              </w:rPr>
            </w:pPr>
            <w:r>
              <w:rPr>
                <w:noProof/>
              </w:rPr>
              <w:t xml:space="preserve">V Slovenskej republike bola za rok 2017 vyplatená z tejto podpornej schémy suma iba 160 000 eur na 1 filmový projekt, v roku 2016 suma 426 228 eur na 2 filmové projekty. </w:t>
            </w:r>
          </w:p>
          <w:p w:rsidR="00BC4D3C" w:rsidRDefault="00BC4D3C" w:rsidP="00BC4D3C">
            <w:pPr>
              <w:autoSpaceDE w:val="0"/>
              <w:autoSpaceDN w:val="0"/>
              <w:jc w:val="both"/>
              <w:rPr>
                <w:noProof/>
              </w:rPr>
            </w:pPr>
            <w:r>
              <w:rPr>
                <w:noProof/>
              </w:rPr>
              <w:t xml:space="preserve">V Českej republike bolo už v roku 2013 vrátených 19 mil. eur vratiek na filmy realizované na území štátu, s rastúcim trendom v nasledovných rokoch. </w:t>
            </w:r>
          </w:p>
          <w:p w:rsidR="00BC4D3C" w:rsidRDefault="00BC4D3C" w:rsidP="00BC4D3C">
            <w:pPr>
              <w:autoSpaceDE w:val="0"/>
              <w:autoSpaceDN w:val="0"/>
              <w:jc w:val="both"/>
              <w:rPr>
                <w:noProof/>
              </w:rPr>
            </w:pPr>
            <w:r>
              <w:rPr>
                <w:noProof/>
              </w:rPr>
              <w:t>A</w:t>
            </w:r>
            <w:r w:rsidRPr="00685B3D">
              <w:rPr>
                <w:noProof/>
              </w:rPr>
              <w:t>kceler</w:t>
            </w:r>
            <w:r>
              <w:rPr>
                <w:noProof/>
              </w:rPr>
              <w:t>ácia</w:t>
            </w:r>
            <w:r w:rsidRPr="00685B3D">
              <w:rPr>
                <w:noProof/>
              </w:rPr>
              <w:t xml:space="preserve"> ekonomick</w:t>
            </w:r>
            <w:r>
              <w:rPr>
                <w:noProof/>
              </w:rPr>
              <w:t>ého</w:t>
            </w:r>
            <w:r w:rsidRPr="00685B3D">
              <w:rPr>
                <w:noProof/>
              </w:rPr>
              <w:t xml:space="preserve"> nástroj</w:t>
            </w:r>
            <w:r>
              <w:rPr>
                <w:noProof/>
              </w:rPr>
              <w:t>a</w:t>
            </w:r>
            <w:r w:rsidRPr="00685B3D">
              <w:rPr>
                <w:noProof/>
              </w:rPr>
              <w:t xml:space="preserve"> stimulácie súkromných investícií do sektora audiovizuálneho priemyslu</w:t>
            </w:r>
            <w:r>
              <w:rPr>
                <w:noProof/>
              </w:rPr>
              <w:t xml:space="preserve"> v Slovenskej republike</w:t>
            </w:r>
            <w:r w:rsidRPr="00685B3D">
              <w:rPr>
                <w:noProof/>
              </w:rPr>
              <w:t xml:space="preserve"> </w:t>
            </w:r>
            <w:r>
              <w:rPr>
                <w:noProof/>
              </w:rPr>
              <w:t>môže mať zásadný vplyv</w:t>
            </w:r>
            <w:r w:rsidRPr="00685B3D">
              <w:rPr>
                <w:noProof/>
              </w:rPr>
              <w:t xml:space="preserve"> na rozvoj daného hospodárskeho prostredia. </w:t>
            </w:r>
          </w:p>
          <w:p w:rsidR="00BC4D3C" w:rsidRPr="00E42BDD" w:rsidRDefault="00BC4D3C" w:rsidP="00BC4D3C">
            <w:pPr>
              <w:autoSpaceDE w:val="0"/>
              <w:autoSpaceDN w:val="0"/>
              <w:jc w:val="both"/>
              <w:rPr>
                <w:noProof/>
              </w:rPr>
            </w:pPr>
          </w:p>
        </w:tc>
      </w:tr>
      <w:tr w:rsidR="00BC4D3C" w:rsidRPr="00A179AE" w:rsidTr="00BC4D3C">
        <w:tc>
          <w:tcPr>
            <w:tcW w:w="9180" w:type="dxa"/>
            <w:gridSpan w:val="10"/>
            <w:tcBorders>
              <w:bottom w:val="nil"/>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t>Ciele a výsledný stav</w:t>
            </w:r>
          </w:p>
        </w:tc>
      </w:tr>
      <w:tr w:rsidR="00BC4D3C" w:rsidRPr="00A179AE" w:rsidTr="00BC4D3C">
        <w:trPr>
          <w:trHeight w:val="741"/>
        </w:trPr>
        <w:tc>
          <w:tcPr>
            <w:tcW w:w="9180" w:type="dxa"/>
            <w:gridSpan w:val="10"/>
            <w:tcBorders>
              <w:top w:val="nil"/>
            </w:tcBorders>
            <w:shd w:val="clear" w:color="auto" w:fill="FFFFFF" w:themeFill="background1"/>
          </w:tcPr>
          <w:p w:rsidR="00BC4D3C" w:rsidRPr="00A179AE" w:rsidRDefault="00BC4D3C" w:rsidP="00BC4D3C">
            <w:pPr>
              <w:rPr>
                <w:i/>
              </w:rPr>
            </w:pPr>
            <w:r w:rsidRPr="00A179AE">
              <w:rPr>
                <w:i/>
              </w:rPr>
              <w:t>Uveďte hlavné ciele navrhovaného predpisu (aký výsledný stav chcete reguláciou dosiahnuť).</w:t>
            </w:r>
          </w:p>
          <w:p w:rsidR="00BC4D3C" w:rsidRDefault="00BC4D3C" w:rsidP="00BC4D3C">
            <w:pPr>
              <w:jc w:val="both"/>
              <w:rPr>
                <w:rStyle w:val="Textzstupnhosymbolu"/>
                <w:color w:val="000000"/>
              </w:rPr>
            </w:pPr>
          </w:p>
          <w:p w:rsidR="00BC4D3C" w:rsidRDefault="00BC4D3C" w:rsidP="00BC4D3C">
            <w:pPr>
              <w:jc w:val="both"/>
            </w:pPr>
            <w:r w:rsidRPr="00D93857">
              <w:t>V zmysle navrhovanej právnej úpravy sa zvyšuje percentuálny podiel dotácie, ktorú fond poskytuje na podporu audiovizuálneho priemyslu</w:t>
            </w:r>
            <w:r>
              <w:t>,</w:t>
            </w:r>
            <w:r w:rsidRPr="00D93857">
              <w:t xml:space="preserve"> z 20 % </w:t>
            </w:r>
            <w:r>
              <w:t xml:space="preserve">oprávnených výdavkov </w:t>
            </w:r>
            <w:r w:rsidRPr="00D93857">
              <w:t>na 3</w:t>
            </w:r>
            <w:r>
              <w:t xml:space="preserve">3 </w:t>
            </w:r>
            <w:r w:rsidRPr="00D93857">
              <w:t>% oprávnených výdavkov, ktoré boli uhradené v súvislosti s realizáciou filmového projektu.</w:t>
            </w:r>
          </w:p>
          <w:p w:rsidR="00BC4D3C" w:rsidRDefault="00BC4D3C" w:rsidP="00BC4D3C">
            <w:pPr>
              <w:jc w:val="both"/>
            </w:pPr>
            <w:r>
              <w:t xml:space="preserve">Očakávaným výsledkom je zvýšenie konkurencieschopnosti slovenského audiovizuálneho </w:t>
            </w:r>
            <w:r>
              <w:lastRenderedPageBreak/>
              <w:t xml:space="preserve">priemyslu a prilákanie väčšieho množstva zahraničných filmových koprodukcií, ktoré so sebou môže priniesť ďalšie pozitívne efekty. </w:t>
            </w:r>
          </w:p>
          <w:p w:rsidR="00BC4D3C" w:rsidRPr="00A179AE" w:rsidRDefault="00BC4D3C" w:rsidP="00BC4D3C">
            <w:pPr>
              <w:ind w:firstLine="708"/>
              <w:jc w:val="both"/>
            </w:pPr>
          </w:p>
        </w:tc>
      </w:tr>
      <w:tr w:rsidR="00BC4D3C" w:rsidRPr="00A179AE" w:rsidTr="00BC4D3C">
        <w:tc>
          <w:tcPr>
            <w:tcW w:w="9180" w:type="dxa"/>
            <w:gridSpan w:val="10"/>
            <w:tcBorders>
              <w:bottom w:val="nil"/>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lastRenderedPageBreak/>
              <w:t>Dotknuté subjekty</w:t>
            </w:r>
          </w:p>
        </w:tc>
      </w:tr>
      <w:tr w:rsidR="00BC4D3C" w:rsidRPr="00A179AE" w:rsidTr="00BC4D3C">
        <w:tc>
          <w:tcPr>
            <w:tcW w:w="9180" w:type="dxa"/>
            <w:gridSpan w:val="10"/>
            <w:tcBorders>
              <w:top w:val="nil"/>
            </w:tcBorders>
            <w:shd w:val="clear" w:color="auto" w:fill="FFFFFF" w:themeFill="background1"/>
          </w:tcPr>
          <w:p w:rsidR="00BC4D3C" w:rsidRDefault="00BC4D3C" w:rsidP="00BC4D3C">
            <w:pPr>
              <w:rPr>
                <w:i/>
              </w:rPr>
            </w:pPr>
            <w:r w:rsidRPr="00A179AE">
              <w:rPr>
                <w:i/>
              </w:rPr>
              <w:t>Uveďte subjekty, ktorých sa zmeny návrhu dotknú priamo aj nepriamo:</w:t>
            </w:r>
          </w:p>
          <w:p w:rsidR="00BC4D3C" w:rsidRDefault="00BC4D3C" w:rsidP="00BC4D3C">
            <w:pPr>
              <w:rPr>
                <w:i/>
              </w:rPr>
            </w:pPr>
          </w:p>
          <w:p w:rsidR="00BC4D3C" w:rsidRDefault="00BC4D3C" w:rsidP="00BC4D3C">
            <w:pPr>
              <w:jc w:val="both"/>
            </w:pPr>
            <w:r w:rsidRPr="008C1D51">
              <w:t xml:space="preserve">Návrh sa </w:t>
            </w:r>
            <w:r>
              <w:t xml:space="preserve">bude priamo dotýkať </w:t>
            </w:r>
            <w:proofErr w:type="spellStart"/>
            <w:r>
              <w:t>koproducentov</w:t>
            </w:r>
            <w:proofErr w:type="spellEnd"/>
            <w:r>
              <w:t xml:space="preserve"> audiovizuálnych diel, ktoré spĺňajú zákonom ustanovené kritériá a fondu.</w:t>
            </w:r>
          </w:p>
          <w:p w:rsidR="00BC4D3C" w:rsidRDefault="00BC4D3C" w:rsidP="00BC4D3C">
            <w:pPr>
              <w:jc w:val="both"/>
            </w:pPr>
            <w:r>
              <w:t xml:space="preserve">Nepriamo sa týka príslušníkov tzv. filmových profesií, ktorým sa realizáciou filmového projektu poskytnú nové pracovné príležitosti a umožní profesionálny rozvoj. </w:t>
            </w:r>
            <w:proofErr w:type="spellStart"/>
            <w:r>
              <w:t>Benefitovať</w:t>
            </w:r>
            <w:proofErr w:type="spellEnd"/>
            <w:r>
              <w:t xml:space="preserve"> z pozitívnych efektov môžu aj </w:t>
            </w:r>
            <w:r>
              <w:rPr>
                <w:rStyle w:val="ra"/>
              </w:rPr>
              <w:t>ďalšie oblasti, ktoré nie sú primárne súčasťou segmentu audiovizuálneho priemyslu, ako napr. cestovný ruch, všeobecné služby, doprava a pod.</w:t>
            </w:r>
            <w:r>
              <w:t xml:space="preserve">  </w:t>
            </w:r>
          </w:p>
          <w:p w:rsidR="00BC4D3C" w:rsidRPr="008C1D51" w:rsidRDefault="00BC4D3C" w:rsidP="00BC4D3C">
            <w:pPr>
              <w:jc w:val="both"/>
            </w:pPr>
          </w:p>
        </w:tc>
      </w:tr>
      <w:tr w:rsidR="00BC4D3C" w:rsidRPr="00A179AE" w:rsidTr="00BC4D3C">
        <w:tc>
          <w:tcPr>
            <w:tcW w:w="9180" w:type="dxa"/>
            <w:gridSpan w:val="10"/>
            <w:tcBorders>
              <w:bottom w:val="nil"/>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t>Alternatívne riešenia</w:t>
            </w:r>
          </w:p>
        </w:tc>
      </w:tr>
      <w:tr w:rsidR="00BC4D3C" w:rsidRPr="00A179AE" w:rsidTr="00BC4D3C">
        <w:trPr>
          <w:trHeight w:val="709"/>
        </w:trPr>
        <w:tc>
          <w:tcPr>
            <w:tcW w:w="9180" w:type="dxa"/>
            <w:gridSpan w:val="10"/>
            <w:tcBorders>
              <w:top w:val="nil"/>
            </w:tcBorders>
            <w:shd w:val="clear" w:color="auto" w:fill="FFFFFF" w:themeFill="background1"/>
          </w:tcPr>
          <w:p w:rsidR="00BC4D3C" w:rsidRPr="00A179AE" w:rsidRDefault="00BC4D3C" w:rsidP="00BC4D3C">
            <w:pPr>
              <w:rPr>
                <w:i/>
              </w:rPr>
            </w:pPr>
            <w:r w:rsidRPr="00A179AE">
              <w:rPr>
                <w:i/>
              </w:rPr>
              <w:t>Aké alternatívne riešenia boli posudzované?</w:t>
            </w:r>
          </w:p>
          <w:p w:rsidR="00BC4D3C" w:rsidRDefault="00BC4D3C" w:rsidP="00BC4D3C">
            <w:pPr>
              <w:rPr>
                <w:i/>
              </w:rPr>
            </w:pPr>
            <w:r w:rsidRPr="00A179AE">
              <w:rPr>
                <w:i/>
              </w:rPr>
              <w:t>Uveďte, aké alternatívne spôsoby na odstránenie definovaného problému boli identifikované a posudzované.</w:t>
            </w:r>
          </w:p>
          <w:p w:rsidR="00BC4D3C" w:rsidRDefault="00BC4D3C" w:rsidP="00BC4D3C">
            <w:pPr>
              <w:rPr>
                <w:i/>
              </w:rPr>
            </w:pPr>
          </w:p>
          <w:p w:rsidR="00BC4D3C" w:rsidRDefault="00BC4D3C" w:rsidP="00BC4D3C">
            <w:pPr>
              <w:jc w:val="both"/>
            </w:pPr>
            <w:r>
              <w:t xml:space="preserve">Pri príprave riešenia tohto problému bola posudzovaná alternatíva nulová, pri ktorej by nedošlo k zmene sadzby, a bola by ponechaná 20 % - </w:t>
            </w:r>
            <w:proofErr w:type="spellStart"/>
            <w:r>
              <w:t>ná</w:t>
            </w:r>
            <w:proofErr w:type="spellEnd"/>
            <w:r>
              <w:t xml:space="preserve"> sadzba tzv. </w:t>
            </w:r>
            <w:proofErr w:type="spellStart"/>
            <w:r>
              <w:t>vratky</w:t>
            </w:r>
            <w:proofErr w:type="spellEnd"/>
            <w:r>
              <w:t xml:space="preserve"> – viď viac v doložke Analýza vplyvov na rozpočet verejnej správy bod 2.2.4.</w:t>
            </w:r>
          </w:p>
          <w:p w:rsidR="00BC4D3C" w:rsidRPr="00F25171" w:rsidRDefault="00BC4D3C" w:rsidP="00BC4D3C">
            <w:pPr>
              <w:jc w:val="both"/>
            </w:pPr>
            <w:r>
              <w:t xml:space="preserve">Podľa odhadov Inštitútu kultúrnej politiky navýšenie sadzby tzv. </w:t>
            </w:r>
            <w:proofErr w:type="spellStart"/>
            <w:r>
              <w:t>vratiek</w:t>
            </w:r>
            <w:proofErr w:type="spellEnd"/>
            <w:r>
              <w:t xml:space="preserve"> bude mať za následok menšiu návratnosť financií späť do štátnej pokladne, avšak stále s plusovým celkovým </w:t>
            </w:r>
            <w:r w:rsidRPr="00F25171">
              <w:t>výsledkom pre ekonomiku.</w:t>
            </w:r>
            <w:r>
              <w:t xml:space="preserve"> </w:t>
            </w:r>
            <w:r w:rsidRPr="00F25171">
              <w:t>Na základe predikčnej analýzy budúcich príjmov predpokladáme, že zvýšenie na 3</w:t>
            </w:r>
            <w:r>
              <w:t>3</w:t>
            </w:r>
            <w:r w:rsidRPr="00F25171">
              <w:t xml:space="preserve"> % - </w:t>
            </w:r>
            <w:proofErr w:type="spellStart"/>
            <w:r w:rsidRPr="00F25171">
              <w:t>nú</w:t>
            </w:r>
            <w:proofErr w:type="spellEnd"/>
            <w:r w:rsidRPr="00F25171">
              <w:t xml:space="preserve"> sadzbu bude generovať mierne väčší celkový ekonomický prínos, v priemere 3</w:t>
            </w:r>
            <w:r>
              <w:t>4,6</w:t>
            </w:r>
            <w:r w:rsidRPr="00F25171">
              <w:t xml:space="preserve"> mil. eur ročne. </w:t>
            </w:r>
          </w:p>
          <w:p w:rsidR="00BC4D3C" w:rsidRPr="00F25171" w:rsidRDefault="00BC4D3C" w:rsidP="00BC4D3C">
            <w:pPr>
              <w:jc w:val="both"/>
            </w:pPr>
            <w:r w:rsidRPr="00F25171">
              <w:t>Týmto navýšením sa pridáme k okolitým krajinám, z ktorých si zahraniční filmári vyberajú domácich partnerov. Získavanie ďalších skúseností domácich filmárov pomôže zabezpečiť ďalší rast audiovízie</w:t>
            </w:r>
            <w:r>
              <w:t xml:space="preserve"> </w:t>
            </w:r>
            <w:r w:rsidRPr="00F25171">
              <w:t xml:space="preserve">na Slovensku. </w:t>
            </w:r>
          </w:p>
          <w:p w:rsidR="00BC4D3C" w:rsidRPr="00F25171" w:rsidRDefault="00BC4D3C" w:rsidP="00BC4D3C">
            <w:pPr>
              <w:jc w:val="both"/>
            </w:pPr>
            <w:r w:rsidRPr="00F25171">
              <w:t xml:space="preserve">Pri posudzovaní nulovej alternatívy sa možno pýtať, prečo po relatívne krátkom čase, odkedy bola prijatá úprava nástroja tzv. </w:t>
            </w:r>
            <w:proofErr w:type="spellStart"/>
            <w:r w:rsidRPr="00F25171">
              <w:t>vratiek</w:t>
            </w:r>
            <w:proofErr w:type="spellEnd"/>
            <w:r w:rsidRPr="00F25171">
              <w:t xml:space="preserve"> v podmienke minimálnej sumy (od 2017), sa navrhuje ďalšia zmena, tentoraz v percentuálnej výške finančnej kompenzácie. Je to kvôli tomu, že nástroj je nutné vnímať v kontexte okolitých európskych krajín, ktoré si navzájom konkurujú. Okrem krajín</w:t>
            </w:r>
            <w:r>
              <w:t xml:space="preserve"> </w:t>
            </w:r>
            <w:r w:rsidRPr="00F25171">
              <w:t xml:space="preserve">vymenovaných v bode 2 uviedlo aktuálne aj Poľsko od januára 2019 nárast kompenzácie nákladov filmových projektov z 20 % na 30%. Pre zachovanie konkurencieschopnosti nástroja je nutné  udržiavať krok s okolitými krajinami. </w:t>
            </w:r>
          </w:p>
          <w:p w:rsidR="00BC4D3C" w:rsidRPr="00F25171" w:rsidRDefault="00BC4D3C" w:rsidP="00BC4D3C">
            <w:pPr>
              <w:jc w:val="both"/>
            </w:pPr>
          </w:p>
          <w:p w:rsidR="00BC4D3C" w:rsidRPr="00F25171" w:rsidRDefault="00BC4D3C" w:rsidP="00BC4D3C">
            <w:pPr>
              <w:jc w:val="both"/>
            </w:pPr>
            <w:r w:rsidRPr="00F25171">
              <w:t xml:space="preserve">Tiež bola diskutovaná možnosť, že by sa potrebné prostriedky na zabezpečenie </w:t>
            </w:r>
            <w:proofErr w:type="spellStart"/>
            <w:r w:rsidRPr="00F25171">
              <w:t>vratiek</w:t>
            </w:r>
            <w:proofErr w:type="spellEnd"/>
            <w:r w:rsidRPr="00F25171">
              <w:t xml:space="preserve"> hľadali z iných ako verejných zdrojov</w:t>
            </w:r>
            <w:r>
              <w:t>,</w:t>
            </w:r>
            <w:r w:rsidRPr="00F25171">
              <w:t xml:space="preserve"> a to formou prípadných opätovných </w:t>
            </w:r>
            <w:proofErr w:type="spellStart"/>
            <w:r w:rsidRPr="00F25171">
              <w:t>vratiek</w:t>
            </w:r>
            <w:proofErr w:type="spellEnd"/>
            <w:r w:rsidRPr="00F25171">
              <w:t xml:space="preserve"> zo ziskov z filmového projektu späť</w:t>
            </w:r>
            <w:r>
              <w:t xml:space="preserve"> </w:t>
            </w:r>
            <w:r w:rsidRPr="00F25171">
              <w:t>do verejného rozpočtu. Takýto krok považujeme za kontraproduktívny. Na základe analýzy má tento nástroj pozitívny dopad vo forme zvýšenia filmového priemyslu na Slovensku, a teda aj zvýšenia výberu daní a odvodov. Ani okolité krajiny nemajú takúto pridanú záťaž pre realizátorov filmových medzinárodných projektov, preto</w:t>
            </w:r>
            <w:r>
              <w:t xml:space="preserve"> </w:t>
            </w:r>
            <w:r w:rsidRPr="00F25171">
              <w:t xml:space="preserve">by implementácia tejto alternatívy mohla spôsobiť, že pri výbere krajiny by autori neboli motivovaní realizovať svoje projekty na Slovensku. </w:t>
            </w:r>
          </w:p>
          <w:p w:rsidR="00BC4D3C" w:rsidRPr="00DD4FF9" w:rsidRDefault="00BC4D3C" w:rsidP="00BC4D3C">
            <w:pPr>
              <w:jc w:val="both"/>
            </w:pPr>
          </w:p>
        </w:tc>
      </w:tr>
      <w:tr w:rsidR="00BC4D3C" w:rsidRPr="00A179AE" w:rsidTr="00BC4D3C">
        <w:tc>
          <w:tcPr>
            <w:tcW w:w="9180" w:type="dxa"/>
            <w:gridSpan w:val="10"/>
            <w:tcBorders>
              <w:bottom w:val="single" w:sz="4" w:space="0" w:color="FFFFFF" w:themeColor="background1"/>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t>Vykonávacie predpisy</w:t>
            </w:r>
          </w:p>
        </w:tc>
      </w:tr>
      <w:tr w:rsidR="00BC4D3C" w:rsidRPr="00A179AE" w:rsidTr="00BC4D3C">
        <w:tc>
          <w:tcPr>
            <w:tcW w:w="6203" w:type="dxa"/>
            <w:gridSpan w:val="6"/>
            <w:tcBorders>
              <w:top w:val="single" w:sz="4" w:space="0" w:color="FFFFFF" w:themeColor="background1"/>
              <w:bottom w:val="nil"/>
              <w:right w:val="nil"/>
            </w:tcBorders>
            <w:shd w:val="clear" w:color="auto" w:fill="FFFFFF" w:themeFill="background1"/>
          </w:tcPr>
          <w:p w:rsidR="00BC4D3C" w:rsidRPr="00A179AE" w:rsidRDefault="00BC4D3C" w:rsidP="00BC4D3C">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BC4D3C" w:rsidRPr="00A179AE" w:rsidRDefault="00BC4D3C" w:rsidP="00BC4D3C">
            <w:pPr>
              <w:jc w:val="center"/>
            </w:pPr>
            <w:r w:rsidRPr="00A179AE">
              <w:rPr>
                <w:rFonts w:ascii="MS Mincho" w:eastAsia="MS Mincho" w:hAnsi="MS Mincho" w:cs="MS Mincho" w:hint="eastAsia"/>
              </w:rPr>
              <w:t>☐</w:t>
            </w:r>
            <w:r w:rsidRPr="00A179AE">
              <w:t xml:space="preserve">  Áno</w:t>
            </w:r>
          </w:p>
        </w:tc>
        <w:tc>
          <w:tcPr>
            <w:tcW w:w="1560" w:type="dxa"/>
            <w:gridSpan w:val="2"/>
            <w:tcBorders>
              <w:top w:val="single" w:sz="4" w:space="0" w:color="FFFFFF" w:themeColor="background1"/>
              <w:left w:val="nil"/>
              <w:bottom w:val="nil"/>
            </w:tcBorders>
            <w:shd w:val="clear" w:color="auto" w:fill="FFFFFF" w:themeFill="background1"/>
          </w:tcPr>
          <w:p w:rsidR="00BC4D3C" w:rsidRPr="00A179AE" w:rsidRDefault="00BC4D3C" w:rsidP="00BC4D3C">
            <w:pPr>
              <w:jc w:val="center"/>
            </w:pPr>
            <w:r>
              <w:rPr>
                <w:rFonts w:ascii="MS Gothic" w:eastAsia="MS Gothic" w:hAnsi="MS Gothic" w:hint="eastAsia"/>
              </w:rPr>
              <w:t>☒</w:t>
            </w:r>
            <w:r w:rsidRPr="00A179AE">
              <w:t xml:space="preserve">  </w:t>
            </w:r>
            <w:r w:rsidRPr="00B82E78">
              <w:t>Nie</w:t>
            </w:r>
          </w:p>
        </w:tc>
      </w:tr>
      <w:tr w:rsidR="00BC4D3C" w:rsidRPr="00A179AE" w:rsidTr="00BC4D3C">
        <w:tc>
          <w:tcPr>
            <w:tcW w:w="9180" w:type="dxa"/>
            <w:gridSpan w:val="10"/>
            <w:tcBorders>
              <w:top w:val="nil"/>
            </w:tcBorders>
            <w:shd w:val="clear" w:color="auto" w:fill="FFFFFF" w:themeFill="background1"/>
          </w:tcPr>
          <w:p w:rsidR="00BC4D3C" w:rsidRPr="007C08EC" w:rsidRDefault="00BC4D3C" w:rsidP="00BC4D3C">
            <w:pPr>
              <w:rPr>
                <w:i/>
              </w:rPr>
            </w:pPr>
            <w:r w:rsidRPr="00A179AE">
              <w:rPr>
                <w:i/>
              </w:rPr>
              <w:t>Ak áno, uveďte ktoré oblasti budú nimi upravené, resp. ktorých vykonávacích predpisov sa zmena dotkne:</w:t>
            </w:r>
          </w:p>
        </w:tc>
      </w:tr>
      <w:tr w:rsidR="00BC4D3C" w:rsidRPr="00A179AE" w:rsidTr="00BC4D3C">
        <w:tc>
          <w:tcPr>
            <w:tcW w:w="9180" w:type="dxa"/>
            <w:gridSpan w:val="10"/>
            <w:tcBorders>
              <w:bottom w:val="single" w:sz="4" w:space="0" w:color="FFFFFF" w:themeColor="background1"/>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lastRenderedPageBreak/>
              <w:t xml:space="preserve">Transpozícia práva EÚ </w:t>
            </w:r>
          </w:p>
        </w:tc>
      </w:tr>
      <w:tr w:rsidR="00BC4D3C" w:rsidRPr="00A179AE" w:rsidTr="00BC4D3C">
        <w:trPr>
          <w:trHeight w:val="157"/>
        </w:trPr>
        <w:tc>
          <w:tcPr>
            <w:tcW w:w="9180" w:type="dxa"/>
            <w:gridSpan w:val="10"/>
            <w:tcBorders>
              <w:top w:val="nil"/>
              <w:left w:val="single" w:sz="4" w:space="0" w:color="000000" w:themeColor="text1"/>
              <w:bottom w:val="nil"/>
            </w:tcBorders>
            <w:shd w:val="clear" w:color="auto" w:fill="FFFFFF" w:themeFill="background1"/>
          </w:tcPr>
          <w:p w:rsidR="00BC4D3C" w:rsidRDefault="00BC4D3C" w:rsidP="00BC4D3C">
            <w:pPr>
              <w:rPr>
                <w:i/>
              </w:rPr>
            </w:pPr>
            <w:r w:rsidRPr="00A179AE">
              <w:rPr>
                <w:i/>
              </w:rPr>
              <w:t>Uveďte, v ktorých ustanoveniach ide národná právna úprava nad rámec minimálnych požiadaviek EÚ spolu s odôvodnením.</w:t>
            </w:r>
          </w:p>
          <w:p w:rsidR="00BC4D3C" w:rsidRDefault="00BC4D3C" w:rsidP="00BC4D3C">
            <w:pPr>
              <w:rPr>
                <w:i/>
              </w:rPr>
            </w:pPr>
          </w:p>
          <w:p w:rsidR="00BC4D3C" w:rsidRPr="00A179AE" w:rsidRDefault="00BC4D3C" w:rsidP="00BC4D3C">
            <w:pPr>
              <w:rPr>
                <w:i/>
              </w:rPr>
            </w:pPr>
            <w:r w:rsidRPr="009931F5">
              <w:t>Materiál sa netýka transpozície práva EÚ.</w:t>
            </w:r>
          </w:p>
        </w:tc>
      </w:tr>
      <w:tr w:rsidR="00BC4D3C" w:rsidRPr="00A179AE" w:rsidTr="00BC4D3C">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BC4D3C" w:rsidRPr="00A179AE" w:rsidRDefault="00BC4D3C" w:rsidP="00BC4D3C">
            <w:pPr>
              <w:jc w:val="center"/>
            </w:pPr>
          </w:p>
        </w:tc>
      </w:tr>
      <w:tr w:rsidR="00BC4D3C" w:rsidRPr="00A179AE" w:rsidTr="00BC4D3C">
        <w:tc>
          <w:tcPr>
            <w:tcW w:w="9180" w:type="dxa"/>
            <w:gridSpan w:val="10"/>
            <w:tcBorders>
              <w:bottom w:val="single" w:sz="4" w:space="0" w:color="FFFFFF" w:themeColor="background1"/>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t>Preskúmanie účelnosti</w:t>
            </w:r>
            <w:r>
              <w:rPr>
                <w:b/>
              </w:rPr>
              <w:t>**</w:t>
            </w:r>
          </w:p>
        </w:tc>
      </w:tr>
      <w:tr w:rsidR="00BC4D3C" w:rsidRPr="00A179AE" w:rsidTr="00BC4D3C">
        <w:tc>
          <w:tcPr>
            <w:tcW w:w="9180" w:type="dxa"/>
            <w:gridSpan w:val="10"/>
            <w:tcBorders>
              <w:top w:val="single" w:sz="4" w:space="0" w:color="FFFFFF" w:themeColor="background1"/>
            </w:tcBorders>
            <w:shd w:val="clear" w:color="auto" w:fill="FFFFFF" w:themeFill="background1"/>
          </w:tcPr>
          <w:p w:rsidR="00BC4D3C" w:rsidRPr="00A179AE" w:rsidRDefault="00BC4D3C" w:rsidP="00BC4D3C">
            <w:pPr>
              <w:rPr>
                <w:i/>
              </w:rPr>
            </w:pPr>
            <w:r w:rsidRPr="00A179AE">
              <w:rPr>
                <w:i/>
              </w:rPr>
              <w:t>Uveďte termín, kedy by malo dôjsť k preskúmaniu účinnosti a účelnosti navrhovaného predpisu.</w:t>
            </w:r>
          </w:p>
          <w:p w:rsidR="00BC4D3C" w:rsidRPr="00A179AE" w:rsidRDefault="00BC4D3C" w:rsidP="00BC4D3C">
            <w:pPr>
              <w:rPr>
                <w:i/>
              </w:rPr>
            </w:pPr>
            <w:r w:rsidRPr="00A179AE">
              <w:rPr>
                <w:i/>
              </w:rPr>
              <w:t>Uveďte kritériá, na základe ktorých bude preskúmanie vykonané.</w:t>
            </w:r>
          </w:p>
          <w:p w:rsidR="00BC4D3C" w:rsidRDefault="00BC4D3C" w:rsidP="00BC4D3C">
            <w:pPr>
              <w:rPr>
                <w:i/>
              </w:rPr>
            </w:pPr>
          </w:p>
          <w:p w:rsidR="00BC4D3C" w:rsidRDefault="00BC4D3C" w:rsidP="00BC4D3C">
            <w:pPr>
              <w:jc w:val="both"/>
              <w:rPr>
                <w:bCs/>
              </w:rPr>
            </w:pPr>
            <w:r w:rsidRPr="008E0263">
              <w:rPr>
                <w:bCs/>
              </w:rPr>
              <w:t>Ministerstv</w:t>
            </w:r>
            <w:r>
              <w:rPr>
                <w:bCs/>
              </w:rPr>
              <w:t>o</w:t>
            </w:r>
            <w:r w:rsidRPr="008E0263">
              <w:rPr>
                <w:bCs/>
              </w:rPr>
              <w:t xml:space="preserve"> kultúry Slovenskej republiky</w:t>
            </w:r>
            <w:r>
              <w:rPr>
                <w:bCs/>
              </w:rPr>
              <w:t xml:space="preserve"> v súčinnosti s </w:t>
            </w:r>
            <w:r w:rsidRPr="008E0263">
              <w:rPr>
                <w:bCs/>
              </w:rPr>
              <w:t>Ministerstv</w:t>
            </w:r>
            <w:r>
              <w:rPr>
                <w:bCs/>
              </w:rPr>
              <w:t>om</w:t>
            </w:r>
            <w:r w:rsidRPr="008E0263">
              <w:rPr>
                <w:bCs/>
              </w:rPr>
              <w:t xml:space="preserve"> </w:t>
            </w:r>
            <w:r>
              <w:rPr>
                <w:bCs/>
              </w:rPr>
              <w:t>financií</w:t>
            </w:r>
            <w:r w:rsidRPr="008E0263">
              <w:rPr>
                <w:bCs/>
              </w:rPr>
              <w:t xml:space="preserve"> Slovenskej republiky</w:t>
            </w:r>
            <w:r>
              <w:rPr>
                <w:bCs/>
              </w:rPr>
              <w:t xml:space="preserve"> preskúma účelnosť navrhovaného opatrenia, ktorým sa zvyšuje </w:t>
            </w:r>
            <w:r w:rsidRPr="00D93857">
              <w:t>percentuálny podiel dotácie, ktorú fond poskytuje na podporu audiovizuálneho priemyslu z 20 % na 3</w:t>
            </w:r>
            <w:r>
              <w:t xml:space="preserve">3 </w:t>
            </w:r>
            <w:r w:rsidRPr="00D93857">
              <w:t>% oprávnených výdavkov, ktoré boli uhradené v súvislosti s realizáciou filmového projektu</w:t>
            </w:r>
            <w:r>
              <w:rPr>
                <w:bCs/>
              </w:rPr>
              <w:t xml:space="preserve">, do 31. decembra 2021. Cieľom tohto preskúmania bude predovšetkým zhodnotenie dopadu navrhovaného opatrenia na verejné financie v Slovenskej republike v spojení s dopadom na rozvoj audiovizuálneho priemyslu v Slovenskej republike. </w:t>
            </w:r>
          </w:p>
          <w:p w:rsidR="00BC4D3C" w:rsidRDefault="00BC4D3C" w:rsidP="00BC4D3C">
            <w:pPr>
              <w:jc w:val="both"/>
              <w:rPr>
                <w:bCs/>
              </w:rPr>
            </w:pPr>
            <w:r>
              <w:rPr>
                <w:bCs/>
              </w:rPr>
              <w:t xml:space="preserve">Na základe uvedeného preskúmania </w:t>
            </w:r>
            <w:r w:rsidRPr="008E0263">
              <w:rPr>
                <w:bCs/>
              </w:rPr>
              <w:t>Ministerstv</w:t>
            </w:r>
            <w:r>
              <w:rPr>
                <w:bCs/>
              </w:rPr>
              <w:t>o</w:t>
            </w:r>
            <w:r w:rsidRPr="008E0263">
              <w:rPr>
                <w:bCs/>
              </w:rPr>
              <w:t xml:space="preserve"> kultúry Slovenskej republiky</w:t>
            </w:r>
            <w:r>
              <w:rPr>
                <w:bCs/>
              </w:rPr>
              <w:t xml:space="preserve">, ako gestor predmetnej právnej úpravy, rozhodne o prípadnej úprave </w:t>
            </w:r>
            <w:r w:rsidRPr="00D93857">
              <w:t>percentuáln</w:t>
            </w:r>
            <w:r>
              <w:t>eho</w:t>
            </w:r>
            <w:r w:rsidRPr="00D93857">
              <w:t xml:space="preserve"> podiel</w:t>
            </w:r>
            <w:r>
              <w:t>u</w:t>
            </w:r>
            <w:r w:rsidRPr="00D93857">
              <w:t xml:space="preserve"> dotácie, ktorú fond poskytuje na podporu audiovizuálneho priemyslu</w:t>
            </w:r>
            <w:r>
              <w:rPr>
                <w:bCs/>
              </w:rPr>
              <w:t>.</w:t>
            </w:r>
          </w:p>
          <w:p w:rsidR="00BC4D3C" w:rsidRDefault="00BC4D3C" w:rsidP="00BC4D3C">
            <w:pPr>
              <w:jc w:val="both"/>
              <w:rPr>
                <w:bCs/>
              </w:rPr>
            </w:pPr>
          </w:p>
          <w:p w:rsidR="00BC4D3C" w:rsidRDefault="00BC4D3C" w:rsidP="00BC4D3C">
            <w:pPr>
              <w:jc w:val="both"/>
              <w:rPr>
                <w:bCs/>
              </w:rPr>
            </w:pPr>
            <w:r>
              <w:rPr>
                <w:bCs/>
              </w:rPr>
              <w:t xml:space="preserve">Za účelom realizácie preskúmania účelnosti daného opatrenia </w:t>
            </w:r>
            <w:r w:rsidRPr="008E0263">
              <w:rPr>
                <w:bCs/>
              </w:rPr>
              <w:t>Ministerstv</w:t>
            </w:r>
            <w:r>
              <w:rPr>
                <w:bCs/>
              </w:rPr>
              <w:t>o</w:t>
            </w:r>
            <w:r w:rsidRPr="008E0263">
              <w:rPr>
                <w:bCs/>
              </w:rPr>
              <w:t xml:space="preserve"> kultúry Slovenskej republiky</w:t>
            </w:r>
            <w:r>
              <w:rPr>
                <w:bCs/>
              </w:rPr>
              <w:t xml:space="preserve"> zaviaže zmluvne fond, ako verejnoprávnu inštitúciu, ktorá dané opatrenie aplikuje v praxi, na vyhotovenie analýzy dopadu zvýšenia </w:t>
            </w:r>
            <w:r w:rsidRPr="00D93857">
              <w:t>percentuáln</w:t>
            </w:r>
            <w:r>
              <w:t>eho</w:t>
            </w:r>
            <w:r w:rsidRPr="00D93857">
              <w:t xml:space="preserve"> podiel</w:t>
            </w:r>
            <w:r>
              <w:t>u</w:t>
            </w:r>
            <w:r w:rsidRPr="00D93857">
              <w:t xml:space="preserve"> dotácie, ktorú fond poskytuje na podporu audiovizuálneho priemyslu</w:t>
            </w:r>
            <w:r>
              <w:t>,</w:t>
            </w:r>
            <w:r>
              <w:rPr>
                <w:bCs/>
              </w:rPr>
              <w:t xml:space="preserve"> ako vyplýva z navrhovaného predpisu. </w:t>
            </w:r>
          </w:p>
          <w:p w:rsidR="00BC4D3C" w:rsidRDefault="00BC4D3C" w:rsidP="00BC4D3C">
            <w:pPr>
              <w:jc w:val="both"/>
            </w:pPr>
            <w:r>
              <w:rPr>
                <w:bCs/>
              </w:rPr>
              <w:t>Základným kritériom, ktoré bude uplatnené v analýze dopadu, ako aj následne pri vyhodnotení účelnosti navrhovaného opatrenia, bude kvantitatívne posúdenie dopadu na rozvoj audiovizuálneho priemyslu v Slovenskej republike z hľadiska počtu registrovaných filmových projektov v pomere k realizovaným filmovým projektom, v spojení s reálnym dopadom na verejné financie z hľadiska celkového objemu vyplatených dotácií v systéme podpory audiovizuálneho priemyslu v Slovenskej republike v sledovanom období, ktorým bude časový interval od účinnosti navrhovaného opatrenia do 31. decembra 2021.</w:t>
            </w:r>
          </w:p>
          <w:p w:rsidR="00BC4D3C" w:rsidRPr="008E2492" w:rsidRDefault="00BC4D3C" w:rsidP="00BC4D3C"/>
        </w:tc>
      </w:tr>
      <w:tr w:rsidR="00BC4D3C" w:rsidRPr="00A179AE" w:rsidTr="00BC4D3C">
        <w:trPr>
          <w:trHeight w:val="715"/>
        </w:trPr>
        <w:tc>
          <w:tcPr>
            <w:tcW w:w="9180" w:type="dxa"/>
            <w:gridSpan w:val="10"/>
            <w:tcBorders>
              <w:left w:val="nil"/>
              <w:bottom w:val="nil"/>
              <w:right w:val="nil"/>
            </w:tcBorders>
            <w:shd w:val="clear" w:color="auto" w:fill="FFFFFF" w:themeFill="background1"/>
          </w:tcPr>
          <w:p w:rsidR="00BC4D3C" w:rsidRDefault="00BC4D3C" w:rsidP="00BC4D3C"/>
          <w:p w:rsidR="00BC4D3C" w:rsidRDefault="00BC4D3C" w:rsidP="00BC4D3C">
            <w:pPr>
              <w:ind w:left="142" w:hanging="142"/>
            </w:pPr>
            <w:r>
              <w:t xml:space="preserve">* vyplniť iba v prípade, </w:t>
            </w:r>
            <w:r w:rsidRPr="004C60B8">
              <w:t>ak materiál nie je zahrnutý do Plánu práce vlády Slovenskej republiky alebo Plán</w:t>
            </w:r>
            <w:r>
              <w:t>u</w:t>
            </w:r>
            <w:r w:rsidRPr="004C60B8">
              <w:t xml:space="preserve"> </w:t>
            </w:r>
            <w:r>
              <w:t xml:space="preserve">       </w:t>
            </w:r>
            <w:r w:rsidRPr="004C60B8">
              <w:t>legislatívnych úloh vlády Slovenskej republiky.</w:t>
            </w:r>
            <w:r>
              <w:t xml:space="preserve"> </w:t>
            </w:r>
          </w:p>
          <w:p w:rsidR="00BC4D3C" w:rsidRPr="00A179AE" w:rsidRDefault="00BC4D3C" w:rsidP="00BC4D3C">
            <w:r>
              <w:t>** nepovinné</w:t>
            </w:r>
          </w:p>
        </w:tc>
      </w:tr>
      <w:tr w:rsidR="00BC4D3C" w:rsidRPr="00A179AE" w:rsidTr="00BC4D3C">
        <w:tc>
          <w:tcPr>
            <w:tcW w:w="9180" w:type="dxa"/>
            <w:gridSpan w:val="10"/>
            <w:tcBorders>
              <w:top w:val="nil"/>
              <w:left w:val="nil"/>
              <w:right w:val="nil"/>
            </w:tcBorders>
            <w:shd w:val="clear" w:color="auto" w:fill="FFFFFF" w:themeFill="background1"/>
          </w:tcPr>
          <w:p w:rsidR="00BC4D3C" w:rsidRPr="00A179AE" w:rsidRDefault="00BC4D3C" w:rsidP="00BC4D3C">
            <w:pPr>
              <w:rPr>
                <w:b/>
              </w:rPr>
            </w:pPr>
          </w:p>
        </w:tc>
      </w:tr>
      <w:tr w:rsidR="00BC4D3C" w:rsidRPr="00A179AE" w:rsidTr="00BC4D3C">
        <w:trPr>
          <w:trHeight w:val="577"/>
        </w:trPr>
        <w:tc>
          <w:tcPr>
            <w:tcW w:w="9180" w:type="dxa"/>
            <w:gridSpan w:val="10"/>
            <w:tcBorders>
              <w:bottom w:val="single" w:sz="4" w:space="0" w:color="FFFFFF" w:themeColor="background1"/>
            </w:tcBorders>
            <w:shd w:val="clear" w:color="auto" w:fill="E2E2E2"/>
            <w:vAlign w:val="center"/>
          </w:tcPr>
          <w:p w:rsidR="00BC4D3C" w:rsidRPr="00A179AE" w:rsidRDefault="00BC4D3C" w:rsidP="00BC4D3C">
            <w:pPr>
              <w:pStyle w:val="Odsekzoznamu"/>
              <w:widowControl/>
              <w:numPr>
                <w:ilvl w:val="0"/>
                <w:numId w:val="1"/>
              </w:numPr>
              <w:adjustRightInd/>
              <w:ind w:left="426"/>
              <w:rPr>
                <w:b/>
              </w:rPr>
            </w:pPr>
            <w:r w:rsidRPr="00A179AE">
              <w:rPr>
                <w:b/>
              </w:rPr>
              <w:t>Vplyvy navrhovaného materiálu</w:t>
            </w:r>
          </w:p>
        </w:tc>
      </w:tr>
      <w:tr w:rsidR="00BC4D3C" w:rsidRPr="00A179AE" w:rsidTr="00BC4D3C">
        <w:tc>
          <w:tcPr>
            <w:tcW w:w="3812" w:type="dxa"/>
            <w:tcBorders>
              <w:bottom w:val="nil"/>
            </w:tcBorders>
            <w:shd w:val="clear" w:color="auto" w:fill="E2E2E2"/>
          </w:tcPr>
          <w:p w:rsidR="00BC4D3C" w:rsidRPr="00A179AE" w:rsidRDefault="00BC4D3C" w:rsidP="00BC4D3C">
            <w:pPr>
              <w:rPr>
                <w:b/>
              </w:rPr>
            </w:pPr>
            <w:r w:rsidRPr="00A179AE">
              <w:rPr>
                <w:b/>
              </w:rPr>
              <w:t>Vplyvy na rozpočet verejnej správy</w:t>
            </w:r>
          </w:p>
        </w:tc>
        <w:tc>
          <w:tcPr>
            <w:tcW w:w="541" w:type="dxa"/>
            <w:gridSpan w:val="2"/>
            <w:tcBorders>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BC4D3C" w:rsidRPr="00A179AE" w:rsidRDefault="00BC4D3C" w:rsidP="00BC4D3C">
            <w:pPr>
              <w:rPr>
                <w:b/>
              </w:rPr>
            </w:pPr>
            <w:r w:rsidRPr="00A179AE">
              <w:rPr>
                <w:b/>
              </w:rPr>
              <w:t>Pozitívne</w:t>
            </w:r>
          </w:p>
        </w:tc>
        <w:tc>
          <w:tcPr>
            <w:tcW w:w="569" w:type="dxa"/>
            <w:tcBorders>
              <w:left w:val="nil"/>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133" w:type="dxa"/>
            <w:tcBorders>
              <w:left w:val="nil"/>
              <w:right w:val="nil"/>
            </w:tcBorders>
          </w:tcPr>
          <w:p w:rsidR="00BC4D3C" w:rsidRPr="00A179AE" w:rsidRDefault="00BC4D3C" w:rsidP="00BC4D3C">
            <w:pPr>
              <w:rPr>
                <w:b/>
              </w:rPr>
            </w:pPr>
            <w:r w:rsidRPr="00A179AE">
              <w:rPr>
                <w:b/>
              </w:rPr>
              <w:t>Žiadne</w:t>
            </w:r>
          </w:p>
        </w:tc>
        <w:tc>
          <w:tcPr>
            <w:tcW w:w="547" w:type="dxa"/>
            <w:gridSpan w:val="2"/>
            <w:tcBorders>
              <w:left w:val="nil"/>
              <w:right w:val="nil"/>
            </w:tcBorders>
          </w:tcPr>
          <w:p w:rsidR="00BC4D3C" w:rsidRPr="00A179AE" w:rsidRDefault="00BC4D3C" w:rsidP="00BC4D3C">
            <w:pPr>
              <w:jc w:val="center"/>
              <w:rPr>
                <w:b/>
              </w:rPr>
            </w:pPr>
            <w:r w:rsidRPr="00A36A2C">
              <w:rPr>
                <w:rFonts w:ascii="MS Mincho" w:eastAsia="MS Mincho" w:hAnsi="MS Mincho" w:cs="MS Mincho" w:hint="eastAsia"/>
                <w:b/>
              </w:rPr>
              <w:t>☒</w:t>
            </w:r>
          </w:p>
        </w:tc>
        <w:tc>
          <w:tcPr>
            <w:tcW w:w="1297" w:type="dxa"/>
            <w:tcBorders>
              <w:left w:val="nil"/>
            </w:tcBorders>
          </w:tcPr>
          <w:p w:rsidR="00BC4D3C" w:rsidRPr="00A179AE" w:rsidRDefault="00BC4D3C" w:rsidP="00BC4D3C">
            <w:pPr>
              <w:ind w:left="34"/>
              <w:rPr>
                <w:b/>
              </w:rPr>
            </w:pPr>
            <w:r w:rsidRPr="00A179AE">
              <w:rPr>
                <w:b/>
              </w:rPr>
              <w:t>Negatívne</w:t>
            </w:r>
          </w:p>
        </w:tc>
      </w:tr>
      <w:tr w:rsidR="00BC4D3C" w:rsidRPr="00A179AE" w:rsidTr="00BC4D3C">
        <w:tc>
          <w:tcPr>
            <w:tcW w:w="3812" w:type="dxa"/>
            <w:tcBorders>
              <w:top w:val="nil"/>
              <w:bottom w:val="single" w:sz="4" w:space="0" w:color="000000" w:themeColor="text1"/>
            </w:tcBorders>
            <w:shd w:val="clear" w:color="auto" w:fill="E2E2E2"/>
          </w:tcPr>
          <w:p w:rsidR="00BC4D3C" w:rsidRPr="00A179AE" w:rsidRDefault="00BC4D3C" w:rsidP="00BC4D3C">
            <w:r w:rsidRPr="00A179AE">
              <w:t xml:space="preserve">    z toho rozpočtovo zabezpečené vplyvy</w:t>
            </w:r>
          </w:p>
        </w:tc>
        <w:tc>
          <w:tcPr>
            <w:tcW w:w="541" w:type="dxa"/>
            <w:gridSpan w:val="2"/>
            <w:tcBorders>
              <w:right w:val="nil"/>
            </w:tcBorders>
          </w:tcPr>
          <w:p w:rsidR="00BC4D3C" w:rsidRPr="00A179AE" w:rsidRDefault="00BC4D3C" w:rsidP="00BC4D3C">
            <w:pPr>
              <w:jc w:val="center"/>
            </w:pPr>
            <w:r w:rsidRPr="00A179AE">
              <w:rPr>
                <w:rFonts w:ascii="MS Mincho" w:eastAsia="MS Mincho" w:hAnsi="MS Mincho" w:cs="MS Mincho" w:hint="eastAsia"/>
              </w:rPr>
              <w:t>☐</w:t>
            </w:r>
          </w:p>
        </w:tc>
        <w:tc>
          <w:tcPr>
            <w:tcW w:w="1281" w:type="dxa"/>
            <w:gridSpan w:val="2"/>
            <w:tcBorders>
              <w:left w:val="nil"/>
              <w:right w:val="nil"/>
            </w:tcBorders>
          </w:tcPr>
          <w:p w:rsidR="00BC4D3C" w:rsidRPr="00A179AE" w:rsidRDefault="00BC4D3C" w:rsidP="00BC4D3C">
            <w:r w:rsidRPr="00A179AE">
              <w:t>Áno</w:t>
            </w:r>
          </w:p>
        </w:tc>
        <w:tc>
          <w:tcPr>
            <w:tcW w:w="569" w:type="dxa"/>
            <w:tcBorders>
              <w:left w:val="nil"/>
              <w:right w:val="nil"/>
            </w:tcBorders>
          </w:tcPr>
          <w:p w:rsidR="00BC4D3C" w:rsidRPr="00A179AE" w:rsidRDefault="00BC4D3C" w:rsidP="00BC4D3C">
            <w:pPr>
              <w:jc w:val="center"/>
            </w:pPr>
            <w:r w:rsidRPr="00A179AE">
              <w:rPr>
                <w:rFonts w:ascii="MS Mincho" w:eastAsia="MS Mincho" w:hAnsi="MS Mincho" w:cs="MS Mincho" w:hint="eastAsia"/>
              </w:rPr>
              <w:t>☐</w:t>
            </w:r>
          </w:p>
        </w:tc>
        <w:tc>
          <w:tcPr>
            <w:tcW w:w="1133" w:type="dxa"/>
            <w:tcBorders>
              <w:left w:val="nil"/>
              <w:right w:val="nil"/>
            </w:tcBorders>
          </w:tcPr>
          <w:p w:rsidR="00BC4D3C" w:rsidRPr="00A179AE" w:rsidRDefault="00BC4D3C" w:rsidP="00BC4D3C">
            <w:r w:rsidRPr="00A179AE">
              <w:t>Nie</w:t>
            </w:r>
          </w:p>
        </w:tc>
        <w:tc>
          <w:tcPr>
            <w:tcW w:w="547" w:type="dxa"/>
            <w:gridSpan w:val="2"/>
            <w:tcBorders>
              <w:left w:val="nil"/>
              <w:right w:val="nil"/>
            </w:tcBorders>
          </w:tcPr>
          <w:p w:rsidR="00BC4D3C" w:rsidRPr="00A179AE" w:rsidRDefault="00BC4D3C" w:rsidP="00BC4D3C">
            <w:pPr>
              <w:ind w:left="-107" w:right="-108"/>
              <w:jc w:val="center"/>
            </w:pPr>
            <w:r w:rsidRPr="00A36A2C">
              <w:rPr>
                <w:rFonts w:ascii="MS Mincho" w:eastAsia="MS Mincho" w:hAnsi="MS Mincho" w:cs="MS Mincho" w:hint="eastAsia"/>
              </w:rPr>
              <w:t>☒</w:t>
            </w:r>
          </w:p>
        </w:tc>
        <w:tc>
          <w:tcPr>
            <w:tcW w:w="1297" w:type="dxa"/>
            <w:tcBorders>
              <w:left w:val="nil"/>
            </w:tcBorders>
          </w:tcPr>
          <w:p w:rsidR="00BC4D3C" w:rsidRPr="00A179AE" w:rsidRDefault="00BC4D3C" w:rsidP="00BC4D3C">
            <w:pPr>
              <w:ind w:left="34"/>
            </w:pPr>
            <w:r w:rsidRPr="00A179AE">
              <w:t>Čiastočne</w:t>
            </w:r>
          </w:p>
        </w:tc>
      </w:tr>
      <w:tr w:rsidR="00BC4D3C" w:rsidRPr="00A179AE" w:rsidTr="00BC4D3C">
        <w:tc>
          <w:tcPr>
            <w:tcW w:w="3812" w:type="dxa"/>
            <w:tcBorders>
              <w:top w:val="single" w:sz="4" w:space="0" w:color="000000" w:themeColor="text1"/>
              <w:bottom w:val="nil"/>
            </w:tcBorders>
            <w:shd w:val="clear" w:color="auto" w:fill="E2E2E2"/>
          </w:tcPr>
          <w:p w:rsidR="00BC4D3C" w:rsidRPr="00A179AE" w:rsidRDefault="00BC4D3C" w:rsidP="00BC4D3C">
            <w:pPr>
              <w:rPr>
                <w:b/>
              </w:rPr>
            </w:pPr>
            <w:r w:rsidRPr="00A179AE">
              <w:rPr>
                <w:b/>
              </w:rPr>
              <w:t>Vplyvy na podnikateľské prostredie</w:t>
            </w:r>
          </w:p>
        </w:tc>
        <w:tc>
          <w:tcPr>
            <w:tcW w:w="541" w:type="dxa"/>
            <w:gridSpan w:val="2"/>
            <w:tcBorders>
              <w:right w:val="nil"/>
            </w:tcBorders>
          </w:tcPr>
          <w:p w:rsidR="00BC4D3C" w:rsidRPr="00A179AE" w:rsidRDefault="00BC4D3C" w:rsidP="00BC4D3C">
            <w:pPr>
              <w:jc w:val="center"/>
              <w:rPr>
                <w:b/>
              </w:rPr>
            </w:pPr>
            <w:r w:rsidRPr="00605E60">
              <w:rPr>
                <w:rFonts w:ascii="MS Mincho" w:eastAsia="MS Mincho" w:hAnsi="MS Mincho" w:cs="MS Mincho" w:hint="eastAsia"/>
                <w:b/>
              </w:rPr>
              <w:t>☒</w:t>
            </w:r>
          </w:p>
        </w:tc>
        <w:tc>
          <w:tcPr>
            <w:tcW w:w="1281" w:type="dxa"/>
            <w:gridSpan w:val="2"/>
            <w:tcBorders>
              <w:left w:val="nil"/>
              <w:right w:val="nil"/>
            </w:tcBorders>
          </w:tcPr>
          <w:p w:rsidR="00BC4D3C" w:rsidRPr="00A179AE" w:rsidRDefault="00BC4D3C" w:rsidP="00BC4D3C">
            <w:pPr>
              <w:ind w:right="-108"/>
              <w:rPr>
                <w:b/>
              </w:rPr>
            </w:pPr>
            <w:r w:rsidRPr="00A179AE">
              <w:rPr>
                <w:b/>
              </w:rPr>
              <w:t>Pozitívne</w:t>
            </w:r>
          </w:p>
        </w:tc>
        <w:tc>
          <w:tcPr>
            <w:tcW w:w="569" w:type="dxa"/>
            <w:tcBorders>
              <w:left w:val="nil"/>
              <w:right w:val="nil"/>
            </w:tcBorders>
          </w:tcPr>
          <w:p w:rsidR="00BC4D3C" w:rsidRPr="00A179AE" w:rsidRDefault="00BC4D3C" w:rsidP="00BC4D3C">
            <w:pPr>
              <w:jc w:val="center"/>
              <w:rPr>
                <w:b/>
              </w:rPr>
            </w:pPr>
            <w:r w:rsidRPr="00605E60">
              <w:rPr>
                <w:rFonts w:ascii="MS Gothic" w:eastAsia="MS Gothic" w:hAnsi="MS Gothic" w:hint="eastAsia"/>
                <w:b/>
              </w:rPr>
              <w:t>☐</w:t>
            </w:r>
          </w:p>
        </w:tc>
        <w:tc>
          <w:tcPr>
            <w:tcW w:w="1133" w:type="dxa"/>
            <w:tcBorders>
              <w:left w:val="nil"/>
              <w:right w:val="nil"/>
            </w:tcBorders>
          </w:tcPr>
          <w:p w:rsidR="00BC4D3C" w:rsidRPr="00A179AE" w:rsidRDefault="00BC4D3C" w:rsidP="00BC4D3C">
            <w:pPr>
              <w:rPr>
                <w:b/>
              </w:rPr>
            </w:pPr>
            <w:r w:rsidRPr="00A179AE">
              <w:rPr>
                <w:b/>
              </w:rPr>
              <w:t>Žiadne</w:t>
            </w:r>
          </w:p>
        </w:tc>
        <w:tc>
          <w:tcPr>
            <w:tcW w:w="547" w:type="dxa"/>
            <w:gridSpan w:val="2"/>
            <w:tcBorders>
              <w:left w:val="nil"/>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97" w:type="dxa"/>
            <w:tcBorders>
              <w:left w:val="nil"/>
            </w:tcBorders>
          </w:tcPr>
          <w:p w:rsidR="00BC4D3C" w:rsidRPr="00A179AE" w:rsidRDefault="00BC4D3C" w:rsidP="00BC4D3C">
            <w:pPr>
              <w:ind w:left="54"/>
              <w:rPr>
                <w:b/>
              </w:rPr>
            </w:pPr>
            <w:r w:rsidRPr="00A179AE">
              <w:rPr>
                <w:b/>
              </w:rPr>
              <w:t>Negatívne</w:t>
            </w:r>
          </w:p>
        </w:tc>
      </w:tr>
      <w:tr w:rsidR="00BC4D3C" w:rsidRPr="00A179AE" w:rsidTr="00BC4D3C">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BC4D3C" w:rsidRPr="00A179AE" w:rsidRDefault="00BC4D3C" w:rsidP="00BC4D3C">
            <w:r w:rsidRPr="00A179AE">
              <w:t xml:space="preserve">    z toho vplyvy na MSP</w:t>
            </w:r>
          </w:p>
        </w:tc>
        <w:tc>
          <w:tcPr>
            <w:tcW w:w="541" w:type="dxa"/>
            <w:gridSpan w:val="2"/>
            <w:tcBorders>
              <w:left w:val="single" w:sz="4" w:space="0" w:color="000000" w:themeColor="text1"/>
              <w:right w:val="nil"/>
            </w:tcBorders>
          </w:tcPr>
          <w:p w:rsidR="00BC4D3C" w:rsidRPr="00A179AE" w:rsidRDefault="00BC4D3C" w:rsidP="00BC4D3C">
            <w:pPr>
              <w:jc w:val="center"/>
            </w:pPr>
            <w:r w:rsidRPr="00605E60">
              <w:rPr>
                <w:rFonts w:ascii="MS Mincho" w:eastAsia="MS Mincho" w:hAnsi="MS Mincho" w:cs="MS Mincho" w:hint="eastAsia"/>
              </w:rPr>
              <w:t>☒</w:t>
            </w:r>
          </w:p>
        </w:tc>
        <w:tc>
          <w:tcPr>
            <w:tcW w:w="1281" w:type="dxa"/>
            <w:gridSpan w:val="2"/>
            <w:tcBorders>
              <w:left w:val="nil"/>
              <w:right w:val="nil"/>
            </w:tcBorders>
          </w:tcPr>
          <w:p w:rsidR="00BC4D3C" w:rsidRPr="00A179AE" w:rsidRDefault="00BC4D3C" w:rsidP="00BC4D3C">
            <w:pPr>
              <w:ind w:right="-108"/>
            </w:pPr>
            <w:r w:rsidRPr="00A179AE">
              <w:t>Pozitívne</w:t>
            </w:r>
          </w:p>
        </w:tc>
        <w:tc>
          <w:tcPr>
            <w:tcW w:w="569" w:type="dxa"/>
            <w:tcBorders>
              <w:left w:val="nil"/>
              <w:right w:val="nil"/>
            </w:tcBorders>
          </w:tcPr>
          <w:p w:rsidR="00BC4D3C" w:rsidRPr="00A179AE" w:rsidRDefault="00BC4D3C" w:rsidP="00BC4D3C">
            <w:pPr>
              <w:jc w:val="center"/>
            </w:pPr>
            <w:r w:rsidRPr="00A179AE">
              <w:rPr>
                <w:rFonts w:ascii="MS Mincho" w:eastAsia="MS Mincho" w:hAnsi="MS Mincho" w:cs="MS Mincho" w:hint="eastAsia"/>
              </w:rPr>
              <w:t>☐</w:t>
            </w:r>
          </w:p>
        </w:tc>
        <w:tc>
          <w:tcPr>
            <w:tcW w:w="1133" w:type="dxa"/>
            <w:tcBorders>
              <w:left w:val="nil"/>
              <w:right w:val="nil"/>
            </w:tcBorders>
          </w:tcPr>
          <w:p w:rsidR="00BC4D3C" w:rsidRPr="00A179AE" w:rsidRDefault="00BC4D3C" w:rsidP="00BC4D3C">
            <w:r w:rsidRPr="00A179AE">
              <w:t>Žiadne</w:t>
            </w:r>
          </w:p>
        </w:tc>
        <w:tc>
          <w:tcPr>
            <w:tcW w:w="547" w:type="dxa"/>
            <w:gridSpan w:val="2"/>
            <w:tcBorders>
              <w:left w:val="nil"/>
              <w:right w:val="nil"/>
            </w:tcBorders>
          </w:tcPr>
          <w:p w:rsidR="00BC4D3C" w:rsidRPr="00A179AE" w:rsidRDefault="00BC4D3C" w:rsidP="00BC4D3C">
            <w:pPr>
              <w:jc w:val="center"/>
            </w:pPr>
            <w:r w:rsidRPr="00A179AE">
              <w:rPr>
                <w:rFonts w:ascii="MS Mincho" w:eastAsia="MS Mincho" w:hAnsi="MS Mincho" w:cs="MS Mincho" w:hint="eastAsia"/>
              </w:rPr>
              <w:t>☐</w:t>
            </w:r>
          </w:p>
        </w:tc>
        <w:tc>
          <w:tcPr>
            <w:tcW w:w="1297" w:type="dxa"/>
            <w:tcBorders>
              <w:left w:val="nil"/>
            </w:tcBorders>
          </w:tcPr>
          <w:p w:rsidR="00BC4D3C" w:rsidRPr="00A179AE" w:rsidRDefault="00BC4D3C" w:rsidP="00BC4D3C">
            <w:pPr>
              <w:ind w:left="54"/>
            </w:pPr>
            <w:r w:rsidRPr="00A179AE">
              <w:t>Negatívne</w:t>
            </w:r>
          </w:p>
        </w:tc>
      </w:tr>
      <w:tr w:rsidR="00BC4D3C" w:rsidRPr="00A179AE" w:rsidTr="00BC4D3C">
        <w:tc>
          <w:tcPr>
            <w:tcW w:w="3812" w:type="dxa"/>
            <w:tcBorders>
              <w:top w:val="single" w:sz="4" w:space="0" w:color="000000" w:themeColor="text1"/>
            </w:tcBorders>
            <w:shd w:val="clear" w:color="auto" w:fill="E2E2E2"/>
          </w:tcPr>
          <w:p w:rsidR="00BC4D3C" w:rsidRPr="00A179AE" w:rsidRDefault="00BC4D3C" w:rsidP="00BC4D3C">
            <w:pPr>
              <w:rPr>
                <w:b/>
              </w:rPr>
            </w:pPr>
            <w:r w:rsidRPr="00A179AE">
              <w:rPr>
                <w:b/>
              </w:rPr>
              <w:t>Sociálne vplyvy</w:t>
            </w:r>
          </w:p>
        </w:tc>
        <w:tc>
          <w:tcPr>
            <w:tcW w:w="541" w:type="dxa"/>
            <w:gridSpan w:val="2"/>
            <w:tcBorders>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BC4D3C" w:rsidRPr="00A179AE" w:rsidRDefault="00BC4D3C" w:rsidP="00BC4D3C">
            <w:pPr>
              <w:ind w:right="-108"/>
              <w:rPr>
                <w:b/>
              </w:rPr>
            </w:pPr>
            <w:r w:rsidRPr="00A179AE">
              <w:rPr>
                <w:b/>
              </w:rPr>
              <w:t>Pozitívne</w:t>
            </w:r>
          </w:p>
        </w:tc>
        <w:tc>
          <w:tcPr>
            <w:tcW w:w="569" w:type="dxa"/>
            <w:tcBorders>
              <w:left w:val="nil"/>
              <w:right w:val="nil"/>
            </w:tcBorders>
          </w:tcPr>
          <w:p w:rsidR="00BC4D3C" w:rsidRPr="00A179AE" w:rsidRDefault="00BC4D3C" w:rsidP="00BC4D3C">
            <w:pPr>
              <w:jc w:val="center"/>
              <w:rPr>
                <w:b/>
              </w:rPr>
            </w:pPr>
            <w:r>
              <w:rPr>
                <w:rFonts w:ascii="MS Gothic" w:eastAsia="MS Gothic" w:hAnsi="MS Gothic" w:hint="eastAsia"/>
                <w:b/>
              </w:rPr>
              <w:t>☒</w:t>
            </w:r>
          </w:p>
        </w:tc>
        <w:tc>
          <w:tcPr>
            <w:tcW w:w="1133" w:type="dxa"/>
            <w:tcBorders>
              <w:left w:val="nil"/>
              <w:right w:val="nil"/>
            </w:tcBorders>
          </w:tcPr>
          <w:p w:rsidR="00BC4D3C" w:rsidRPr="00A179AE" w:rsidRDefault="00BC4D3C" w:rsidP="00BC4D3C">
            <w:pPr>
              <w:rPr>
                <w:b/>
              </w:rPr>
            </w:pPr>
            <w:r w:rsidRPr="00A179AE">
              <w:rPr>
                <w:b/>
              </w:rPr>
              <w:t>Žiadne</w:t>
            </w:r>
          </w:p>
        </w:tc>
        <w:tc>
          <w:tcPr>
            <w:tcW w:w="547" w:type="dxa"/>
            <w:gridSpan w:val="2"/>
            <w:tcBorders>
              <w:left w:val="nil"/>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97" w:type="dxa"/>
            <w:tcBorders>
              <w:left w:val="nil"/>
            </w:tcBorders>
          </w:tcPr>
          <w:p w:rsidR="00BC4D3C" w:rsidRPr="00A179AE" w:rsidRDefault="00BC4D3C" w:rsidP="00BC4D3C">
            <w:pPr>
              <w:ind w:left="54"/>
              <w:rPr>
                <w:b/>
              </w:rPr>
            </w:pPr>
            <w:r w:rsidRPr="00A179AE">
              <w:rPr>
                <w:b/>
              </w:rPr>
              <w:t>Negatívne</w:t>
            </w:r>
          </w:p>
        </w:tc>
      </w:tr>
      <w:tr w:rsidR="00BC4D3C" w:rsidRPr="00A179AE" w:rsidTr="00BC4D3C">
        <w:tc>
          <w:tcPr>
            <w:tcW w:w="3812" w:type="dxa"/>
            <w:shd w:val="clear" w:color="auto" w:fill="E2E2E2"/>
          </w:tcPr>
          <w:p w:rsidR="00BC4D3C" w:rsidRPr="00A179AE" w:rsidRDefault="00BC4D3C" w:rsidP="00BC4D3C">
            <w:pPr>
              <w:rPr>
                <w:b/>
              </w:rPr>
            </w:pPr>
            <w:r w:rsidRPr="00A179AE">
              <w:rPr>
                <w:b/>
              </w:rPr>
              <w:lastRenderedPageBreak/>
              <w:t>Vplyvy na životné prostredie</w:t>
            </w:r>
          </w:p>
        </w:tc>
        <w:tc>
          <w:tcPr>
            <w:tcW w:w="541" w:type="dxa"/>
            <w:gridSpan w:val="2"/>
            <w:tcBorders>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BC4D3C" w:rsidRPr="00A179AE" w:rsidRDefault="00BC4D3C" w:rsidP="00BC4D3C">
            <w:pPr>
              <w:ind w:right="-108"/>
              <w:rPr>
                <w:b/>
              </w:rPr>
            </w:pPr>
            <w:r w:rsidRPr="00A179AE">
              <w:rPr>
                <w:b/>
              </w:rPr>
              <w:t>Pozitívne</w:t>
            </w:r>
          </w:p>
        </w:tc>
        <w:tc>
          <w:tcPr>
            <w:tcW w:w="569" w:type="dxa"/>
            <w:tcBorders>
              <w:left w:val="nil"/>
              <w:right w:val="nil"/>
            </w:tcBorders>
          </w:tcPr>
          <w:p w:rsidR="00BC4D3C" w:rsidRPr="00A179AE" w:rsidRDefault="00BC4D3C" w:rsidP="00BC4D3C">
            <w:pPr>
              <w:jc w:val="center"/>
              <w:rPr>
                <w:b/>
              </w:rPr>
            </w:pPr>
            <w:r>
              <w:rPr>
                <w:rFonts w:ascii="MS Gothic" w:eastAsia="MS Gothic" w:hAnsi="MS Gothic" w:hint="eastAsia"/>
                <w:b/>
              </w:rPr>
              <w:t>☒</w:t>
            </w:r>
          </w:p>
        </w:tc>
        <w:tc>
          <w:tcPr>
            <w:tcW w:w="1133" w:type="dxa"/>
            <w:tcBorders>
              <w:left w:val="nil"/>
              <w:right w:val="nil"/>
            </w:tcBorders>
          </w:tcPr>
          <w:p w:rsidR="00BC4D3C" w:rsidRPr="00A179AE" w:rsidRDefault="00BC4D3C" w:rsidP="00BC4D3C">
            <w:pPr>
              <w:rPr>
                <w:b/>
              </w:rPr>
            </w:pPr>
            <w:r w:rsidRPr="00A179AE">
              <w:rPr>
                <w:b/>
              </w:rPr>
              <w:t>Žiadne</w:t>
            </w:r>
          </w:p>
        </w:tc>
        <w:tc>
          <w:tcPr>
            <w:tcW w:w="547" w:type="dxa"/>
            <w:gridSpan w:val="2"/>
            <w:tcBorders>
              <w:left w:val="nil"/>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97" w:type="dxa"/>
            <w:tcBorders>
              <w:left w:val="nil"/>
            </w:tcBorders>
          </w:tcPr>
          <w:p w:rsidR="00BC4D3C" w:rsidRPr="00A179AE" w:rsidRDefault="00BC4D3C" w:rsidP="00BC4D3C">
            <w:pPr>
              <w:ind w:left="54"/>
              <w:rPr>
                <w:b/>
              </w:rPr>
            </w:pPr>
            <w:r w:rsidRPr="00A179AE">
              <w:rPr>
                <w:b/>
              </w:rPr>
              <w:t>Negatívne</w:t>
            </w:r>
          </w:p>
        </w:tc>
      </w:tr>
      <w:tr w:rsidR="00BC4D3C" w:rsidRPr="00A179AE" w:rsidTr="00BC4D3C">
        <w:tc>
          <w:tcPr>
            <w:tcW w:w="3812" w:type="dxa"/>
            <w:shd w:val="clear" w:color="auto" w:fill="E2E2E2"/>
          </w:tcPr>
          <w:p w:rsidR="00BC4D3C" w:rsidRPr="00A179AE" w:rsidRDefault="00BC4D3C" w:rsidP="00BC4D3C">
            <w:pPr>
              <w:rPr>
                <w:b/>
              </w:rPr>
            </w:pPr>
            <w:r w:rsidRPr="00A179AE">
              <w:rPr>
                <w:b/>
              </w:rPr>
              <w:t>Vplyvy na informatizáciu</w:t>
            </w:r>
          </w:p>
        </w:tc>
        <w:tc>
          <w:tcPr>
            <w:tcW w:w="541" w:type="dxa"/>
            <w:gridSpan w:val="2"/>
            <w:tcBorders>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BC4D3C" w:rsidRPr="00A179AE" w:rsidRDefault="00BC4D3C" w:rsidP="00BC4D3C">
            <w:pPr>
              <w:ind w:right="-108"/>
              <w:rPr>
                <w:b/>
              </w:rPr>
            </w:pPr>
            <w:r w:rsidRPr="00A179AE">
              <w:rPr>
                <w:b/>
              </w:rPr>
              <w:t>Pozitívne</w:t>
            </w:r>
          </w:p>
        </w:tc>
        <w:tc>
          <w:tcPr>
            <w:tcW w:w="569" w:type="dxa"/>
            <w:tcBorders>
              <w:left w:val="nil"/>
              <w:right w:val="nil"/>
            </w:tcBorders>
          </w:tcPr>
          <w:p w:rsidR="00BC4D3C" w:rsidRPr="00A179AE" w:rsidRDefault="00BC4D3C" w:rsidP="00BC4D3C">
            <w:pPr>
              <w:jc w:val="center"/>
              <w:rPr>
                <w:b/>
              </w:rPr>
            </w:pPr>
            <w:r>
              <w:rPr>
                <w:rFonts w:ascii="MS Gothic" w:eastAsia="MS Gothic" w:hAnsi="MS Gothic" w:hint="eastAsia"/>
                <w:b/>
              </w:rPr>
              <w:t>☒</w:t>
            </w:r>
          </w:p>
        </w:tc>
        <w:tc>
          <w:tcPr>
            <w:tcW w:w="1133" w:type="dxa"/>
            <w:tcBorders>
              <w:left w:val="nil"/>
              <w:right w:val="nil"/>
            </w:tcBorders>
          </w:tcPr>
          <w:p w:rsidR="00BC4D3C" w:rsidRPr="00A179AE" w:rsidRDefault="00BC4D3C" w:rsidP="00BC4D3C">
            <w:pPr>
              <w:rPr>
                <w:b/>
              </w:rPr>
            </w:pPr>
            <w:r w:rsidRPr="00A179AE">
              <w:rPr>
                <w:b/>
              </w:rPr>
              <w:t>Žiadne</w:t>
            </w:r>
          </w:p>
        </w:tc>
        <w:tc>
          <w:tcPr>
            <w:tcW w:w="547" w:type="dxa"/>
            <w:gridSpan w:val="2"/>
            <w:tcBorders>
              <w:left w:val="nil"/>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97" w:type="dxa"/>
            <w:tcBorders>
              <w:left w:val="nil"/>
            </w:tcBorders>
          </w:tcPr>
          <w:p w:rsidR="00BC4D3C" w:rsidRPr="00A179AE" w:rsidRDefault="00BC4D3C" w:rsidP="00BC4D3C">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BC4D3C" w:rsidRPr="00A179AE" w:rsidTr="00BC4D3C">
        <w:tc>
          <w:tcPr>
            <w:tcW w:w="3812" w:type="dxa"/>
            <w:tcBorders>
              <w:bottom w:val="nil"/>
            </w:tcBorders>
            <w:shd w:val="clear" w:color="auto" w:fill="E2E2E2"/>
          </w:tcPr>
          <w:p w:rsidR="00BC4D3C" w:rsidRPr="00653ADA" w:rsidRDefault="00BC4D3C" w:rsidP="00BC4D3C">
            <w:pPr>
              <w:rPr>
                <w:b/>
              </w:rPr>
            </w:pPr>
            <w:r>
              <w:rPr>
                <w:b/>
                <w:lang w:eastAsia="en-US"/>
              </w:rPr>
              <w:t>V</w:t>
            </w:r>
            <w:r w:rsidRPr="00127DAC">
              <w:rPr>
                <w:b/>
                <w:lang w:eastAsia="en-US"/>
              </w:rPr>
              <w:t>plyv</w:t>
            </w:r>
            <w:r>
              <w:rPr>
                <w:b/>
                <w:lang w:eastAsia="en-US"/>
              </w:rPr>
              <w:t>y</w:t>
            </w:r>
            <w:r w:rsidRPr="00127DAC">
              <w:rPr>
                <w:b/>
                <w:lang w:eastAsia="en-US"/>
              </w:rPr>
              <w:t xml:space="preserve"> na služby verejnej správy pre občana</w:t>
            </w:r>
            <w:r>
              <w:rPr>
                <w:b/>
                <w:lang w:eastAsia="en-US"/>
              </w:rPr>
              <w:t>, z toho</w:t>
            </w:r>
          </w:p>
        </w:tc>
        <w:tc>
          <w:tcPr>
            <w:tcW w:w="541" w:type="dxa"/>
            <w:tcBorders>
              <w:bottom w:val="nil"/>
              <w:right w:val="nil"/>
            </w:tcBorders>
          </w:tcPr>
          <w:p w:rsidR="00BC4D3C" w:rsidRPr="00653ADA" w:rsidRDefault="00BC4D3C" w:rsidP="00BC4D3C">
            <w:pPr>
              <w:jc w:val="center"/>
              <w:rPr>
                <w:rFonts w:eastAsia="MS Mincho"/>
                <w:b/>
              </w:rPr>
            </w:pPr>
          </w:p>
        </w:tc>
        <w:tc>
          <w:tcPr>
            <w:tcW w:w="1281" w:type="dxa"/>
            <w:tcBorders>
              <w:left w:val="nil"/>
              <w:bottom w:val="nil"/>
              <w:right w:val="nil"/>
            </w:tcBorders>
          </w:tcPr>
          <w:p w:rsidR="00BC4D3C" w:rsidRPr="00653ADA" w:rsidRDefault="00BC4D3C" w:rsidP="00BC4D3C">
            <w:pPr>
              <w:ind w:right="-108"/>
              <w:rPr>
                <w:b/>
              </w:rPr>
            </w:pPr>
          </w:p>
        </w:tc>
        <w:tc>
          <w:tcPr>
            <w:tcW w:w="569" w:type="dxa"/>
            <w:tcBorders>
              <w:left w:val="nil"/>
              <w:bottom w:val="nil"/>
              <w:right w:val="nil"/>
            </w:tcBorders>
          </w:tcPr>
          <w:p w:rsidR="00BC4D3C" w:rsidRPr="00653ADA" w:rsidRDefault="00BC4D3C" w:rsidP="00BC4D3C">
            <w:pPr>
              <w:jc w:val="center"/>
              <w:rPr>
                <w:rFonts w:eastAsia="MS Mincho"/>
                <w:b/>
              </w:rPr>
            </w:pPr>
          </w:p>
        </w:tc>
        <w:tc>
          <w:tcPr>
            <w:tcW w:w="1133" w:type="dxa"/>
            <w:tcBorders>
              <w:left w:val="nil"/>
              <w:bottom w:val="nil"/>
              <w:right w:val="nil"/>
            </w:tcBorders>
          </w:tcPr>
          <w:p w:rsidR="00BC4D3C" w:rsidRPr="00653ADA" w:rsidRDefault="00BC4D3C" w:rsidP="00BC4D3C">
            <w:pPr>
              <w:rPr>
                <w:b/>
              </w:rPr>
            </w:pPr>
          </w:p>
        </w:tc>
        <w:tc>
          <w:tcPr>
            <w:tcW w:w="547" w:type="dxa"/>
            <w:tcBorders>
              <w:left w:val="nil"/>
              <w:bottom w:val="nil"/>
              <w:right w:val="nil"/>
            </w:tcBorders>
          </w:tcPr>
          <w:p w:rsidR="00BC4D3C" w:rsidRPr="00653ADA" w:rsidRDefault="00BC4D3C" w:rsidP="00BC4D3C">
            <w:pPr>
              <w:jc w:val="center"/>
              <w:rPr>
                <w:rFonts w:eastAsia="MS Mincho"/>
                <w:b/>
              </w:rPr>
            </w:pPr>
          </w:p>
        </w:tc>
        <w:tc>
          <w:tcPr>
            <w:tcW w:w="1297" w:type="dxa"/>
            <w:tcBorders>
              <w:left w:val="nil"/>
              <w:bottom w:val="nil"/>
            </w:tcBorders>
          </w:tcPr>
          <w:p w:rsidR="00BC4D3C" w:rsidRPr="00653ADA" w:rsidRDefault="00BC4D3C" w:rsidP="00BC4D3C">
            <w:pPr>
              <w:ind w:left="54"/>
              <w:rPr>
                <w:b/>
              </w:rPr>
            </w:pPr>
          </w:p>
        </w:tc>
      </w:tr>
      <w:tr w:rsidR="00BC4D3C" w:rsidRPr="009634B3" w:rsidTr="00BC4D3C">
        <w:tc>
          <w:tcPr>
            <w:tcW w:w="3812" w:type="dxa"/>
            <w:tcBorders>
              <w:top w:val="nil"/>
              <w:bottom w:val="nil"/>
            </w:tcBorders>
            <w:shd w:val="clear" w:color="auto" w:fill="E2E2E2"/>
          </w:tcPr>
          <w:p w:rsidR="00BC4D3C" w:rsidRPr="009634B3" w:rsidRDefault="00BC4D3C" w:rsidP="00BC4D3C">
            <w:pPr>
              <w:ind w:left="196" w:hanging="196"/>
              <w:rPr>
                <w:b/>
                <w:lang w:eastAsia="en-US"/>
              </w:rPr>
            </w:pPr>
            <w:r w:rsidRPr="009634B3">
              <w:rPr>
                <w:b/>
                <w:lang w:eastAsia="en-US"/>
              </w:rPr>
              <w:t xml:space="preserve">    vplyvy služieb verejnej správy na občana</w:t>
            </w:r>
          </w:p>
        </w:tc>
        <w:tc>
          <w:tcPr>
            <w:tcW w:w="541" w:type="dxa"/>
            <w:tcBorders>
              <w:top w:val="nil"/>
              <w:bottom w:val="nil"/>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81" w:type="dxa"/>
            <w:tcBorders>
              <w:top w:val="nil"/>
              <w:left w:val="nil"/>
              <w:bottom w:val="nil"/>
              <w:right w:val="nil"/>
            </w:tcBorders>
          </w:tcPr>
          <w:p w:rsidR="00BC4D3C" w:rsidRPr="00A179AE" w:rsidRDefault="00BC4D3C" w:rsidP="00BC4D3C">
            <w:pPr>
              <w:ind w:right="-108"/>
              <w:rPr>
                <w:b/>
              </w:rPr>
            </w:pPr>
            <w:r w:rsidRPr="00A179AE">
              <w:rPr>
                <w:b/>
              </w:rPr>
              <w:t>Pozitívne</w:t>
            </w:r>
          </w:p>
        </w:tc>
        <w:tc>
          <w:tcPr>
            <w:tcW w:w="569" w:type="dxa"/>
            <w:tcBorders>
              <w:top w:val="nil"/>
              <w:left w:val="nil"/>
              <w:bottom w:val="nil"/>
              <w:right w:val="nil"/>
            </w:tcBorders>
          </w:tcPr>
          <w:p w:rsidR="00BC4D3C" w:rsidRPr="00A179AE" w:rsidRDefault="00BC4D3C" w:rsidP="00BC4D3C">
            <w:pPr>
              <w:jc w:val="center"/>
              <w:rPr>
                <w:b/>
              </w:rPr>
            </w:pPr>
            <w:r>
              <w:rPr>
                <w:rFonts w:ascii="MS Gothic" w:eastAsia="MS Gothic" w:hAnsi="MS Gothic" w:hint="eastAsia"/>
                <w:b/>
              </w:rPr>
              <w:t>☒</w:t>
            </w:r>
          </w:p>
        </w:tc>
        <w:tc>
          <w:tcPr>
            <w:tcW w:w="1133" w:type="dxa"/>
            <w:tcBorders>
              <w:top w:val="nil"/>
              <w:left w:val="nil"/>
              <w:bottom w:val="nil"/>
              <w:right w:val="nil"/>
            </w:tcBorders>
          </w:tcPr>
          <w:p w:rsidR="00BC4D3C" w:rsidRPr="00A179AE" w:rsidRDefault="00BC4D3C" w:rsidP="00BC4D3C">
            <w:pPr>
              <w:rPr>
                <w:b/>
              </w:rPr>
            </w:pPr>
            <w:r w:rsidRPr="00A179AE">
              <w:rPr>
                <w:b/>
              </w:rPr>
              <w:t>Žiadne</w:t>
            </w:r>
          </w:p>
        </w:tc>
        <w:tc>
          <w:tcPr>
            <w:tcW w:w="547" w:type="dxa"/>
            <w:tcBorders>
              <w:top w:val="nil"/>
              <w:left w:val="nil"/>
              <w:bottom w:val="nil"/>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97" w:type="dxa"/>
            <w:tcBorders>
              <w:top w:val="nil"/>
              <w:left w:val="nil"/>
              <w:bottom w:val="nil"/>
            </w:tcBorders>
          </w:tcPr>
          <w:p w:rsidR="00BC4D3C" w:rsidRPr="00A179AE" w:rsidRDefault="00BC4D3C" w:rsidP="00BC4D3C">
            <w:pPr>
              <w:ind w:left="54"/>
              <w:rPr>
                <w:b/>
              </w:rPr>
            </w:pPr>
            <w:r w:rsidRPr="00A179AE">
              <w:rPr>
                <w:b/>
              </w:rPr>
              <w:t>Negatívne</w:t>
            </w:r>
          </w:p>
        </w:tc>
      </w:tr>
      <w:tr w:rsidR="00BC4D3C" w:rsidRPr="009634B3" w:rsidTr="00BC4D3C">
        <w:tc>
          <w:tcPr>
            <w:tcW w:w="3812" w:type="dxa"/>
            <w:tcBorders>
              <w:top w:val="nil"/>
            </w:tcBorders>
            <w:shd w:val="clear" w:color="auto" w:fill="E2E2E2"/>
          </w:tcPr>
          <w:p w:rsidR="00BC4D3C" w:rsidRPr="009634B3" w:rsidRDefault="00BC4D3C" w:rsidP="00BC4D3C">
            <w:pPr>
              <w:ind w:left="168" w:hanging="168"/>
              <w:rPr>
                <w:b/>
                <w:lang w:eastAsia="en-US"/>
              </w:rPr>
            </w:pPr>
            <w:r>
              <w:rPr>
                <w:b/>
                <w:lang w:eastAsia="en-US"/>
              </w:rPr>
              <w:t xml:space="preserve">    </w:t>
            </w:r>
            <w:r w:rsidRPr="009634B3">
              <w:rPr>
                <w:b/>
                <w:lang w:eastAsia="en-US"/>
              </w:rPr>
              <w:t>vplyvy na procesy služieb vo verejnej správe</w:t>
            </w:r>
          </w:p>
        </w:tc>
        <w:tc>
          <w:tcPr>
            <w:tcW w:w="541" w:type="dxa"/>
            <w:tcBorders>
              <w:top w:val="nil"/>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81" w:type="dxa"/>
            <w:tcBorders>
              <w:top w:val="nil"/>
              <w:left w:val="nil"/>
              <w:right w:val="nil"/>
            </w:tcBorders>
          </w:tcPr>
          <w:p w:rsidR="00BC4D3C" w:rsidRPr="00A179AE" w:rsidRDefault="00BC4D3C" w:rsidP="00BC4D3C">
            <w:pPr>
              <w:ind w:right="-108"/>
              <w:rPr>
                <w:b/>
              </w:rPr>
            </w:pPr>
            <w:r w:rsidRPr="00A179AE">
              <w:rPr>
                <w:b/>
              </w:rPr>
              <w:t>Pozitívne</w:t>
            </w:r>
          </w:p>
        </w:tc>
        <w:tc>
          <w:tcPr>
            <w:tcW w:w="569" w:type="dxa"/>
            <w:tcBorders>
              <w:top w:val="nil"/>
              <w:left w:val="nil"/>
              <w:right w:val="nil"/>
            </w:tcBorders>
          </w:tcPr>
          <w:p w:rsidR="00BC4D3C" w:rsidRPr="00A179AE" w:rsidRDefault="00BC4D3C" w:rsidP="00BC4D3C">
            <w:pPr>
              <w:jc w:val="center"/>
              <w:rPr>
                <w:b/>
              </w:rPr>
            </w:pPr>
            <w:r>
              <w:rPr>
                <w:rFonts w:ascii="MS Gothic" w:eastAsia="MS Gothic" w:hAnsi="MS Gothic" w:hint="eastAsia"/>
                <w:b/>
              </w:rPr>
              <w:t>☒</w:t>
            </w:r>
          </w:p>
        </w:tc>
        <w:tc>
          <w:tcPr>
            <w:tcW w:w="1133" w:type="dxa"/>
            <w:tcBorders>
              <w:top w:val="nil"/>
              <w:left w:val="nil"/>
              <w:right w:val="nil"/>
            </w:tcBorders>
          </w:tcPr>
          <w:p w:rsidR="00BC4D3C" w:rsidRPr="00A179AE" w:rsidRDefault="00BC4D3C" w:rsidP="00BC4D3C">
            <w:pPr>
              <w:rPr>
                <w:b/>
              </w:rPr>
            </w:pPr>
            <w:r w:rsidRPr="00A179AE">
              <w:rPr>
                <w:b/>
              </w:rPr>
              <w:t>Žiadne</w:t>
            </w:r>
          </w:p>
        </w:tc>
        <w:tc>
          <w:tcPr>
            <w:tcW w:w="547" w:type="dxa"/>
            <w:tcBorders>
              <w:top w:val="nil"/>
              <w:left w:val="nil"/>
              <w:right w:val="nil"/>
            </w:tcBorders>
          </w:tcPr>
          <w:p w:rsidR="00BC4D3C" w:rsidRPr="00A179AE" w:rsidRDefault="00BC4D3C" w:rsidP="00BC4D3C">
            <w:pPr>
              <w:jc w:val="center"/>
              <w:rPr>
                <w:b/>
              </w:rPr>
            </w:pPr>
            <w:r w:rsidRPr="00A179AE">
              <w:rPr>
                <w:rFonts w:ascii="MS Mincho" w:eastAsia="MS Mincho" w:hAnsi="MS Mincho" w:cs="MS Mincho" w:hint="eastAsia"/>
                <w:b/>
              </w:rPr>
              <w:t>☐</w:t>
            </w:r>
          </w:p>
        </w:tc>
        <w:tc>
          <w:tcPr>
            <w:tcW w:w="1297" w:type="dxa"/>
            <w:tcBorders>
              <w:top w:val="nil"/>
              <w:left w:val="nil"/>
            </w:tcBorders>
          </w:tcPr>
          <w:p w:rsidR="00BC4D3C" w:rsidRPr="00A179AE" w:rsidRDefault="00BC4D3C" w:rsidP="00BC4D3C">
            <w:pPr>
              <w:ind w:left="54"/>
              <w:rPr>
                <w:b/>
              </w:rPr>
            </w:pPr>
            <w:r w:rsidRPr="00A179AE">
              <w:rPr>
                <w:b/>
              </w:rPr>
              <w:t>Negatívne</w:t>
            </w:r>
          </w:p>
        </w:tc>
      </w:tr>
    </w:tbl>
    <w:p w:rsidR="00BC4D3C" w:rsidRPr="00A179AE" w:rsidRDefault="00BC4D3C" w:rsidP="00BC4D3C">
      <w:pPr>
        <w:ind w:right="141"/>
        <w:rPr>
          <w:b/>
        </w:rPr>
      </w:pPr>
    </w:p>
    <w:tbl>
      <w:tblPr>
        <w:tblStyle w:val="Mriekatabuky"/>
        <w:tblW w:w="9176" w:type="dxa"/>
        <w:tblLayout w:type="fixed"/>
        <w:tblLook w:val="04A0" w:firstRow="1" w:lastRow="0" w:firstColumn="1" w:lastColumn="0" w:noHBand="0" w:noVBand="1"/>
      </w:tblPr>
      <w:tblGrid>
        <w:gridCol w:w="9176"/>
      </w:tblGrid>
      <w:tr w:rsidR="00BC4D3C" w:rsidRPr="00A179AE" w:rsidTr="00BC4D3C">
        <w:tc>
          <w:tcPr>
            <w:tcW w:w="9176" w:type="dxa"/>
            <w:tcBorders>
              <w:bottom w:val="nil"/>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t>Poznámky</w:t>
            </w:r>
          </w:p>
        </w:tc>
      </w:tr>
      <w:tr w:rsidR="00BC4D3C" w:rsidRPr="00A179AE" w:rsidTr="00BC4D3C">
        <w:trPr>
          <w:trHeight w:val="713"/>
        </w:trPr>
        <w:tc>
          <w:tcPr>
            <w:tcW w:w="9176" w:type="dxa"/>
            <w:tcBorders>
              <w:top w:val="nil"/>
              <w:bottom w:val="single" w:sz="4" w:space="0" w:color="FFFFFF" w:themeColor="background1"/>
            </w:tcBorders>
          </w:tcPr>
          <w:p w:rsidR="00BC4D3C" w:rsidRDefault="00BC4D3C" w:rsidP="00BC4D3C">
            <w:pPr>
              <w:rPr>
                <w:i/>
              </w:rPr>
            </w:pPr>
            <w:r w:rsidRPr="00A179AE">
              <w:rPr>
                <w:i/>
              </w:rPr>
              <w:t>V prípade potreby uveďte doplňujúce informácie k návrhu.</w:t>
            </w:r>
          </w:p>
          <w:p w:rsidR="00BC4D3C" w:rsidRPr="00A179AE" w:rsidRDefault="00BC4D3C" w:rsidP="00BC4D3C">
            <w:pPr>
              <w:rPr>
                <w:i/>
              </w:rPr>
            </w:pPr>
          </w:p>
          <w:p w:rsidR="00BC4D3C" w:rsidRPr="00605E60" w:rsidRDefault="00BC4D3C" w:rsidP="00BC4D3C">
            <w:pPr>
              <w:jc w:val="both"/>
            </w:pPr>
            <w:r w:rsidRPr="00605E60">
              <w:t>Je možné očakávať pozitívny vplyv predkladaného materiálu na podnikateľské prostredie. Zvýšenie percentuálneho podielu dotácie, ktorú fond poskytuje na podporu audiovizuálneho priemyslu, z 20 % oprávnených výdavkov na 3</w:t>
            </w:r>
            <w:r>
              <w:t>3</w:t>
            </w:r>
            <w:r w:rsidRPr="00605E60">
              <w:t xml:space="preserve"> % oprávnených výdavkov môže znamenať stimuláciu súkromných investícií</w:t>
            </w:r>
            <w:r>
              <w:t xml:space="preserve"> </w:t>
            </w:r>
            <w:r w:rsidRPr="00605E60">
              <w:t xml:space="preserve">do sektora audiovizuálneho priemyslu v SR, čím sa zvýši konkurencieschopnosť tohto sektora a zároveň sa očakáva prilákanie väčšieho množstva zahraničných filmových koprodukcií, ktoré môže mať zásadný vplyv </w:t>
            </w:r>
            <w:r>
              <w:br/>
            </w:r>
            <w:r w:rsidRPr="00605E60">
              <w:t>na rozvoj daného hospodárskeho prostredia.</w:t>
            </w:r>
          </w:p>
        </w:tc>
      </w:tr>
      <w:tr w:rsidR="00BC4D3C" w:rsidRPr="00A179AE" w:rsidTr="00BC4D3C">
        <w:tc>
          <w:tcPr>
            <w:tcW w:w="9176" w:type="dxa"/>
            <w:tcBorders>
              <w:bottom w:val="single" w:sz="4" w:space="0" w:color="FFFFFF" w:themeColor="background1"/>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t>Kontakt na spracovateľa</w:t>
            </w:r>
          </w:p>
        </w:tc>
      </w:tr>
      <w:tr w:rsidR="00BC4D3C" w:rsidRPr="00A179AE" w:rsidTr="00BC4D3C">
        <w:trPr>
          <w:trHeight w:val="586"/>
        </w:trPr>
        <w:tc>
          <w:tcPr>
            <w:tcW w:w="9176" w:type="dxa"/>
            <w:tcBorders>
              <w:top w:val="single" w:sz="4" w:space="0" w:color="FFFFFF" w:themeColor="background1"/>
            </w:tcBorders>
            <w:shd w:val="clear" w:color="auto" w:fill="FFFFFF" w:themeFill="background1"/>
          </w:tcPr>
          <w:p w:rsidR="00BC4D3C" w:rsidRDefault="00BC4D3C" w:rsidP="00BC4D3C">
            <w:pPr>
              <w:rPr>
                <w:i/>
              </w:rPr>
            </w:pPr>
            <w:r>
              <w:rPr>
                <w:i/>
              </w:rPr>
              <w:t>Uveďte</w:t>
            </w:r>
            <w:r w:rsidRPr="00D13B6F">
              <w:rPr>
                <w:i/>
              </w:rPr>
              <w:t xml:space="preserve"> údaje na kontaktnú osobu, ktorú je možné kontaktovať v súvislosti s posúdením vybraných vplyvov</w:t>
            </w:r>
          </w:p>
          <w:p w:rsidR="00BC4D3C" w:rsidRDefault="00BC4D3C" w:rsidP="00BC4D3C">
            <w:pPr>
              <w:rPr>
                <w:i/>
              </w:rPr>
            </w:pPr>
          </w:p>
          <w:p w:rsidR="00BC4D3C" w:rsidRPr="00D13B6F" w:rsidRDefault="00BC4D3C" w:rsidP="00BC4D3C">
            <w:pPr>
              <w:jc w:val="both"/>
              <w:rPr>
                <w:i/>
              </w:rPr>
            </w:pPr>
            <w:r>
              <w:t>JUDr. Anton Škreko, PhD., generálny riaditeľ sekcie médií, audiovízie a autorského práva MK SR, anton.skreko@culture.gov.sk</w:t>
            </w:r>
          </w:p>
        </w:tc>
      </w:tr>
      <w:tr w:rsidR="00BC4D3C" w:rsidRPr="00A179AE" w:rsidTr="00BC4D3C">
        <w:tc>
          <w:tcPr>
            <w:tcW w:w="9176" w:type="dxa"/>
            <w:tcBorders>
              <w:bottom w:val="single" w:sz="4" w:space="0" w:color="FFFFFF" w:themeColor="background1"/>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t>Zdroje</w:t>
            </w:r>
          </w:p>
        </w:tc>
      </w:tr>
      <w:tr w:rsidR="00BC4D3C" w:rsidRPr="00A179AE" w:rsidTr="00BC4D3C">
        <w:trPr>
          <w:trHeight w:val="401"/>
        </w:trPr>
        <w:tc>
          <w:tcPr>
            <w:tcW w:w="9176" w:type="dxa"/>
            <w:tcBorders>
              <w:top w:val="single" w:sz="4" w:space="0" w:color="FFFFFF" w:themeColor="background1"/>
            </w:tcBorders>
            <w:shd w:val="clear" w:color="auto" w:fill="FFFFFF" w:themeFill="background1"/>
          </w:tcPr>
          <w:p w:rsidR="00BC4D3C" w:rsidRPr="00A179AE" w:rsidRDefault="00BC4D3C" w:rsidP="00BC4D3C">
            <w:pPr>
              <w:rPr>
                <w:i/>
              </w:rPr>
            </w:pPr>
            <w:r w:rsidRPr="00A179AE">
              <w:rPr>
                <w:i/>
              </w:rPr>
              <w:t>Uveďte zdroje</w:t>
            </w:r>
            <w:r>
              <w:rPr>
                <w:i/>
              </w:rPr>
              <w:t xml:space="preserve"> (štatistiky, prieskumy, spoluprácu s odborníkmi a iné)</w:t>
            </w:r>
            <w:r w:rsidRPr="00A179AE">
              <w:rPr>
                <w:i/>
              </w:rPr>
              <w:t>, z ktorých ste pri vypracovávaní doložky, príp. analýz vplyvov vychádzali.</w:t>
            </w:r>
          </w:p>
          <w:p w:rsidR="00BC4D3C" w:rsidRPr="00422575" w:rsidRDefault="00BC4D3C" w:rsidP="00BC4D3C"/>
          <w:p w:rsidR="00BC4D3C" w:rsidRPr="00422575" w:rsidRDefault="00BC4D3C" w:rsidP="00BC4D3C">
            <w:pPr>
              <w:jc w:val="both"/>
            </w:pPr>
            <w:r w:rsidRPr="00422575">
              <w:t>Pri vypracúvaní analýzy vplyvov vychádz</w:t>
            </w:r>
            <w:r>
              <w:t>al predkladateľ z konzultácií s</w:t>
            </w:r>
            <w:r w:rsidRPr="00422575">
              <w:t xml:space="preserve"> fondom a ďalšími odborníkmi z oblasti audiovízie. </w:t>
            </w:r>
          </w:p>
          <w:p w:rsidR="00BC4D3C" w:rsidRPr="00422575" w:rsidRDefault="00BC4D3C" w:rsidP="00BC4D3C">
            <w:pPr>
              <w:jc w:val="both"/>
            </w:pPr>
            <w:r>
              <w:t>Prvú a</w:t>
            </w:r>
            <w:r w:rsidRPr="00422575">
              <w:t>nalýzu vplyvov na rozpočet vypracoval Inštitút kultúrnej politiky</w:t>
            </w:r>
            <w:r>
              <w:t>, Ministerstvo kultúry Slovenskej republiky.</w:t>
            </w:r>
          </w:p>
          <w:p w:rsidR="00BC4D3C" w:rsidRPr="00422575" w:rsidRDefault="00BC4D3C" w:rsidP="00BC4D3C">
            <w:pPr>
              <w:rPr>
                <w:bCs/>
              </w:rPr>
            </w:pPr>
            <w:r w:rsidRPr="00422575">
              <w:t xml:space="preserve"> </w:t>
            </w:r>
          </w:p>
          <w:p w:rsidR="00BC4D3C" w:rsidRPr="00422575" w:rsidRDefault="00BC4D3C" w:rsidP="00BC4D3C">
            <w:r w:rsidRPr="00422575">
              <w:rPr>
                <w:bCs/>
              </w:rPr>
              <w:t xml:space="preserve">Zdroje: </w:t>
            </w:r>
          </w:p>
          <w:p w:rsidR="00BC4D3C" w:rsidRPr="00422575" w:rsidRDefault="00BC4D3C" w:rsidP="00BC4D3C">
            <w:pPr>
              <w:rPr>
                <w:bCs/>
              </w:rPr>
            </w:pPr>
            <w:r>
              <w:t>dáta z fondu</w:t>
            </w:r>
            <w:r w:rsidRPr="00422575">
              <w:t xml:space="preserve"> dostupné na: </w:t>
            </w:r>
            <w:r w:rsidRPr="00422575">
              <w:rPr>
                <w:bCs/>
              </w:rPr>
              <w:t xml:space="preserve">registracia.avf.sk/zobraz_ziadosti.php?program=5 </w:t>
            </w:r>
          </w:p>
          <w:p w:rsidR="00BC4D3C" w:rsidRPr="00422575" w:rsidRDefault="00BC4D3C" w:rsidP="00BC4D3C">
            <w:r w:rsidRPr="00422575">
              <w:t xml:space="preserve">KPMG (2015): </w:t>
            </w:r>
            <w:r w:rsidRPr="00422575">
              <w:rPr>
                <w:i/>
              </w:rPr>
              <w:t xml:space="preserve">Analýza filmových </w:t>
            </w:r>
            <w:proofErr w:type="spellStart"/>
            <w:r w:rsidRPr="00422575">
              <w:rPr>
                <w:i/>
              </w:rPr>
              <w:t>pobídek</w:t>
            </w:r>
            <w:proofErr w:type="spellEnd"/>
            <w:r w:rsidRPr="00422575">
              <w:rPr>
                <w:i/>
              </w:rPr>
              <w:t xml:space="preserve"> a </w:t>
            </w:r>
            <w:proofErr w:type="spellStart"/>
            <w:r w:rsidRPr="00422575">
              <w:rPr>
                <w:i/>
              </w:rPr>
              <w:t>vyhodnocení</w:t>
            </w:r>
            <w:proofErr w:type="spellEnd"/>
            <w:r w:rsidRPr="00422575">
              <w:rPr>
                <w:i/>
              </w:rPr>
              <w:t xml:space="preserve"> </w:t>
            </w:r>
            <w:proofErr w:type="spellStart"/>
            <w:r w:rsidRPr="00422575">
              <w:rPr>
                <w:i/>
              </w:rPr>
              <w:t>jejich</w:t>
            </w:r>
            <w:proofErr w:type="spellEnd"/>
            <w:r w:rsidRPr="00422575">
              <w:rPr>
                <w:i/>
              </w:rPr>
              <w:t xml:space="preserve"> </w:t>
            </w:r>
            <w:proofErr w:type="spellStart"/>
            <w:r w:rsidRPr="00422575">
              <w:rPr>
                <w:i/>
              </w:rPr>
              <w:t>přínosú</w:t>
            </w:r>
            <w:proofErr w:type="spellEnd"/>
            <w:r w:rsidRPr="00422575">
              <w:rPr>
                <w:i/>
              </w:rPr>
              <w:t xml:space="preserve"> v Českej republike</w:t>
            </w:r>
            <w:r w:rsidRPr="00422575">
              <w:t xml:space="preserve">. </w:t>
            </w:r>
          </w:p>
          <w:p w:rsidR="00BC4D3C" w:rsidRPr="00517327" w:rsidRDefault="00BC4D3C" w:rsidP="00BC4D3C"/>
        </w:tc>
      </w:tr>
      <w:tr w:rsidR="00BC4D3C" w:rsidRPr="00A179AE" w:rsidTr="00BC4D3C">
        <w:tc>
          <w:tcPr>
            <w:tcW w:w="9176" w:type="dxa"/>
            <w:tcBorders>
              <w:bottom w:val="single" w:sz="4" w:space="0" w:color="FFFFFF" w:themeColor="background1"/>
            </w:tcBorders>
            <w:shd w:val="clear" w:color="auto" w:fill="E2E2E2"/>
          </w:tcPr>
          <w:p w:rsidR="00BC4D3C" w:rsidRPr="00A179AE" w:rsidRDefault="00BC4D3C" w:rsidP="00BC4D3C">
            <w:pPr>
              <w:pStyle w:val="Odsekzoznamu"/>
              <w:widowControl/>
              <w:numPr>
                <w:ilvl w:val="0"/>
                <w:numId w:val="1"/>
              </w:numPr>
              <w:adjustRightInd/>
              <w:ind w:left="426"/>
              <w:rPr>
                <w:b/>
              </w:rPr>
            </w:pPr>
            <w:r w:rsidRPr="00A179AE">
              <w:rPr>
                <w:b/>
              </w:rPr>
              <w:t xml:space="preserve">Stanovisko </w:t>
            </w:r>
            <w:r>
              <w:rPr>
                <w:b/>
              </w:rPr>
              <w:t>Komisie pre posudzovanie vybraných vplyvov</w:t>
            </w:r>
            <w:r w:rsidRPr="00A179AE">
              <w:rPr>
                <w:b/>
              </w:rPr>
              <w:t xml:space="preserve"> z PPK</w:t>
            </w:r>
          </w:p>
        </w:tc>
      </w:tr>
      <w:tr w:rsidR="00BC4D3C" w:rsidRPr="00A179AE" w:rsidTr="00BC4D3C">
        <w:tc>
          <w:tcPr>
            <w:tcW w:w="9176" w:type="dxa"/>
            <w:tcBorders>
              <w:top w:val="single" w:sz="4" w:space="0" w:color="FFFFFF" w:themeColor="background1"/>
            </w:tcBorders>
            <w:shd w:val="clear" w:color="auto" w:fill="FFFFFF" w:themeFill="background1"/>
          </w:tcPr>
          <w:p w:rsidR="00BC4D3C" w:rsidRPr="00A179AE" w:rsidRDefault="00BC4D3C" w:rsidP="00BC4D3C">
            <w:pPr>
              <w:rPr>
                <w:i/>
              </w:rPr>
            </w:pPr>
            <w:r w:rsidRPr="00A179AE">
              <w:rPr>
                <w:i/>
              </w:rPr>
              <w:t xml:space="preserve">Uveďte stanovisko </w:t>
            </w:r>
            <w:r>
              <w:rPr>
                <w:i/>
              </w:rPr>
              <w:t>Komisie pre posudzovanie vybraných vplyvov</w:t>
            </w:r>
            <w:r w:rsidRPr="00A179AE">
              <w:rPr>
                <w:i/>
              </w:rPr>
              <w:t>, ktoré Vám bolo zaslané v rámci predbežného pripomienkového konania</w:t>
            </w:r>
          </w:p>
          <w:p w:rsidR="00BC4D3C" w:rsidRPr="00A179AE" w:rsidRDefault="00BC4D3C" w:rsidP="00BC4D3C">
            <w:pPr>
              <w:rPr>
                <w:b/>
              </w:rPr>
            </w:pPr>
          </w:p>
          <w:p w:rsidR="00BC4D3C" w:rsidRPr="00A179AE" w:rsidRDefault="00BC4D3C" w:rsidP="00BC4D3C">
            <w:pPr>
              <w:rPr>
                <w:b/>
              </w:rPr>
            </w:pPr>
          </w:p>
          <w:tbl>
            <w:tblPr>
              <w:tblW w:w="0" w:type="auto"/>
              <w:tblInd w:w="109" w:type="dxa"/>
              <w:tblLayout w:type="fixed"/>
              <w:tblLook w:val="0000" w:firstRow="0" w:lastRow="0" w:firstColumn="0" w:lastColumn="0" w:noHBand="0" w:noVBand="0"/>
            </w:tblPr>
            <w:tblGrid>
              <w:gridCol w:w="4253"/>
              <w:gridCol w:w="5244"/>
            </w:tblGrid>
            <w:tr w:rsidR="00BC4D3C" w:rsidRPr="00605E60" w:rsidTr="00BC4D3C">
              <w:tc>
                <w:tcPr>
                  <w:tcW w:w="4253" w:type="dxa"/>
                </w:tcPr>
                <w:p w:rsidR="00BC4D3C" w:rsidRPr="00605E60" w:rsidRDefault="00BC4D3C" w:rsidP="00BC4D3C">
                  <w:pPr>
                    <w:suppressAutoHyphens/>
                    <w:spacing w:line="100" w:lineRule="atLeast"/>
                    <w:jc w:val="both"/>
                    <w:rPr>
                      <w:smallCaps/>
                      <w:lang w:eastAsia="ar-SA"/>
                    </w:rPr>
                  </w:pPr>
                </w:p>
              </w:tc>
              <w:tc>
                <w:tcPr>
                  <w:tcW w:w="5244" w:type="dxa"/>
                </w:tcPr>
                <w:p w:rsidR="00BC4D3C" w:rsidRPr="00605E60" w:rsidRDefault="00BC4D3C" w:rsidP="00BC4D3C">
                  <w:pPr>
                    <w:suppressAutoHyphens/>
                    <w:spacing w:line="100" w:lineRule="atLeast"/>
                    <w:rPr>
                      <w:smallCaps/>
                      <w:lang w:eastAsia="ar-SA"/>
                    </w:rPr>
                  </w:pPr>
                  <w:r w:rsidRPr="00605E60">
                    <w:rPr>
                      <w:smallCaps/>
                      <w:lang w:eastAsia="ar-SA"/>
                    </w:rPr>
                    <w:t xml:space="preserve">                                       Bratislava:  8.1.2019</w:t>
                  </w:r>
                </w:p>
                <w:p w:rsidR="00BC4D3C" w:rsidRPr="00605E60" w:rsidRDefault="00BC4D3C" w:rsidP="00BC4D3C">
                  <w:pPr>
                    <w:suppressAutoHyphens/>
                    <w:spacing w:line="100" w:lineRule="atLeast"/>
                    <w:rPr>
                      <w:smallCaps/>
                      <w:lang w:eastAsia="ar-SA"/>
                    </w:rPr>
                  </w:pPr>
                  <w:r w:rsidRPr="00605E60">
                    <w:rPr>
                      <w:smallCaps/>
                      <w:lang w:eastAsia="ar-SA"/>
                    </w:rPr>
                    <w:t xml:space="preserve">                                       Číslo: 299/2018</w:t>
                  </w:r>
                </w:p>
                <w:p w:rsidR="00BC4D3C" w:rsidRPr="00605E60" w:rsidRDefault="00BC4D3C" w:rsidP="00BC4D3C">
                  <w:pPr>
                    <w:suppressAutoHyphens/>
                    <w:spacing w:line="100" w:lineRule="atLeast"/>
                    <w:rPr>
                      <w:lang w:eastAsia="ar-SA"/>
                    </w:rPr>
                  </w:pPr>
                  <w:r w:rsidRPr="00605E60">
                    <w:rPr>
                      <w:smallCaps/>
                      <w:lang w:eastAsia="ar-SA"/>
                    </w:rPr>
                    <w:t xml:space="preserve">                                       Vybavuje: Mgr. Kováč</w:t>
                  </w:r>
                </w:p>
              </w:tc>
            </w:tr>
          </w:tbl>
          <w:p w:rsidR="00BC4D3C" w:rsidRDefault="00BC4D3C" w:rsidP="00BC4D3C">
            <w:pPr>
              <w:suppressAutoHyphens/>
              <w:spacing w:line="100" w:lineRule="atLeast"/>
              <w:ind w:right="-2"/>
              <w:jc w:val="center"/>
              <w:rPr>
                <w:lang w:eastAsia="ar-SA"/>
              </w:rPr>
            </w:pPr>
          </w:p>
          <w:p w:rsidR="00BC4D3C" w:rsidRDefault="00BC4D3C" w:rsidP="00BC4D3C">
            <w:pPr>
              <w:suppressAutoHyphens/>
              <w:spacing w:line="100" w:lineRule="atLeast"/>
              <w:ind w:right="-2"/>
              <w:jc w:val="center"/>
              <w:rPr>
                <w:lang w:eastAsia="ar-SA"/>
              </w:rPr>
            </w:pPr>
          </w:p>
          <w:p w:rsidR="00BC4D3C" w:rsidRPr="00605E60" w:rsidRDefault="00BC4D3C" w:rsidP="00BC4D3C">
            <w:pPr>
              <w:suppressAutoHyphens/>
              <w:spacing w:line="100" w:lineRule="atLeast"/>
              <w:ind w:right="-2"/>
              <w:jc w:val="center"/>
              <w:rPr>
                <w:lang w:eastAsia="ar-SA"/>
              </w:rPr>
            </w:pPr>
          </w:p>
          <w:p w:rsidR="00BC4D3C" w:rsidRPr="00605E60" w:rsidRDefault="00BC4D3C" w:rsidP="00BC4D3C">
            <w:pPr>
              <w:keepNext/>
              <w:numPr>
                <w:ilvl w:val="3"/>
                <w:numId w:val="0"/>
              </w:numPr>
              <w:tabs>
                <w:tab w:val="num" w:pos="864"/>
              </w:tabs>
              <w:suppressAutoHyphens/>
              <w:spacing w:line="100" w:lineRule="atLeast"/>
              <w:ind w:right="-2"/>
              <w:jc w:val="center"/>
              <w:outlineLvl w:val="3"/>
              <w:rPr>
                <w:b/>
                <w:smallCaps/>
                <w:sz w:val="22"/>
                <w:lang w:eastAsia="ar-SA"/>
              </w:rPr>
            </w:pPr>
          </w:p>
          <w:p w:rsidR="00BC4D3C" w:rsidRPr="00605E60" w:rsidRDefault="00BC4D3C" w:rsidP="00BC4D3C">
            <w:pPr>
              <w:keepNext/>
              <w:numPr>
                <w:ilvl w:val="3"/>
                <w:numId w:val="0"/>
              </w:numPr>
              <w:tabs>
                <w:tab w:val="num" w:pos="864"/>
              </w:tabs>
              <w:suppressAutoHyphens/>
              <w:spacing w:line="100" w:lineRule="atLeast"/>
              <w:ind w:right="-2"/>
              <w:jc w:val="center"/>
              <w:outlineLvl w:val="3"/>
              <w:rPr>
                <w:b/>
                <w:smallCaps/>
                <w:sz w:val="22"/>
                <w:lang w:eastAsia="ar-SA"/>
              </w:rPr>
            </w:pPr>
            <w:r w:rsidRPr="00605E60">
              <w:rPr>
                <w:b/>
                <w:smallCaps/>
                <w:spacing w:val="20"/>
                <w:sz w:val="32"/>
                <w:lang w:eastAsia="ar-SA"/>
              </w:rPr>
              <w:lastRenderedPageBreak/>
              <w:t>stanovisko komisie</w:t>
            </w:r>
            <w:r w:rsidRPr="00605E60">
              <w:rPr>
                <w:b/>
                <w:smallCaps/>
                <w:sz w:val="22"/>
                <w:lang w:eastAsia="ar-SA"/>
              </w:rPr>
              <w:t xml:space="preserve"> </w:t>
            </w:r>
          </w:p>
          <w:p w:rsidR="00BC4D3C" w:rsidRPr="00605E60" w:rsidRDefault="00BC4D3C" w:rsidP="00BC4D3C">
            <w:pPr>
              <w:suppressAutoHyphens/>
              <w:spacing w:line="100" w:lineRule="atLeast"/>
              <w:ind w:right="-2"/>
              <w:jc w:val="center"/>
              <w:rPr>
                <w:b/>
                <w:smallCaps/>
                <w:sz w:val="22"/>
                <w:lang w:eastAsia="ar-SA"/>
              </w:rPr>
            </w:pPr>
          </w:p>
          <w:p w:rsidR="00BC4D3C" w:rsidRPr="00605E60" w:rsidRDefault="00BC4D3C" w:rsidP="00BC4D3C">
            <w:pPr>
              <w:suppressAutoHyphens/>
              <w:spacing w:line="100" w:lineRule="atLeast"/>
              <w:ind w:right="-2"/>
              <w:jc w:val="center"/>
              <w:rPr>
                <w:b/>
                <w:smallCaps/>
                <w:sz w:val="22"/>
                <w:lang w:eastAsia="ar-SA"/>
              </w:rPr>
            </w:pPr>
            <w:r w:rsidRPr="00605E60">
              <w:rPr>
                <w:b/>
                <w:smallCaps/>
                <w:sz w:val="22"/>
                <w:lang w:eastAsia="ar-SA"/>
              </w:rPr>
              <w:t>(predbežné pripomienkové konanie)</w:t>
            </w:r>
          </w:p>
          <w:p w:rsidR="00BC4D3C" w:rsidRPr="00605E60" w:rsidRDefault="00BC4D3C" w:rsidP="00BC4D3C">
            <w:pPr>
              <w:suppressAutoHyphens/>
              <w:spacing w:line="100" w:lineRule="atLeast"/>
              <w:ind w:right="-2"/>
              <w:jc w:val="center"/>
              <w:rPr>
                <w:b/>
                <w:smallCaps/>
                <w:sz w:val="22"/>
                <w:lang w:eastAsia="ar-SA"/>
              </w:rPr>
            </w:pPr>
          </w:p>
          <w:p w:rsidR="00BC4D3C" w:rsidRPr="00605E60" w:rsidRDefault="00BC4D3C" w:rsidP="00BC4D3C">
            <w:pPr>
              <w:suppressAutoHyphens/>
              <w:spacing w:line="100" w:lineRule="atLeast"/>
              <w:ind w:right="-2"/>
              <w:jc w:val="center"/>
              <w:rPr>
                <w:b/>
                <w:smallCaps/>
                <w:sz w:val="22"/>
                <w:lang w:eastAsia="ar-SA"/>
              </w:rPr>
            </w:pPr>
            <w:r w:rsidRPr="00605E60">
              <w:rPr>
                <w:b/>
                <w:smallCaps/>
                <w:sz w:val="22"/>
                <w:lang w:eastAsia="ar-SA"/>
              </w:rPr>
              <w:t>k návrhu</w:t>
            </w:r>
          </w:p>
          <w:p w:rsidR="00BC4D3C" w:rsidRPr="00605E60" w:rsidRDefault="00BC4D3C" w:rsidP="00BC4D3C">
            <w:pPr>
              <w:suppressAutoHyphens/>
              <w:spacing w:line="100" w:lineRule="atLeast"/>
              <w:ind w:right="-2"/>
              <w:jc w:val="center"/>
              <w:rPr>
                <w:b/>
                <w:smallCaps/>
                <w:sz w:val="22"/>
                <w:lang w:eastAsia="ar-SA"/>
              </w:rPr>
            </w:pPr>
          </w:p>
          <w:p w:rsidR="00BC4D3C" w:rsidRPr="00605E60" w:rsidRDefault="00BC4D3C" w:rsidP="00BC4D3C">
            <w:pPr>
              <w:pBdr>
                <w:bottom w:val="single" w:sz="4" w:space="1" w:color="000000"/>
              </w:pBdr>
              <w:suppressAutoHyphens/>
              <w:spacing w:line="100" w:lineRule="atLeast"/>
              <w:ind w:right="-2"/>
              <w:jc w:val="center"/>
              <w:rPr>
                <w:b/>
                <w:smallCaps/>
                <w:sz w:val="22"/>
                <w:szCs w:val="22"/>
                <w:lang w:eastAsia="ar-SA"/>
              </w:rPr>
            </w:pPr>
            <w:r w:rsidRPr="00605E60">
              <w:rPr>
                <w:b/>
                <w:smallCaps/>
                <w:sz w:val="22"/>
                <w:szCs w:val="22"/>
                <w:lang w:eastAsia="ar-SA"/>
              </w:rPr>
              <w:t>zákona, ktorým sa mení a dopĺňa zákon č. 516/2008 Z. z. o Audiovizuálnom fonde a o zmene a doplnení niektorých zákonov v znení neskorších predpisov</w:t>
            </w:r>
          </w:p>
          <w:p w:rsidR="00BC4D3C" w:rsidRPr="00605E60" w:rsidRDefault="00BC4D3C" w:rsidP="00BC4D3C">
            <w:pPr>
              <w:pBdr>
                <w:bottom w:val="single" w:sz="4" w:space="1" w:color="000000"/>
              </w:pBdr>
              <w:suppressAutoHyphens/>
              <w:spacing w:line="100" w:lineRule="atLeast"/>
              <w:ind w:right="-2"/>
              <w:jc w:val="center"/>
              <w:rPr>
                <w:b/>
                <w:smallCaps/>
                <w:sz w:val="22"/>
                <w:szCs w:val="22"/>
                <w:lang w:eastAsia="ar-SA"/>
              </w:rPr>
            </w:pPr>
          </w:p>
          <w:p w:rsidR="00BC4D3C" w:rsidRPr="00605E60" w:rsidRDefault="00BC4D3C" w:rsidP="00BC4D3C">
            <w:pPr>
              <w:tabs>
                <w:tab w:val="center" w:pos="6379"/>
              </w:tabs>
              <w:suppressAutoHyphens/>
              <w:spacing w:line="100" w:lineRule="atLeast"/>
              <w:ind w:right="-2"/>
              <w:rPr>
                <w:lang w:eastAsia="ar-SA"/>
              </w:rPr>
            </w:pPr>
          </w:p>
          <w:p w:rsidR="00BC4D3C" w:rsidRPr="003C0E74" w:rsidRDefault="00BC4D3C" w:rsidP="00BC4D3C">
            <w:pPr>
              <w:suppressAutoHyphens/>
              <w:spacing w:line="100" w:lineRule="atLeast"/>
              <w:jc w:val="both"/>
              <w:rPr>
                <w:iCs/>
                <w:lang w:eastAsia="ar-SA"/>
              </w:rPr>
            </w:pPr>
            <w:r w:rsidRPr="003C0E74">
              <w:rPr>
                <w:b/>
                <w:bCs/>
                <w:lang w:eastAsia="ar-SA"/>
              </w:rPr>
              <w:t xml:space="preserve">I. Úvod: </w:t>
            </w:r>
            <w:r w:rsidRPr="003C0E74">
              <w:rPr>
                <w:bCs/>
                <w:lang w:eastAsia="ar-SA"/>
              </w:rPr>
              <w:t>Ministerstvo kultúry Slovenskej republiky dňa 19. decembra 2018 predložilo Stálej pracovnej komisii na posudzovanie vybr</w:t>
            </w:r>
            <w:r w:rsidRPr="003C0E74">
              <w:rPr>
                <w:iCs/>
                <w:lang w:eastAsia="ar-SA"/>
              </w:rPr>
              <w:t>aných vplyvov (ďalej len „Komisia“) na predbežné pripomienkové konanie materiál:</w:t>
            </w:r>
            <w:r w:rsidRPr="003C0E74">
              <w:rPr>
                <w:i/>
                <w:iCs/>
                <w:lang w:eastAsia="ar-SA"/>
              </w:rPr>
              <w:t xml:space="preserve"> „Návrh zákona, ktorým sa mení a dopĺňa zákon č. 516/2008 Z. z. o Audiovizuálnom fonde a o zmene a doplnení niektorých zákonov v znení neskorších predpisov“</w:t>
            </w:r>
            <w:r w:rsidRPr="003C0E74">
              <w:rPr>
                <w:iCs/>
                <w:lang w:eastAsia="ar-SA"/>
              </w:rPr>
              <w:t>.</w:t>
            </w:r>
            <w:r w:rsidRPr="003C0E74">
              <w:rPr>
                <w:i/>
                <w:iCs/>
                <w:lang w:eastAsia="ar-SA"/>
              </w:rPr>
              <w:t xml:space="preserve"> </w:t>
            </w:r>
            <w:r w:rsidRPr="003C0E74">
              <w:rPr>
                <w:iCs/>
                <w:lang w:eastAsia="ar-SA"/>
              </w:rPr>
              <w:t>Materiál predpokladá pozitívne vplyvy na rozpočet verejnej správy, ktoré sú čiastočne rozpočtovo zabezpečené.</w:t>
            </w:r>
          </w:p>
          <w:p w:rsidR="00BC4D3C" w:rsidRPr="003C0E74" w:rsidRDefault="00BC4D3C" w:rsidP="00BC4D3C">
            <w:pPr>
              <w:suppressAutoHyphens/>
              <w:spacing w:line="100" w:lineRule="atLeast"/>
              <w:jc w:val="both"/>
              <w:rPr>
                <w:bCs/>
                <w:lang w:eastAsia="ar-SA"/>
              </w:rPr>
            </w:pPr>
          </w:p>
          <w:p w:rsidR="00BC4D3C" w:rsidRPr="003C0E74" w:rsidRDefault="00BC4D3C" w:rsidP="00BC4D3C">
            <w:pPr>
              <w:tabs>
                <w:tab w:val="center" w:pos="6379"/>
              </w:tabs>
              <w:suppressAutoHyphens/>
              <w:spacing w:line="100" w:lineRule="atLeast"/>
              <w:ind w:right="-2"/>
              <w:jc w:val="both"/>
              <w:rPr>
                <w:bCs/>
                <w:lang w:eastAsia="ar-SA"/>
              </w:rPr>
            </w:pPr>
            <w:r w:rsidRPr="003C0E74">
              <w:rPr>
                <w:b/>
                <w:bCs/>
                <w:lang w:eastAsia="ar-SA"/>
              </w:rPr>
              <w:t>II. P</w:t>
            </w:r>
            <w:r w:rsidRPr="003C0E74">
              <w:rPr>
                <w:b/>
                <w:lang w:eastAsia="ar-SA"/>
              </w:rPr>
              <w:t>r</w:t>
            </w:r>
            <w:r w:rsidRPr="003C0E74">
              <w:rPr>
                <w:b/>
                <w:bCs/>
                <w:lang w:eastAsia="ar-SA"/>
              </w:rPr>
              <w:t>ipomienky a návrhy zm</w:t>
            </w:r>
            <w:r w:rsidRPr="003C0E74">
              <w:rPr>
                <w:b/>
                <w:lang w:eastAsia="ar-SA"/>
              </w:rPr>
              <w:t>ie</w:t>
            </w:r>
            <w:r w:rsidRPr="003C0E74">
              <w:rPr>
                <w:b/>
                <w:bCs/>
                <w:lang w:eastAsia="ar-SA"/>
              </w:rPr>
              <w:t xml:space="preserve">n: </w:t>
            </w:r>
            <w:r w:rsidRPr="003C0E74">
              <w:rPr>
                <w:bCs/>
                <w:lang w:eastAsia="ar-SA"/>
              </w:rPr>
              <w:t>Komisia uplatňuje k materiálu nasledovné pripomienky a odporúčania:</w:t>
            </w:r>
          </w:p>
          <w:p w:rsidR="00BC4D3C" w:rsidRPr="003C0E74" w:rsidRDefault="00BC4D3C" w:rsidP="00BC4D3C">
            <w:pPr>
              <w:tabs>
                <w:tab w:val="center" w:pos="6379"/>
              </w:tabs>
              <w:suppressAutoHyphens/>
              <w:spacing w:line="100" w:lineRule="atLeast"/>
              <w:ind w:right="-2"/>
              <w:jc w:val="both"/>
              <w:rPr>
                <w:bCs/>
                <w:lang w:eastAsia="ar-SA"/>
              </w:rPr>
            </w:pPr>
          </w:p>
          <w:p w:rsidR="00BC4D3C" w:rsidRPr="003C0E74" w:rsidRDefault="00BC4D3C" w:rsidP="00BC4D3C">
            <w:pPr>
              <w:tabs>
                <w:tab w:val="center" w:pos="6379"/>
              </w:tabs>
              <w:suppressAutoHyphens/>
              <w:spacing w:line="100" w:lineRule="atLeast"/>
              <w:ind w:right="-2"/>
              <w:jc w:val="both"/>
              <w:rPr>
                <w:b/>
                <w:bCs/>
                <w:lang w:eastAsia="ar-SA"/>
              </w:rPr>
            </w:pPr>
            <w:r w:rsidRPr="003C0E74">
              <w:rPr>
                <w:b/>
                <w:bCs/>
                <w:lang w:eastAsia="ar-SA"/>
              </w:rPr>
              <w:t>K doložke vybraných vplyvov</w:t>
            </w:r>
          </w:p>
          <w:p w:rsidR="00BC4D3C" w:rsidRPr="003C0E74" w:rsidRDefault="00BC4D3C" w:rsidP="00BC4D3C">
            <w:pPr>
              <w:tabs>
                <w:tab w:val="center" w:pos="6379"/>
              </w:tabs>
              <w:suppressAutoHyphens/>
              <w:spacing w:line="100" w:lineRule="atLeast"/>
              <w:ind w:right="-2"/>
              <w:jc w:val="both"/>
              <w:rPr>
                <w:bCs/>
                <w:lang w:eastAsia="ar-SA"/>
              </w:rPr>
            </w:pPr>
            <w:r w:rsidRPr="003C0E74">
              <w:rPr>
                <w:bCs/>
                <w:lang w:eastAsia="ar-SA"/>
              </w:rPr>
              <w:t>Komisia odporúča vyznačiť pozitívny vplyv na podnikateľské prostredie a do časti 10. (poznámky) doplniť nasledovnú informáciu:</w:t>
            </w:r>
          </w:p>
          <w:p w:rsidR="00BC4D3C" w:rsidRPr="003C0E74" w:rsidRDefault="00BC4D3C" w:rsidP="00BC4D3C">
            <w:pPr>
              <w:tabs>
                <w:tab w:val="center" w:pos="6379"/>
              </w:tabs>
              <w:suppressAutoHyphens/>
              <w:spacing w:line="100" w:lineRule="atLeast"/>
              <w:ind w:right="-2"/>
              <w:jc w:val="both"/>
              <w:rPr>
                <w:bCs/>
                <w:lang w:eastAsia="ar-SA"/>
              </w:rPr>
            </w:pPr>
            <w:r w:rsidRPr="003C0E74">
              <w:rPr>
                <w:bCs/>
                <w:lang w:eastAsia="ar-SA"/>
              </w:rPr>
              <w:t>„Je možné očakávať pozitívny vplyv predkladaného materiálu na podnikateľské prostredie. Zvýšenie percentuálneho podielu dotácie, ktorú fond poskytuje na podporu audiovizuálneho priemyslu, z 20 % oprávnených výdavkov na 30 % oprávnených výdavkov môže znamenať stimuláciu súkromných investícií</w:t>
            </w:r>
            <w:r>
              <w:rPr>
                <w:bCs/>
                <w:lang w:eastAsia="ar-SA"/>
              </w:rPr>
              <w:t xml:space="preserve"> </w:t>
            </w:r>
            <w:r w:rsidRPr="003C0E74">
              <w:rPr>
                <w:bCs/>
                <w:lang w:eastAsia="ar-SA"/>
              </w:rPr>
              <w:t>do sektora audiovizuálneho priemyslu v SR, čím sa zvýši konkurencieschopnosť tohto sektora a zároveň sa očakáva prilákanie väčšieho množstva zahraničných filmových koprodukcií, ktoré môže mať zásadný vplyv</w:t>
            </w:r>
            <w:r>
              <w:rPr>
                <w:bCs/>
                <w:lang w:eastAsia="ar-SA"/>
              </w:rPr>
              <w:t xml:space="preserve"> </w:t>
            </w:r>
            <w:r w:rsidRPr="003C0E74">
              <w:rPr>
                <w:bCs/>
                <w:lang w:eastAsia="ar-SA"/>
              </w:rPr>
              <w:t xml:space="preserve">na rozvoj daného hospodárskeho prostredia.“ </w:t>
            </w:r>
            <w:r w:rsidRPr="003C0E74">
              <w:rPr>
                <w:b/>
                <w:bCs/>
                <w:lang w:eastAsia="ar-SA"/>
              </w:rPr>
              <w:t>- zapracované</w:t>
            </w:r>
          </w:p>
          <w:p w:rsidR="00BC4D3C" w:rsidRPr="003C0E74" w:rsidRDefault="00BC4D3C" w:rsidP="00BC4D3C">
            <w:pPr>
              <w:tabs>
                <w:tab w:val="center" w:pos="6379"/>
              </w:tabs>
              <w:suppressAutoHyphens/>
              <w:spacing w:line="100" w:lineRule="atLeast"/>
              <w:ind w:right="-2"/>
              <w:jc w:val="both"/>
              <w:rPr>
                <w:bCs/>
                <w:lang w:eastAsia="ar-SA"/>
              </w:rPr>
            </w:pPr>
          </w:p>
          <w:p w:rsidR="00BC4D3C" w:rsidRPr="003C0E74" w:rsidRDefault="00BC4D3C" w:rsidP="00BC4D3C">
            <w:pPr>
              <w:tabs>
                <w:tab w:val="center" w:pos="6379"/>
              </w:tabs>
              <w:suppressAutoHyphens/>
              <w:spacing w:line="100" w:lineRule="atLeast"/>
              <w:ind w:right="-2"/>
              <w:jc w:val="both"/>
              <w:rPr>
                <w:bCs/>
                <w:lang w:eastAsia="ar-SA"/>
              </w:rPr>
            </w:pPr>
            <w:r w:rsidRPr="003C0E74">
              <w:rPr>
                <w:bCs/>
                <w:lang w:eastAsia="ar-SA"/>
              </w:rPr>
              <w:tab/>
              <w:t>Predkladateľ v Doložke vybraných vplyvov uvádza, že audiovizuálny priemysel nie je dostatočne konkurencieschopný a navrhovaným riešením by sa tak vplývalo na rozvoj daného hospodárskeho prostredia</w:t>
            </w:r>
            <w:r>
              <w:rPr>
                <w:bCs/>
                <w:lang w:eastAsia="ar-SA"/>
              </w:rPr>
              <w:t xml:space="preserve"> </w:t>
            </w:r>
            <w:r w:rsidRPr="003C0E74">
              <w:rPr>
                <w:bCs/>
                <w:lang w:eastAsia="ar-SA"/>
              </w:rPr>
              <w:t>v Slovenskej republike, pričom cieľom návrhu je v zmysle časti 4 Ciele a výsledný stav zvýšenie tejto konkurencieschopnosti, prilákanie väčšieho množstva zahraničných filmových koprodukcií, čo môže priniesť aj ďalšie pozitívne efekty. Komisia sa domnieva, že hlavným účelom návrhu je podporiť audiovizuálny priemysel na Slovensku, a preto Komisia žiada, aby časť 9 Vplyvy navrhovaného materiálu, v ktorej predkladateľ uvádza žiadny vplyv bola uvedená do súladu s vyššie uvádzanými informáciami.</w:t>
            </w:r>
          </w:p>
          <w:p w:rsidR="00BC4D3C" w:rsidRPr="003C0E74" w:rsidRDefault="00BC4D3C" w:rsidP="00BC4D3C">
            <w:pPr>
              <w:tabs>
                <w:tab w:val="center" w:pos="6379"/>
              </w:tabs>
              <w:suppressAutoHyphens/>
              <w:spacing w:line="100" w:lineRule="atLeast"/>
              <w:ind w:right="-2"/>
              <w:jc w:val="both"/>
              <w:rPr>
                <w:bCs/>
                <w:lang w:eastAsia="ar-SA"/>
              </w:rPr>
            </w:pPr>
            <w:r w:rsidRPr="003C0E74">
              <w:rPr>
                <w:bCs/>
                <w:lang w:eastAsia="ar-SA"/>
              </w:rPr>
              <w:tab/>
              <w:t>V súvislosti s predchádzajúcou pripomienkou Komisia žiada predkladateľa o vypracovanie Analýzy vplyvov</w:t>
            </w:r>
            <w:r>
              <w:rPr>
                <w:bCs/>
                <w:lang w:eastAsia="ar-SA"/>
              </w:rPr>
              <w:t xml:space="preserve"> </w:t>
            </w:r>
            <w:r w:rsidRPr="003C0E74">
              <w:rPr>
                <w:bCs/>
                <w:lang w:eastAsia="ar-SA"/>
              </w:rPr>
              <w:t>na podnikateľské prostredie.</w:t>
            </w:r>
            <w:r w:rsidRPr="003C0E74">
              <w:t xml:space="preserve"> </w:t>
            </w:r>
            <w:r w:rsidRPr="003C0E74">
              <w:rPr>
                <w:b/>
                <w:bCs/>
                <w:lang w:eastAsia="ar-SA"/>
              </w:rPr>
              <w:t>- zapracované</w:t>
            </w:r>
          </w:p>
          <w:p w:rsidR="00BC4D3C" w:rsidRDefault="00BC4D3C" w:rsidP="00BC4D3C">
            <w:pPr>
              <w:suppressAutoHyphens/>
              <w:spacing w:line="100" w:lineRule="atLeast"/>
              <w:ind w:right="-2"/>
              <w:jc w:val="both"/>
              <w:rPr>
                <w:b/>
                <w:bCs/>
                <w:lang w:eastAsia="ar-SA"/>
              </w:rPr>
            </w:pPr>
          </w:p>
          <w:p w:rsidR="00BC4D3C" w:rsidRPr="003C0E74" w:rsidRDefault="00BC4D3C" w:rsidP="00BC4D3C">
            <w:pPr>
              <w:suppressAutoHyphens/>
              <w:spacing w:line="100" w:lineRule="atLeast"/>
              <w:ind w:right="-2"/>
              <w:jc w:val="both"/>
              <w:rPr>
                <w:b/>
                <w:bCs/>
                <w:lang w:eastAsia="ar-SA"/>
              </w:rPr>
            </w:pPr>
            <w:r w:rsidRPr="003C0E74">
              <w:rPr>
                <w:b/>
                <w:bCs/>
                <w:lang w:eastAsia="ar-SA"/>
              </w:rPr>
              <w:t>K vplyvom na rozpočet verejnej správy</w:t>
            </w:r>
          </w:p>
          <w:p w:rsidR="00BC4D3C" w:rsidRPr="003C0E74" w:rsidRDefault="00BC4D3C" w:rsidP="00BC4D3C">
            <w:pPr>
              <w:suppressAutoHyphens/>
              <w:spacing w:line="100" w:lineRule="atLeast"/>
              <w:ind w:right="-2"/>
              <w:jc w:val="both"/>
              <w:rPr>
                <w:bCs/>
                <w:lang w:eastAsia="ar-SA"/>
              </w:rPr>
            </w:pPr>
            <w:r w:rsidRPr="003C0E74">
              <w:rPr>
                <w:bCs/>
                <w:lang w:eastAsia="ar-SA"/>
              </w:rPr>
              <w:t xml:space="preserve">Podľa doložky vybraných vplyvov má návrh negatívne, čiastočne rozpočtovo zabezpečené vplyvy. V analýze vplyvov je kvantifikovaný nekrytý vplyv v rokoch 2019 až 2021 v celkovej sume 7,4 mil. eur, z toho v roku 2019 v sume 1,71 mil. eur, v roku 2020 v sume 1,8 mil. eur, v roku 2021 v sume 1,9 mil. eur a v roku 2022 </w:t>
            </w:r>
            <w:r>
              <w:rPr>
                <w:bCs/>
                <w:lang w:eastAsia="ar-SA"/>
              </w:rPr>
              <w:br/>
            </w:r>
            <w:r w:rsidRPr="003C0E74">
              <w:rPr>
                <w:bCs/>
                <w:lang w:eastAsia="ar-SA"/>
              </w:rPr>
              <w:t xml:space="preserve">v sume 1,99 mil. eur, ktorý súvisí s navrhovaným zvýšením percentuálneho podielu dotácie, ktorú fond poskytuje na podporu audiovizuálneho priemyslu z 20 % oprávnených výdavkov na 30 % oprávnených výdavkov, ktoré budú uhradené na realizáciu filmového projektu. V </w:t>
            </w:r>
            <w:r w:rsidRPr="003C0E74">
              <w:rPr>
                <w:bCs/>
                <w:lang w:eastAsia="ar-SA"/>
              </w:rPr>
              <w:lastRenderedPageBreak/>
              <w:t xml:space="preserve">súvislosti s uvedenými kvantifikáciami Komisia upozorňuje, že predkladateľ pri výpočte vplyvov vychádza z predpokladu, že všetky zaregistrované filmové projekty budú aj realizované, pričom však prax doterajších rokov ukázala, že objem skutočne poskytnutých prostriedkov na podporu audiovizuálneho priemyslu bol podstatne nižší ako rozpočtovaný objem. V návrhu na úhradu zvýšených výdavkov vplyvom novej právnej úpravy absentuje hľadanie možností na krytie vyšších výdavkov mimo verejných zdrojov, napr. formou návratných finančných výpomocí, zavedenie systému podielu fondu na príjmoch z podporených projektov. Zároveň kvantifikácie príjmov Komisia považuje </w:t>
            </w:r>
            <w:r>
              <w:rPr>
                <w:bCs/>
                <w:lang w:eastAsia="ar-SA"/>
              </w:rPr>
              <w:br/>
            </w:r>
            <w:r w:rsidRPr="003C0E74">
              <w:rPr>
                <w:bCs/>
                <w:lang w:eastAsia="ar-SA"/>
              </w:rPr>
              <w:t xml:space="preserve">za nadhodnotené, nakoľko podľa názoru Komisie ide  o predpoklad maximálneho naplnenia vplyvu predloženého materiálu na príjmovú časť rozpočtu verejnej správy. </w:t>
            </w:r>
            <w:r w:rsidRPr="003C0E74">
              <w:rPr>
                <w:b/>
                <w:bCs/>
                <w:lang w:eastAsia="ar-SA"/>
              </w:rPr>
              <w:t>- zapracované</w:t>
            </w:r>
          </w:p>
          <w:p w:rsidR="00BC4D3C" w:rsidRPr="003C0E74" w:rsidRDefault="00BC4D3C" w:rsidP="00BC4D3C">
            <w:pPr>
              <w:suppressAutoHyphens/>
              <w:spacing w:line="100" w:lineRule="atLeast"/>
              <w:ind w:right="-2"/>
              <w:jc w:val="both"/>
              <w:rPr>
                <w:bCs/>
                <w:lang w:eastAsia="ar-SA"/>
              </w:rPr>
            </w:pPr>
            <w:r w:rsidRPr="003C0E74">
              <w:rPr>
                <w:bCs/>
                <w:lang w:eastAsia="ar-SA"/>
              </w:rPr>
              <w:t xml:space="preserve">V tabuľke 2.2.4.1 Odhad návratnosti systému tzv. </w:t>
            </w:r>
            <w:proofErr w:type="spellStart"/>
            <w:r w:rsidRPr="003C0E74">
              <w:rPr>
                <w:bCs/>
                <w:lang w:eastAsia="ar-SA"/>
              </w:rPr>
              <w:t>vratiek</w:t>
            </w:r>
            <w:proofErr w:type="spellEnd"/>
            <w:r w:rsidRPr="003C0E74">
              <w:rPr>
                <w:bCs/>
                <w:lang w:eastAsia="ar-SA"/>
              </w:rPr>
              <w:t xml:space="preserve"> filmových projektov na roky 2019 – 2022, posledné tr</w:t>
            </w:r>
            <w:r>
              <w:rPr>
                <w:bCs/>
                <w:lang w:eastAsia="ar-SA"/>
              </w:rPr>
              <w:t>i riadky sú vypočítané správne,</w:t>
            </w:r>
            <w:r w:rsidRPr="003C0E74">
              <w:rPr>
                <w:bCs/>
                <w:lang w:eastAsia="ar-SA"/>
              </w:rPr>
              <w:t xml:space="preserve"> avšak označenie riadkov v zátvorkách je chybné. Uvedené je potrebné opraviť.</w:t>
            </w:r>
            <w:r w:rsidRPr="003C0E74">
              <w:t xml:space="preserve"> </w:t>
            </w:r>
            <w:r w:rsidRPr="003C0E74">
              <w:rPr>
                <w:b/>
                <w:bCs/>
                <w:lang w:eastAsia="ar-SA"/>
              </w:rPr>
              <w:t>- zapracované</w:t>
            </w:r>
          </w:p>
          <w:p w:rsidR="00BC4D3C" w:rsidRPr="003C0E74" w:rsidRDefault="00BC4D3C" w:rsidP="00BC4D3C">
            <w:pPr>
              <w:suppressAutoHyphens/>
              <w:spacing w:line="100" w:lineRule="atLeast"/>
              <w:ind w:right="-2"/>
              <w:jc w:val="both"/>
              <w:rPr>
                <w:b/>
                <w:bCs/>
                <w:lang w:eastAsia="ar-SA"/>
              </w:rPr>
            </w:pPr>
            <w:r w:rsidRPr="003C0E74">
              <w:rPr>
                <w:bCs/>
                <w:lang w:eastAsia="ar-SA"/>
              </w:rPr>
              <w:t>S účinnosťou od 1. 8. 2017 bola v júli 2017 prijatá novela vyhlášky MK SR č. 165/2014 Z. z. o filmovom projekte, ktorá upravila výšku minimálnej sumy, z ktorej môže byť hradených 20 % kompenzácie pre realizátorov filmového projektu. Z pôvodnej minimálnej sumy oprávnených výdavkov uhradených v súvislosti s vytvorením filmového projektu 2 mil. eur, ktorá bola vnímaná filmármi ako príliš vysoká, sa minimálna suma oprávnených výdavkov znížila na 150 000 eur, resp. 300 000 eur. V predloženom materiáli predkladateľ konštatuje, že táto zmena sa ukázala ako výhodná, nakoľko sa počet registrovaných filmových projektov zdvojnásobil z 12 v roku 2017 na 26 v roku 2018. Nie je nám preto zrejmé, prečo MK SR po tak krátkej dobe, bez uvedenia podrobnejšej analýzy, pristupuje k ďalšej úprave v danej oblasti.</w:t>
            </w:r>
            <w:r w:rsidRPr="003C0E74">
              <w:t xml:space="preserve"> - </w:t>
            </w:r>
            <w:r w:rsidRPr="003C0E74">
              <w:rPr>
                <w:b/>
                <w:bCs/>
                <w:lang w:eastAsia="ar-SA"/>
              </w:rPr>
              <w:t>zapracované</w:t>
            </w:r>
          </w:p>
          <w:p w:rsidR="00BC4D3C" w:rsidRPr="003C0E74" w:rsidRDefault="00BC4D3C" w:rsidP="00BC4D3C">
            <w:pPr>
              <w:suppressAutoHyphens/>
              <w:spacing w:line="100" w:lineRule="atLeast"/>
              <w:ind w:right="-2"/>
              <w:jc w:val="both"/>
              <w:rPr>
                <w:b/>
                <w:bCs/>
                <w:lang w:eastAsia="ar-SA"/>
              </w:rPr>
            </w:pPr>
          </w:p>
          <w:p w:rsidR="00BC4D3C" w:rsidRPr="003C0E74" w:rsidRDefault="00BC4D3C" w:rsidP="00BC4D3C">
            <w:pPr>
              <w:suppressAutoHyphens/>
              <w:spacing w:line="100" w:lineRule="atLeast"/>
              <w:ind w:right="-2"/>
              <w:jc w:val="both"/>
              <w:rPr>
                <w:bCs/>
                <w:lang w:eastAsia="ar-SA"/>
              </w:rPr>
            </w:pPr>
            <w:r w:rsidRPr="003C0E74">
              <w:rPr>
                <w:b/>
                <w:bCs/>
                <w:lang w:eastAsia="ar-SA"/>
              </w:rPr>
              <w:t xml:space="preserve">III. Záver: </w:t>
            </w:r>
            <w:r w:rsidRPr="003C0E74">
              <w:rPr>
                <w:bCs/>
                <w:lang w:eastAsia="ar-SA"/>
              </w:rPr>
              <w:t xml:space="preserve">Stála pracovná komisia na posudzovanie vybraných vplyvov vyjadruje </w:t>
            </w:r>
          </w:p>
          <w:p w:rsidR="00BC4D3C" w:rsidRPr="003C0E74" w:rsidRDefault="00BC4D3C" w:rsidP="00BC4D3C">
            <w:pPr>
              <w:tabs>
                <w:tab w:val="center" w:pos="6379"/>
              </w:tabs>
              <w:suppressAutoHyphens/>
              <w:spacing w:line="100" w:lineRule="atLeast"/>
              <w:ind w:right="-2"/>
              <w:jc w:val="center"/>
              <w:rPr>
                <w:b/>
                <w:bCs/>
                <w:lang w:eastAsia="en-US"/>
              </w:rPr>
            </w:pPr>
          </w:p>
          <w:p w:rsidR="00BC4D3C" w:rsidRPr="003C0E74" w:rsidRDefault="00BC4D3C" w:rsidP="00BC4D3C">
            <w:pPr>
              <w:tabs>
                <w:tab w:val="center" w:pos="6379"/>
              </w:tabs>
              <w:suppressAutoHyphens/>
              <w:spacing w:line="100" w:lineRule="atLeast"/>
              <w:ind w:right="-2"/>
              <w:jc w:val="center"/>
              <w:rPr>
                <w:b/>
                <w:bCs/>
                <w:lang w:eastAsia="en-US"/>
              </w:rPr>
            </w:pPr>
          </w:p>
          <w:p w:rsidR="00BC4D3C" w:rsidRPr="003C0E74" w:rsidRDefault="00BC4D3C" w:rsidP="00BC4D3C">
            <w:pPr>
              <w:tabs>
                <w:tab w:val="center" w:pos="6379"/>
              </w:tabs>
              <w:suppressAutoHyphens/>
              <w:spacing w:line="100" w:lineRule="atLeast"/>
              <w:ind w:right="-2"/>
              <w:jc w:val="center"/>
              <w:rPr>
                <w:b/>
                <w:bCs/>
                <w:lang w:eastAsia="en-US"/>
              </w:rPr>
            </w:pPr>
            <w:r w:rsidRPr="003C0E74">
              <w:rPr>
                <w:b/>
                <w:bCs/>
                <w:lang w:eastAsia="en-US"/>
              </w:rPr>
              <w:t>nesúhlasné stanovisko</w:t>
            </w:r>
          </w:p>
          <w:p w:rsidR="00BC4D3C" w:rsidRPr="003C0E74" w:rsidRDefault="00BC4D3C" w:rsidP="00BC4D3C">
            <w:pPr>
              <w:tabs>
                <w:tab w:val="center" w:pos="6379"/>
              </w:tabs>
              <w:suppressAutoHyphens/>
              <w:spacing w:line="100" w:lineRule="atLeast"/>
              <w:ind w:right="-2"/>
              <w:jc w:val="center"/>
              <w:rPr>
                <w:b/>
                <w:bCs/>
                <w:lang w:eastAsia="en-US"/>
              </w:rPr>
            </w:pPr>
          </w:p>
          <w:p w:rsidR="00BC4D3C" w:rsidRPr="003C0E74" w:rsidRDefault="00BC4D3C" w:rsidP="00BC4D3C">
            <w:pPr>
              <w:tabs>
                <w:tab w:val="center" w:pos="6379"/>
              </w:tabs>
              <w:suppressAutoHyphens/>
              <w:spacing w:line="100" w:lineRule="atLeast"/>
              <w:ind w:right="-2"/>
              <w:jc w:val="center"/>
              <w:rPr>
                <w:b/>
                <w:bCs/>
                <w:lang w:eastAsia="en-US"/>
              </w:rPr>
            </w:pPr>
          </w:p>
          <w:p w:rsidR="00BC4D3C" w:rsidRPr="003C0E74" w:rsidRDefault="00BC4D3C" w:rsidP="00BC4D3C">
            <w:pPr>
              <w:tabs>
                <w:tab w:val="center" w:pos="6379"/>
              </w:tabs>
              <w:suppressAutoHyphens/>
              <w:spacing w:line="100" w:lineRule="atLeast"/>
              <w:ind w:right="-2"/>
              <w:jc w:val="both"/>
              <w:rPr>
                <w:bCs/>
                <w:lang w:eastAsia="en-US"/>
              </w:rPr>
            </w:pPr>
            <w:r w:rsidRPr="003C0E74">
              <w:rPr>
                <w:bCs/>
                <w:lang w:eastAsia="ar-SA"/>
              </w:rPr>
              <w:t xml:space="preserve">s materiálom predloženým na predbežné pripomienkové konanie s odporúčaním na jeho dopracovanie podľa pripomienok v bode II. </w:t>
            </w:r>
            <w:r w:rsidRPr="003C0E74">
              <w:rPr>
                <w:bCs/>
                <w:lang w:eastAsia="en-US"/>
              </w:rPr>
              <w:t xml:space="preserve"> </w:t>
            </w:r>
          </w:p>
          <w:p w:rsidR="00BC4D3C" w:rsidRPr="003C0E74" w:rsidRDefault="00BC4D3C" w:rsidP="00BC4D3C">
            <w:pPr>
              <w:tabs>
                <w:tab w:val="center" w:pos="6379"/>
              </w:tabs>
              <w:suppressAutoHyphens/>
              <w:spacing w:line="100" w:lineRule="atLeast"/>
              <w:ind w:right="-2"/>
              <w:jc w:val="both"/>
              <w:rPr>
                <w:b/>
                <w:bCs/>
                <w:lang w:eastAsia="en-US"/>
              </w:rPr>
            </w:pPr>
          </w:p>
          <w:p w:rsidR="00BC4D3C" w:rsidRPr="003C0E74" w:rsidRDefault="00BC4D3C" w:rsidP="00BC4D3C">
            <w:pPr>
              <w:tabs>
                <w:tab w:val="center" w:pos="6379"/>
              </w:tabs>
              <w:suppressAutoHyphens/>
              <w:spacing w:line="100" w:lineRule="atLeast"/>
              <w:ind w:right="-2"/>
              <w:jc w:val="both"/>
              <w:rPr>
                <w:bCs/>
                <w:lang w:eastAsia="en-US"/>
              </w:rPr>
            </w:pPr>
            <w:r w:rsidRPr="003C0E74">
              <w:rPr>
                <w:b/>
                <w:bCs/>
                <w:lang w:eastAsia="en-US"/>
              </w:rPr>
              <w:t xml:space="preserve">IV. Poznámka: </w:t>
            </w:r>
            <w:r w:rsidRPr="003C0E74">
              <w:rPr>
                <w:bCs/>
                <w:lang w:eastAsia="en-US"/>
              </w:rPr>
              <w:t>Predkladateľ zapracuje pripomienky a odporúčania na úpravu uvedené v bode II a uvedie stanovisko Komisie do Doložky vybraných vplyvov spolu s vyhodnotením pripomienok.</w:t>
            </w:r>
          </w:p>
          <w:p w:rsidR="00BC4D3C" w:rsidRPr="003C0E74" w:rsidRDefault="00BC4D3C" w:rsidP="00BC4D3C">
            <w:pPr>
              <w:tabs>
                <w:tab w:val="center" w:pos="6379"/>
              </w:tabs>
              <w:suppressAutoHyphens/>
              <w:spacing w:line="100" w:lineRule="atLeast"/>
              <w:ind w:right="-2"/>
              <w:jc w:val="both"/>
              <w:rPr>
                <w:bCs/>
                <w:lang w:eastAsia="en-US"/>
              </w:rPr>
            </w:pPr>
          </w:p>
          <w:p w:rsidR="00BC4D3C" w:rsidRDefault="00BC4D3C" w:rsidP="00BC4D3C">
            <w:pPr>
              <w:tabs>
                <w:tab w:val="center" w:pos="6379"/>
              </w:tabs>
              <w:suppressAutoHyphens/>
              <w:spacing w:line="100" w:lineRule="atLeast"/>
              <w:ind w:right="-2"/>
              <w:jc w:val="both"/>
              <w:rPr>
                <w:bCs/>
                <w:lang w:eastAsia="en-US"/>
              </w:rPr>
            </w:pPr>
            <w:r w:rsidRPr="003C0E74">
              <w:rPr>
                <w:bCs/>
                <w:lang w:eastAsia="en-U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w:t>
            </w:r>
            <w:r>
              <w:rPr>
                <w:bCs/>
                <w:lang w:eastAsia="en-US"/>
              </w:rPr>
              <w:t xml:space="preserve"> </w:t>
            </w:r>
            <w:r w:rsidRPr="003C0E74">
              <w:rPr>
                <w:bCs/>
                <w:lang w:eastAsia="en-US"/>
              </w:rPr>
              <w:t>na opätovné schválenie Komisie, ktorá môže následne zmeniť svoje stanovisko.</w:t>
            </w:r>
          </w:p>
          <w:p w:rsidR="00BC4D3C" w:rsidRPr="00BC4D3C" w:rsidRDefault="00BC4D3C" w:rsidP="00BC4D3C">
            <w:pPr>
              <w:tabs>
                <w:tab w:val="center" w:pos="6379"/>
              </w:tabs>
              <w:suppressAutoHyphens/>
              <w:spacing w:line="100" w:lineRule="atLeast"/>
              <w:ind w:right="-2"/>
              <w:jc w:val="both"/>
              <w:rPr>
                <w:bCs/>
                <w:lang w:eastAsia="en-US"/>
              </w:rPr>
            </w:pPr>
          </w:p>
          <w:p w:rsidR="00BC4D3C" w:rsidRDefault="00BC4D3C" w:rsidP="00BC4D3C">
            <w:pPr>
              <w:tabs>
                <w:tab w:val="center" w:pos="6379"/>
              </w:tabs>
              <w:suppressAutoHyphens/>
              <w:spacing w:line="100" w:lineRule="atLeast"/>
              <w:ind w:right="-2"/>
              <w:rPr>
                <w:b/>
                <w:bCs/>
                <w:lang w:eastAsia="ar-SA"/>
              </w:rPr>
            </w:pPr>
          </w:p>
          <w:p w:rsidR="00BC4D3C" w:rsidRDefault="00BC4D3C" w:rsidP="00BC4D3C">
            <w:pPr>
              <w:tabs>
                <w:tab w:val="center" w:pos="6379"/>
              </w:tabs>
              <w:suppressAutoHyphens/>
              <w:spacing w:line="100" w:lineRule="atLeast"/>
              <w:ind w:right="-2"/>
              <w:rPr>
                <w:b/>
                <w:bCs/>
                <w:lang w:eastAsia="ar-SA"/>
              </w:rPr>
            </w:pPr>
          </w:p>
          <w:p w:rsidR="00BC4D3C" w:rsidRPr="003C0E74" w:rsidRDefault="00BC4D3C" w:rsidP="00BC4D3C">
            <w:pPr>
              <w:tabs>
                <w:tab w:val="center" w:pos="6379"/>
              </w:tabs>
              <w:suppressAutoHyphens/>
              <w:spacing w:line="100" w:lineRule="atLeast"/>
              <w:ind w:right="-2"/>
              <w:rPr>
                <w:b/>
                <w:bCs/>
                <w:lang w:eastAsia="ar-SA"/>
              </w:rPr>
            </w:pPr>
          </w:p>
          <w:p w:rsidR="00BC4D3C" w:rsidRPr="003C0E74" w:rsidRDefault="00BC4D3C" w:rsidP="00BC4D3C">
            <w:pPr>
              <w:tabs>
                <w:tab w:val="center" w:pos="6379"/>
              </w:tabs>
              <w:suppressAutoHyphens/>
              <w:spacing w:line="100" w:lineRule="atLeast"/>
              <w:ind w:left="4536" w:right="-2"/>
              <w:jc w:val="center"/>
              <w:rPr>
                <w:bCs/>
                <w:lang w:eastAsia="ar-SA"/>
              </w:rPr>
            </w:pPr>
            <w:r w:rsidRPr="003C0E74">
              <w:rPr>
                <w:b/>
                <w:bCs/>
                <w:lang w:eastAsia="ar-SA"/>
              </w:rPr>
              <w:t>Ing. Rastislav Chovanec, PhD.</w:t>
            </w:r>
          </w:p>
          <w:p w:rsidR="00BC4D3C" w:rsidRPr="003C0E74" w:rsidRDefault="00BC4D3C" w:rsidP="00BC4D3C">
            <w:pPr>
              <w:tabs>
                <w:tab w:val="center" w:pos="6379"/>
              </w:tabs>
              <w:suppressAutoHyphens/>
              <w:spacing w:line="100" w:lineRule="atLeast"/>
              <w:ind w:left="4536" w:right="-2"/>
              <w:jc w:val="center"/>
              <w:rPr>
                <w:bCs/>
                <w:lang w:eastAsia="ar-SA"/>
              </w:rPr>
            </w:pPr>
            <w:r w:rsidRPr="003C0E74">
              <w:rPr>
                <w:bCs/>
                <w:lang w:eastAsia="ar-SA"/>
              </w:rPr>
              <w:t>predseda Komisie</w:t>
            </w:r>
          </w:p>
          <w:p w:rsidR="00BC4D3C" w:rsidRPr="003C0E74" w:rsidRDefault="00BC4D3C" w:rsidP="00BC4D3C">
            <w:pPr>
              <w:rPr>
                <w:b/>
              </w:rPr>
            </w:pPr>
          </w:p>
          <w:p w:rsidR="00BC4D3C" w:rsidRPr="00A179AE" w:rsidRDefault="00BC4D3C" w:rsidP="00BC4D3C">
            <w:pPr>
              <w:rPr>
                <w:b/>
              </w:rPr>
            </w:pPr>
          </w:p>
        </w:tc>
      </w:tr>
    </w:tbl>
    <w:p w:rsidR="00BC4D3C" w:rsidRDefault="00BC4D3C" w:rsidP="00BC4D3C">
      <w:pPr>
        <w:jc w:val="center"/>
        <w:rPr>
          <w:b/>
          <w:bCs/>
          <w:sz w:val="28"/>
          <w:szCs w:val="28"/>
        </w:rPr>
      </w:pPr>
    </w:p>
    <w:p w:rsidR="00BC4D3C" w:rsidRPr="007D5748" w:rsidRDefault="00BC4D3C" w:rsidP="00BC4D3C">
      <w:pPr>
        <w:jc w:val="center"/>
        <w:rPr>
          <w:b/>
          <w:bCs/>
          <w:sz w:val="28"/>
          <w:szCs w:val="28"/>
        </w:rPr>
      </w:pPr>
      <w:r w:rsidRPr="007D5748">
        <w:rPr>
          <w:b/>
          <w:bCs/>
          <w:sz w:val="28"/>
          <w:szCs w:val="28"/>
        </w:rPr>
        <w:lastRenderedPageBreak/>
        <w:t>Analýza vplyvov na rozpočet verejnej správy,</w:t>
      </w:r>
    </w:p>
    <w:p w:rsidR="00BC4D3C" w:rsidRPr="007D5748" w:rsidRDefault="00BC4D3C" w:rsidP="00BC4D3C">
      <w:pPr>
        <w:jc w:val="center"/>
        <w:rPr>
          <w:b/>
          <w:bCs/>
          <w:sz w:val="28"/>
          <w:szCs w:val="28"/>
        </w:rPr>
      </w:pPr>
      <w:r w:rsidRPr="007D5748">
        <w:rPr>
          <w:b/>
          <w:bCs/>
          <w:sz w:val="28"/>
          <w:szCs w:val="28"/>
        </w:rPr>
        <w:t>na zamestnanosť vo verejnej správe a financovanie návrhu</w:t>
      </w:r>
    </w:p>
    <w:p w:rsidR="00BC4D3C" w:rsidRPr="00212894" w:rsidRDefault="00BC4D3C" w:rsidP="00BC4D3C">
      <w:pPr>
        <w:jc w:val="right"/>
        <w:rPr>
          <w:b/>
          <w:bCs/>
        </w:rPr>
      </w:pPr>
    </w:p>
    <w:p w:rsidR="00BC4D3C" w:rsidRDefault="00BC4D3C" w:rsidP="00BC4D3C">
      <w:pPr>
        <w:rPr>
          <w:b/>
          <w:bCs/>
        </w:rPr>
      </w:pPr>
    </w:p>
    <w:p w:rsidR="00BC4D3C" w:rsidRPr="00212894" w:rsidRDefault="00BC4D3C" w:rsidP="00BC4D3C">
      <w:pPr>
        <w:rPr>
          <w:b/>
          <w:bCs/>
        </w:rPr>
      </w:pPr>
      <w:r w:rsidRPr="00212894">
        <w:rPr>
          <w:b/>
          <w:bCs/>
        </w:rPr>
        <w:t>2.1 Zhrnutie vplyvov na rozpočet verejnej správy v návrhu</w:t>
      </w:r>
    </w:p>
    <w:p w:rsidR="00BC4D3C" w:rsidRDefault="00BC4D3C" w:rsidP="00BC4D3C">
      <w:pPr>
        <w:jc w:val="right"/>
        <w:rPr>
          <w:sz w:val="20"/>
          <w:szCs w:val="20"/>
        </w:rPr>
      </w:pPr>
    </w:p>
    <w:p w:rsidR="00BC4D3C" w:rsidRPr="007D5748" w:rsidRDefault="00BC4D3C" w:rsidP="00BC4D3C">
      <w:pPr>
        <w:jc w:val="right"/>
        <w:rPr>
          <w:sz w:val="20"/>
          <w:szCs w:val="20"/>
        </w:rPr>
      </w:pPr>
      <w:r w:rsidRPr="007D5748">
        <w:rPr>
          <w:sz w:val="20"/>
          <w:szCs w:val="20"/>
        </w:rPr>
        <w:t xml:space="preserve">Tabuľka č. 1 </w:t>
      </w:r>
    </w:p>
    <w:tbl>
      <w:tblPr>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BC4D3C" w:rsidRPr="007D5748" w:rsidTr="00BC4D3C">
        <w:trPr>
          <w:cantSplit/>
          <w:trHeight w:val="194"/>
          <w:jc w:val="center"/>
        </w:trPr>
        <w:tc>
          <w:tcPr>
            <w:tcW w:w="4661" w:type="dxa"/>
            <w:vMerge w:val="restart"/>
            <w:shd w:val="clear" w:color="auto" w:fill="BFBFBF" w:themeFill="background1" w:themeFillShade="BF"/>
            <w:vAlign w:val="center"/>
          </w:tcPr>
          <w:p w:rsidR="00BC4D3C" w:rsidRPr="007D5748" w:rsidRDefault="00BC4D3C" w:rsidP="00BC4D3C">
            <w:pPr>
              <w:jc w:val="center"/>
              <w:rPr>
                <w:b/>
                <w:bCs/>
              </w:rPr>
            </w:pPr>
            <w:bookmarkStart w:id="0" w:name="OLE_LINK1"/>
            <w:r w:rsidRPr="007D5748">
              <w:rPr>
                <w:b/>
                <w:bCs/>
              </w:rPr>
              <w:t>Vplyvy na rozpočet verejnej správy</w:t>
            </w:r>
          </w:p>
        </w:tc>
        <w:tc>
          <w:tcPr>
            <w:tcW w:w="5068" w:type="dxa"/>
            <w:gridSpan w:val="4"/>
            <w:shd w:val="clear" w:color="auto" w:fill="BFBFBF" w:themeFill="background1" w:themeFillShade="BF"/>
            <w:vAlign w:val="center"/>
          </w:tcPr>
          <w:p w:rsidR="00BC4D3C" w:rsidRPr="007D5748" w:rsidRDefault="00BC4D3C" w:rsidP="00BC4D3C">
            <w:pPr>
              <w:jc w:val="center"/>
              <w:rPr>
                <w:b/>
                <w:bCs/>
              </w:rPr>
            </w:pPr>
            <w:r w:rsidRPr="007D5748">
              <w:rPr>
                <w:b/>
                <w:bCs/>
              </w:rPr>
              <w:t>Vplyv na rozpočet verejnej správy (v eurách)</w:t>
            </w:r>
          </w:p>
        </w:tc>
      </w:tr>
      <w:tr w:rsidR="00BC4D3C" w:rsidRPr="007D5748" w:rsidTr="00BC4D3C">
        <w:trPr>
          <w:cantSplit/>
          <w:trHeight w:val="70"/>
          <w:jc w:val="center"/>
        </w:trPr>
        <w:tc>
          <w:tcPr>
            <w:tcW w:w="4661" w:type="dxa"/>
            <w:vMerge/>
            <w:shd w:val="clear" w:color="auto" w:fill="BFBFBF" w:themeFill="background1" w:themeFillShade="BF"/>
            <w:vAlign w:val="center"/>
          </w:tcPr>
          <w:p w:rsidR="00BC4D3C" w:rsidRPr="007D5748" w:rsidRDefault="00BC4D3C" w:rsidP="00BC4D3C">
            <w:pPr>
              <w:jc w:val="center"/>
              <w:rPr>
                <w:b/>
                <w:bCs/>
              </w:rPr>
            </w:pPr>
          </w:p>
        </w:tc>
        <w:tc>
          <w:tcPr>
            <w:tcW w:w="1267" w:type="dxa"/>
            <w:shd w:val="clear" w:color="auto" w:fill="BFBFBF" w:themeFill="background1" w:themeFillShade="BF"/>
            <w:vAlign w:val="center"/>
          </w:tcPr>
          <w:p w:rsidR="00BC4D3C" w:rsidRPr="007D5748" w:rsidRDefault="00BC4D3C" w:rsidP="00BC4D3C">
            <w:pPr>
              <w:jc w:val="center"/>
              <w:rPr>
                <w:b/>
                <w:bCs/>
              </w:rPr>
            </w:pPr>
            <w:r>
              <w:rPr>
                <w:b/>
                <w:bCs/>
              </w:rPr>
              <w:t>2020</w:t>
            </w:r>
          </w:p>
        </w:tc>
        <w:tc>
          <w:tcPr>
            <w:tcW w:w="1267" w:type="dxa"/>
            <w:shd w:val="clear" w:color="auto" w:fill="BFBFBF" w:themeFill="background1" w:themeFillShade="BF"/>
            <w:vAlign w:val="center"/>
          </w:tcPr>
          <w:p w:rsidR="00BC4D3C" w:rsidRPr="007D5748" w:rsidRDefault="00BC4D3C" w:rsidP="00BC4D3C">
            <w:pPr>
              <w:jc w:val="center"/>
              <w:rPr>
                <w:b/>
                <w:bCs/>
              </w:rPr>
            </w:pPr>
            <w:r w:rsidRPr="007D5748">
              <w:rPr>
                <w:b/>
                <w:bCs/>
              </w:rPr>
              <w:t>2</w:t>
            </w:r>
            <w:r>
              <w:rPr>
                <w:b/>
                <w:bCs/>
              </w:rPr>
              <w:t>021</w:t>
            </w:r>
          </w:p>
        </w:tc>
        <w:tc>
          <w:tcPr>
            <w:tcW w:w="1267" w:type="dxa"/>
            <w:shd w:val="clear" w:color="auto" w:fill="BFBFBF" w:themeFill="background1" w:themeFillShade="BF"/>
            <w:vAlign w:val="center"/>
          </w:tcPr>
          <w:p w:rsidR="00BC4D3C" w:rsidRPr="007D5748" w:rsidRDefault="00BC4D3C" w:rsidP="00BC4D3C">
            <w:pPr>
              <w:jc w:val="center"/>
              <w:rPr>
                <w:b/>
                <w:bCs/>
              </w:rPr>
            </w:pPr>
            <w:r>
              <w:rPr>
                <w:b/>
                <w:bCs/>
              </w:rPr>
              <w:t>2022</w:t>
            </w:r>
          </w:p>
        </w:tc>
        <w:tc>
          <w:tcPr>
            <w:tcW w:w="1267" w:type="dxa"/>
            <w:shd w:val="clear" w:color="auto" w:fill="BFBFBF" w:themeFill="background1" w:themeFillShade="BF"/>
            <w:vAlign w:val="center"/>
          </w:tcPr>
          <w:p w:rsidR="00BC4D3C" w:rsidRPr="007D5748" w:rsidRDefault="00BC4D3C" w:rsidP="00BC4D3C">
            <w:pPr>
              <w:jc w:val="center"/>
              <w:rPr>
                <w:b/>
                <w:bCs/>
              </w:rPr>
            </w:pPr>
            <w:r>
              <w:rPr>
                <w:b/>
                <w:bCs/>
              </w:rPr>
              <w:t>2023</w:t>
            </w:r>
          </w:p>
        </w:tc>
      </w:tr>
      <w:tr w:rsidR="00BC4D3C" w:rsidRPr="007D5748" w:rsidTr="00BC4D3C">
        <w:trPr>
          <w:trHeight w:val="70"/>
          <w:jc w:val="center"/>
        </w:trPr>
        <w:tc>
          <w:tcPr>
            <w:tcW w:w="4661" w:type="dxa"/>
            <w:shd w:val="clear" w:color="auto" w:fill="C0C0C0"/>
            <w:noWrap/>
            <w:vAlign w:val="center"/>
          </w:tcPr>
          <w:p w:rsidR="00BC4D3C" w:rsidRPr="007D5748" w:rsidRDefault="00BC4D3C" w:rsidP="00BC4D3C">
            <w:r w:rsidRPr="007D5748">
              <w:rPr>
                <w:b/>
                <w:bCs/>
              </w:rPr>
              <w:t>Príjmy verejnej správy celkom</w:t>
            </w:r>
          </w:p>
        </w:tc>
        <w:tc>
          <w:tcPr>
            <w:tcW w:w="1267" w:type="dxa"/>
            <w:shd w:val="clear" w:color="auto" w:fill="C0C0C0"/>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5 960 000</w:t>
            </w:r>
          </w:p>
        </w:tc>
        <w:tc>
          <w:tcPr>
            <w:tcW w:w="1267" w:type="dxa"/>
            <w:shd w:val="clear" w:color="auto" w:fill="C0C0C0"/>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6 </w:t>
            </w:r>
            <w:r w:rsidRPr="00AD78F1">
              <w:rPr>
                <w:rFonts w:ascii="Times New Roman" w:hAnsi="Times New Roman" w:cs="Times New Roman"/>
                <w:b/>
              </w:rPr>
              <w:t>59</w:t>
            </w:r>
            <w:r>
              <w:rPr>
                <w:rFonts w:ascii="Times New Roman" w:hAnsi="Times New Roman" w:cs="Times New Roman"/>
                <w:b/>
              </w:rPr>
              <w:t>0 000</w:t>
            </w:r>
          </w:p>
        </w:tc>
        <w:tc>
          <w:tcPr>
            <w:tcW w:w="1267" w:type="dxa"/>
            <w:shd w:val="clear" w:color="auto" w:fill="C0C0C0"/>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6 </w:t>
            </w:r>
            <w:r w:rsidRPr="00AD78F1">
              <w:rPr>
                <w:rFonts w:ascii="Times New Roman" w:hAnsi="Times New Roman" w:cs="Times New Roman"/>
                <w:b/>
              </w:rPr>
              <w:t>92</w:t>
            </w:r>
            <w:r>
              <w:rPr>
                <w:rFonts w:ascii="Times New Roman" w:hAnsi="Times New Roman" w:cs="Times New Roman"/>
                <w:b/>
              </w:rPr>
              <w:t>0 000</w:t>
            </w:r>
          </w:p>
        </w:tc>
        <w:tc>
          <w:tcPr>
            <w:tcW w:w="1267" w:type="dxa"/>
            <w:shd w:val="clear" w:color="auto" w:fill="C0C0C0"/>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7 250 000</w:t>
            </w:r>
          </w:p>
        </w:tc>
      </w:tr>
      <w:tr w:rsidR="00BC4D3C" w:rsidRPr="007D5748" w:rsidTr="00BC4D3C">
        <w:trPr>
          <w:trHeight w:val="132"/>
          <w:jc w:val="center"/>
        </w:trPr>
        <w:tc>
          <w:tcPr>
            <w:tcW w:w="4661" w:type="dxa"/>
            <w:noWrap/>
            <w:vAlign w:val="center"/>
          </w:tcPr>
          <w:p w:rsidR="00BC4D3C" w:rsidRPr="007D5748" w:rsidRDefault="00BC4D3C" w:rsidP="00BC4D3C">
            <w:r w:rsidRPr="007D5748">
              <w:t>v tom: za každý subjekt verejnej správy zvlášť</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t>0</w:t>
            </w:r>
          </w:p>
        </w:tc>
      </w:tr>
      <w:tr w:rsidR="00BC4D3C" w:rsidRPr="007D5748" w:rsidTr="00BC4D3C">
        <w:trPr>
          <w:trHeight w:val="70"/>
          <w:jc w:val="center"/>
        </w:trPr>
        <w:tc>
          <w:tcPr>
            <w:tcW w:w="4661" w:type="dxa"/>
            <w:noWrap/>
            <w:vAlign w:val="center"/>
          </w:tcPr>
          <w:p w:rsidR="00BC4D3C" w:rsidRPr="007D5748" w:rsidRDefault="00BC4D3C" w:rsidP="00BC4D3C">
            <w:pPr>
              <w:rPr>
                <w:b/>
                <w:bCs/>
                <w:i/>
                <w:iCs/>
              </w:rPr>
            </w:pPr>
            <w:r w:rsidRPr="007D5748">
              <w:rPr>
                <w:b/>
                <w:bCs/>
                <w:i/>
                <w:iCs/>
              </w:rPr>
              <w:t xml:space="preserve">z toho:  </w:t>
            </w:r>
          </w:p>
        </w:tc>
        <w:tc>
          <w:tcPr>
            <w:tcW w:w="1267" w:type="dxa"/>
            <w:noWrap/>
            <w:vAlign w:val="center"/>
          </w:tcPr>
          <w:p w:rsidR="00BC4D3C" w:rsidRPr="007D5748" w:rsidRDefault="00BC4D3C" w:rsidP="00BC4D3C">
            <w:pPr>
              <w:jc w:val="right"/>
              <w:rPr>
                <w:b/>
                <w:bCs/>
                <w:iCs/>
              </w:rPr>
            </w:pPr>
          </w:p>
        </w:tc>
        <w:tc>
          <w:tcPr>
            <w:tcW w:w="1267" w:type="dxa"/>
            <w:noWrap/>
            <w:vAlign w:val="center"/>
          </w:tcPr>
          <w:p w:rsidR="00BC4D3C" w:rsidRPr="007D5748" w:rsidRDefault="00BC4D3C" w:rsidP="00BC4D3C">
            <w:pPr>
              <w:jc w:val="right"/>
              <w:rPr>
                <w:b/>
                <w:bCs/>
                <w:iCs/>
              </w:rPr>
            </w:pPr>
          </w:p>
        </w:tc>
        <w:tc>
          <w:tcPr>
            <w:tcW w:w="1267" w:type="dxa"/>
            <w:noWrap/>
            <w:vAlign w:val="center"/>
          </w:tcPr>
          <w:p w:rsidR="00BC4D3C" w:rsidRPr="007D5748" w:rsidRDefault="00BC4D3C" w:rsidP="00BC4D3C">
            <w:pPr>
              <w:jc w:val="right"/>
              <w:rPr>
                <w:b/>
                <w:bCs/>
                <w:iCs/>
              </w:rPr>
            </w:pPr>
          </w:p>
        </w:tc>
        <w:tc>
          <w:tcPr>
            <w:tcW w:w="1267" w:type="dxa"/>
            <w:noWrap/>
            <w:vAlign w:val="center"/>
          </w:tcPr>
          <w:p w:rsidR="00BC4D3C" w:rsidRPr="007D5748" w:rsidRDefault="00BC4D3C" w:rsidP="00BC4D3C">
            <w:pPr>
              <w:jc w:val="right"/>
              <w:rPr>
                <w:b/>
                <w:bCs/>
                <w:iCs/>
              </w:rPr>
            </w:pPr>
          </w:p>
        </w:tc>
      </w:tr>
      <w:tr w:rsidR="00BC4D3C" w:rsidRPr="007D5748" w:rsidTr="00BC4D3C">
        <w:trPr>
          <w:trHeight w:val="125"/>
          <w:jc w:val="center"/>
        </w:trPr>
        <w:tc>
          <w:tcPr>
            <w:tcW w:w="4661" w:type="dxa"/>
            <w:noWrap/>
            <w:vAlign w:val="center"/>
          </w:tcPr>
          <w:p w:rsidR="00BC4D3C" w:rsidRPr="007D5748" w:rsidRDefault="00BC4D3C" w:rsidP="00BC4D3C">
            <w:pPr>
              <w:rPr>
                <w:b/>
                <w:bCs/>
                <w:i/>
                <w:iCs/>
              </w:rPr>
            </w:pPr>
            <w:r w:rsidRPr="007D5748">
              <w:rPr>
                <w:b/>
                <w:bCs/>
                <w:i/>
                <w:iCs/>
              </w:rPr>
              <w:t>- vplyv na ŠR</w:t>
            </w:r>
          </w:p>
        </w:tc>
        <w:tc>
          <w:tcPr>
            <w:tcW w:w="1267" w:type="dxa"/>
            <w:noWrap/>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5 9</w:t>
            </w:r>
            <w:r w:rsidRPr="00AD78F1">
              <w:rPr>
                <w:rFonts w:ascii="Times New Roman" w:hAnsi="Times New Roman" w:cs="Times New Roman"/>
                <w:b/>
              </w:rPr>
              <w:t>6</w:t>
            </w:r>
            <w:r>
              <w:rPr>
                <w:rFonts w:ascii="Times New Roman" w:hAnsi="Times New Roman" w:cs="Times New Roman"/>
                <w:b/>
              </w:rPr>
              <w:t>0 000</w:t>
            </w:r>
          </w:p>
        </w:tc>
        <w:tc>
          <w:tcPr>
            <w:tcW w:w="1267" w:type="dxa"/>
            <w:noWrap/>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6 </w:t>
            </w:r>
            <w:r w:rsidRPr="00AD78F1">
              <w:rPr>
                <w:rFonts w:ascii="Times New Roman" w:hAnsi="Times New Roman" w:cs="Times New Roman"/>
                <w:b/>
              </w:rPr>
              <w:t>59</w:t>
            </w:r>
            <w:r>
              <w:rPr>
                <w:rFonts w:ascii="Times New Roman" w:hAnsi="Times New Roman" w:cs="Times New Roman"/>
                <w:b/>
              </w:rPr>
              <w:t>0 000</w:t>
            </w:r>
          </w:p>
        </w:tc>
        <w:tc>
          <w:tcPr>
            <w:tcW w:w="1267" w:type="dxa"/>
            <w:noWrap/>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6 </w:t>
            </w:r>
            <w:r w:rsidRPr="00AD78F1">
              <w:rPr>
                <w:rFonts w:ascii="Times New Roman" w:hAnsi="Times New Roman" w:cs="Times New Roman"/>
                <w:b/>
              </w:rPr>
              <w:t>92</w:t>
            </w:r>
            <w:r>
              <w:rPr>
                <w:rFonts w:ascii="Times New Roman" w:hAnsi="Times New Roman" w:cs="Times New Roman"/>
                <w:b/>
              </w:rPr>
              <w:t>0 000</w:t>
            </w:r>
          </w:p>
        </w:tc>
        <w:tc>
          <w:tcPr>
            <w:tcW w:w="1267" w:type="dxa"/>
            <w:noWrap/>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7 250 000</w:t>
            </w:r>
          </w:p>
        </w:tc>
      </w:tr>
      <w:tr w:rsidR="00BC4D3C" w:rsidRPr="007D5748" w:rsidTr="00BC4D3C">
        <w:trPr>
          <w:trHeight w:val="125"/>
          <w:jc w:val="center"/>
        </w:trPr>
        <w:tc>
          <w:tcPr>
            <w:tcW w:w="4661" w:type="dxa"/>
            <w:noWrap/>
            <w:vAlign w:val="center"/>
          </w:tcPr>
          <w:p w:rsidR="00BC4D3C" w:rsidRPr="007D5748" w:rsidRDefault="00BC4D3C" w:rsidP="00BC4D3C">
            <w:pPr>
              <w:ind w:left="259"/>
              <w:rPr>
                <w:b/>
                <w:bCs/>
                <w:i/>
                <w:iCs/>
              </w:rPr>
            </w:pPr>
            <w:r>
              <w:rPr>
                <w:bCs/>
                <w:i/>
                <w:iCs/>
              </w:rPr>
              <w:t xml:space="preserve">Rozpočtové prostriedky </w:t>
            </w:r>
          </w:p>
        </w:tc>
        <w:tc>
          <w:tcPr>
            <w:tcW w:w="1267" w:type="dxa"/>
            <w:noWrap/>
          </w:tcPr>
          <w:p w:rsidR="00BC4D3C" w:rsidRPr="00413526" w:rsidRDefault="00BC4D3C" w:rsidP="00BC4D3C">
            <w:pPr>
              <w:pStyle w:val="Bezriadkovania"/>
              <w:jc w:val="right"/>
              <w:rPr>
                <w:rFonts w:ascii="Times New Roman" w:hAnsi="Times New Roman" w:cs="Times New Roman"/>
              </w:rPr>
            </w:pPr>
            <w:r w:rsidRPr="00413526">
              <w:rPr>
                <w:rFonts w:ascii="Times New Roman" w:hAnsi="Times New Roman" w:cs="Times New Roman"/>
              </w:rPr>
              <w:t>5 960 000</w:t>
            </w:r>
          </w:p>
        </w:tc>
        <w:tc>
          <w:tcPr>
            <w:tcW w:w="1267" w:type="dxa"/>
            <w:noWrap/>
          </w:tcPr>
          <w:p w:rsidR="00BC4D3C" w:rsidRPr="00AD78F1" w:rsidRDefault="00BC4D3C" w:rsidP="00BC4D3C">
            <w:pPr>
              <w:pStyle w:val="Bezriadkovania"/>
              <w:jc w:val="right"/>
              <w:rPr>
                <w:rFonts w:ascii="Times New Roman" w:hAnsi="Times New Roman" w:cs="Times New Roman"/>
              </w:rPr>
            </w:pPr>
            <w:r w:rsidRPr="00AD78F1">
              <w:rPr>
                <w:rFonts w:ascii="Times New Roman" w:hAnsi="Times New Roman" w:cs="Times New Roman"/>
              </w:rPr>
              <w:t>6 590 000</w:t>
            </w:r>
          </w:p>
        </w:tc>
        <w:tc>
          <w:tcPr>
            <w:tcW w:w="1267" w:type="dxa"/>
            <w:noWrap/>
          </w:tcPr>
          <w:p w:rsidR="00BC4D3C" w:rsidRPr="00AD78F1" w:rsidRDefault="00BC4D3C" w:rsidP="00BC4D3C">
            <w:pPr>
              <w:pStyle w:val="Bezriadkovania"/>
              <w:jc w:val="right"/>
              <w:rPr>
                <w:rFonts w:ascii="Times New Roman" w:hAnsi="Times New Roman" w:cs="Times New Roman"/>
              </w:rPr>
            </w:pPr>
            <w:r w:rsidRPr="00AD78F1">
              <w:rPr>
                <w:rFonts w:ascii="Times New Roman" w:hAnsi="Times New Roman" w:cs="Times New Roman"/>
              </w:rPr>
              <w:t>6 920 000</w:t>
            </w:r>
          </w:p>
        </w:tc>
        <w:tc>
          <w:tcPr>
            <w:tcW w:w="1267" w:type="dxa"/>
            <w:noWrap/>
          </w:tcPr>
          <w:p w:rsidR="00BC4D3C" w:rsidRPr="00AE0678" w:rsidRDefault="00BC4D3C" w:rsidP="00BC4D3C">
            <w:pPr>
              <w:pStyle w:val="Bezriadkovania"/>
              <w:jc w:val="right"/>
              <w:rPr>
                <w:rFonts w:ascii="Times New Roman" w:hAnsi="Times New Roman" w:cs="Times New Roman"/>
              </w:rPr>
            </w:pPr>
            <w:r w:rsidRPr="00AE0678">
              <w:rPr>
                <w:rFonts w:ascii="Times New Roman" w:hAnsi="Times New Roman" w:cs="Times New Roman"/>
              </w:rPr>
              <w:t>7 250 000</w:t>
            </w:r>
          </w:p>
        </w:tc>
      </w:tr>
      <w:tr w:rsidR="00BC4D3C" w:rsidRPr="007D5748" w:rsidTr="00BC4D3C">
        <w:trPr>
          <w:trHeight w:val="125"/>
          <w:jc w:val="center"/>
        </w:trPr>
        <w:tc>
          <w:tcPr>
            <w:tcW w:w="4661" w:type="dxa"/>
            <w:noWrap/>
            <w:vAlign w:val="center"/>
          </w:tcPr>
          <w:p w:rsidR="00BC4D3C" w:rsidRPr="007D5748" w:rsidRDefault="00BC4D3C" w:rsidP="00BC4D3C">
            <w:pPr>
              <w:ind w:left="259"/>
              <w:rPr>
                <w:bCs/>
                <w:i/>
                <w:iCs/>
              </w:rPr>
            </w:pPr>
            <w:r w:rsidRPr="007D5748">
              <w:rPr>
                <w:bCs/>
                <w:i/>
                <w:iCs/>
              </w:rPr>
              <w:t>EÚ zdroje</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t>0</w:t>
            </w:r>
          </w:p>
        </w:tc>
      </w:tr>
      <w:tr w:rsidR="00BC4D3C" w:rsidRPr="007D5748" w:rsidTr="00BC4D3C">
        <w:trPr>
          <w:trHeight w:val="125"/>
          <w:jc w:val="center"/>
        </w:trPr>
        <w:tc>
          <w:tcPr>
            <w:tcW w:w="4661" w:type="dxa"/>
            <w:noWrap/>
            <w:vAlign w:val="center"/>
          </w:tcPr>
          <w:p w:rsidR="00BC4D3C" w:rsidRPr="007D5748" w:rsidRDefault="00BC4D3C" w:rsidP="00BC4D3C">
            <w:pPr>
              <w:rPr>
                <w:b/>
                <w:bCs/>
                <w:i/>
                <w:iCs/>
              </w:rPr>
            </w:pPr>
            <w:r w:rsidRPr="007D5748">
              <w:rPr>
                <w:b/>
                <w:bCs/>
                <w:i/>
                <w:iCs/>
              </w:rPr>
              <w:t>- vplyv na obce</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125"/>
          <w:jc w:val="center"/>
        </w:trPr>
        <w:tc>
          <w:tcPr>
            <w:tcW w:w="4661" w:type="dxa"/>
            <w:noWrap/>
            <w:vAlign w:val="center"/>
          </w:tcPr>
          <w:p w:rsidR="00BC4D3C" w:rsidRPr="007D5748" w:rsidRDefault="00BC4D3C" w:rsidP="00BC4D3C">
            <w:pPr>
              <w:rPr>
                <w:b/>
                <w:bCs/>
                <w:i/>
                <w:iCs/>
              </w:rPr>
            </w:pPr>
            <w:r w:rsidRPr="007D5748">
              <w:rPr>
                <w:b/>
                <w:bCs/>
                <w:i/>
                <w:iCs/>
              </w:rPr>
              <w:t>- vplyv na vyššie územné celky</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125"/>
          <w:jc w:val="center"/>
        </w:trPr>
        <w:tc>
          <w:tcPr>
            <w:tcW w:w="4661" w:type="dxa"/>
            <w:noWrap/>
            <w:vAlign w:val="center"/>
          </w:tcPr>
          <w:p w:rsidR="00BC4D3C" w:rsidRPr="007D5748" w:rsidRDefault="00BC4D3C" w:rsidP="00BC4D3C">
            <w:pPr>
              <w:rPr>
                <w:b/>
                <w:bCs/>
                <w:i/>
                <w:iCs/>
              </w:rPr>
            </w:pPr>
            <w:r w:rsidRPr="007D5748">
              <w:rPr>
                <w:b/>
                <w:bCs/>
                <w:i/>
                <w:iCs/>
              </w:rPr>
              <w:t>- vplyv na ostatné subjekty verejnej správy</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125"/>
          <w:jc w:val="center"/>
        </w:trPr>
        <w:tc>
          <w:tcPr>
            <w:tcW w:w="4661" w:type="dxa"/>
            <w:shd w:val="clear" w:color="auto" w:fill="C0C0C0"/>
            <w:noWrap/>
            <w:vAlign w:val="center"/>
          </w:tcPr>
          <w:p w:rsidR="00BC4D3C" w:rsidRPr="007D5748" w:rsidRDefault="00BC4D3C" w:rsidP="00BC4D3C">
            <w:pPr>
              <w:rPr>
                <w:b/>
                <w:bCs/>
              </w:rPr>
            </w:pPr>
            <w:r w:rsidRPr="007D5748">
              <w:rPr>
                <w:b/>
                <w:bCs/>
              </w:rPr>
              <w:t>Výdavky verejnej správy celkom</w:t>
            </w:r>
          </w:p>
        </w:tc>
        <w:tc>
          <w:tcPr>
            <w:tcW w:w="1267" w:type="dxa"/>
            <w:shd w:val="clear" w:color="auto" w:fill="C0C0C0"/>
            <w:noWrap/>
          </w:tcPr>
          <w:p w:rsidR="00BC4D3C" w:rsidRPr="009E1D84" w:rsidRDefault="00BC4D3C" w:rsidP="00BC4D3C">
            <w:pPr>
              <w:pStyle w:val="Bezriadkovania"/>
              <w:jc w:val="right"/>
              <w:rPr>
                <w:rFonts w:ascii="Times New Roman" w:hAnsi="Times New Roman" w:cs="Times New Roman"/>
                <w:b/>
              </w:rPr>
            </w:pPr>
            <w:r>
              <w:rPr>
                <w:rFonts w:ascii="Times New Roman" w:hAnsi="Times New Roman" w:cs="Times New Roman"/>
                <w:b/>
              </w:rPr>
              <w:t>3 140 000</w:t>
            </w:r>
            <w:r w:rsidRPr="009E1D84">
              <w:rPr>
                <w:rFonts w:ascii="Times New Roman" w:hAnsi="Times New Roman" w:cs="Times New Roman"/>
                <w:b/>
              </w:rPr>
              <w:t xml:space="preserve"> </w:t>
            </w:r>
          </w:p>
        </w:tc>
        <w:tc>
          <w:tcPr>
            <w:tcW w:w="1267" w:type="dxa"/>
            <w:shd w:val="clear" w:color="auto" w:fill="C0C0C0"/>
            <w:noWrap/>
          </w:tcPr>
          <w:p w:rsidR="00BC4D3C" w:rsidRPr="009E1D84" w:rsidRDefault="00BC4D3C" w:rsidP="00BC4D3C">
            <w:pPr>
              <w:pStyle w:val="Bezriadkovania"/>
              <w:jc w:val="right"/>
              <w:rPr>
                <w:rFonts w:ascii="Times New Roman" w:hAnsi="Times New Roman" w:cs="Times New Roman"/>
                <w:b/>
              </w:rPr>
            </w:pPr>
            <w:r w:rsidRPr="009E1D84">
              <w:rPr>
                <w:rFonts w:ascii="Times New Roman" w:hAnsi="Times New Roman" w:cs="Times New Roman"/>
                <w:b/>
              </w:rPr>
              <w:t>5 </w:t>
            </w:r>
            <w:r>
              <w:rPr>
                <w:rFonts w:ascii="Times New Roman" w:hAnsi="Times New Roman" w:cs="Times New Roman"/>
                <w:b/>
              </w:rPr>
              <w:t>72</w:t>
            </w:r>
            <w:r w:rsidRPr="009E1D84">
              <w:rPr>
                <w:rFonts w:ascii="Times New Roman" w:hAnsi="Times New Roman" w:cs="Times New Roman"/>
                <w:b/>
              </w:rPr>
              <w:t>0 000</w:t>
            </w:r>
          </w:p>
        </w:tc>
        <w:tc>
          <w:tcPr>
            <w:tcW w:w="1267" w:type="dxa"/>
            <w:shd w:val="clear" w:color="auto" w:fill="C0C0C0"/>
            <w:noWrap/>
          </w:tcPr>
          <w:p w:rsidR="00BC4D3C" w:rsidRPr="009E1D84" w:rsidRDefault="00BC4D3C" w:rsidP="00BC4D3C">
            <w:pPr>
              <w:pStyle w:val="Bezriadkovania"/>
              <w:jc w:val="right"/>
              <w:rPr>
                <w:rFonts w:ascii="Times New Roman" w:hAnsi="Times New Roman" w:cs="Times New Roman"/>
                <w:b/>
              </w:rPr>
            </w:pPr>
            <w:r>
              <w:rPr>
                <w:rFonts w:ascii="Times New Roman" w:hAnsi="Times New Roman" w:cs="Times New Roman"/>
                <w:b/>
              </w:rPr>
              <w:t>6</w:t>
            </w:r>
            <w:r w:rsidRPr="009E1D84">
              <w:rPr>
                <w:rFonts w:ascii="Times New Roman" w:hAnsi="Times New Roman" w:cs="Times New Roman"/>
                <w:b/>
              </w:rPr>
              <w:t> </w:t>
            </w:r>
            <w:r>
              <w:rPr>
                <w:rFonts w:ascii="Times New Roman" w:hAnsi="Times New Roman" w:cs="Times New Roman"/>
                <w:b/>
              </w:rPr>
              <w:t>01</w:t>
            </w:r>
            <w:r w:rsidRPr="009E1D84">
              <w:rPr>
                <w:rFonts w:ascii="Times New Roman" w:hAnsi="Times New Roman" w:cs="Times New Roman"/>
                <w:b/>
              </w:rPr>
              <w:t xml:space="preserve">0 000 </w:t>
            </w:r>
          </w:p>
        </w:tc>
        <w:tc>
          <w:tcPr>
            <w:tcW w:w="1267" w:type="dxa"/>
            <w:shd w:val="clear" w:color="auto" w:fill="C0C0C0"/>
            <w:noWrap/>
          </w:tcPr>
          <w:p w:rsidR="00BC4D3C" w:rsidRPr="009E1D84" w:rsidRDefault="00BC4D3C" w:rsidP="00BC4D3C">
            <w:pPr>
              <w:pStyle w:val="Bezriadkovania"/>
              <w:jc w:val="right"/>
              <w:rPr>
                <w:rFonts w:ascii="Times New Roman" w:hAnsi="Times New Roman" w:cs="Times New Roman"/>
                <w:b/>
              </w:rPr>
            </w:pPr>
            <w:r>
              <w:rPr>
                <w:rFonts w:ascii="Times New Roman" w:hAnsi="Times New Roman" w:cs="Times New Roman"/>
                <w:b/>
              </w:rPr>
              <w:t>6 300 000</w:t>
            </w:r>
          </w:p>
        </w:tc>
      </w:tr>
      <w:tr w:rsidR="00BC4D3C" w:rsidRPr="007D5748" w:rsidTr="00BC4D3C">
        <w:trPr>
          <w:trHeight w:val="70"/>
          <w:jc w:val="center"/>
        </w:trPr>
        <w:tc>
          <w:tcPr>
            <w:tcW w:w="4661" w:type="dxa"/>
            <w:noWrap/>
            <w:vAlign w:val="center"/>
          </w:tcPr>
          <w:p w:rsidR="00BC4D3C" w:rsidRPr="007D5748" w:rsidRDefault="00BC4D3C" w:rsidP="00BC4D3C">
            <w:r w:rsidRPr="007D5748">
              <w:t>v tom: za každý subjekt verejnej správy / program zvlášť</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t>0</w:t>
            </w:r>
          </w:p>
        </w:tc>
      </w:tr>
      <w:tr w:rsidR="00BC4D3C" w:rsidRPr="007D5748" w:rsidTr="00BC4D3C">
        <w:trPr>
          <w:trHeight w:val="70"/>
          <w:jc w:val="center"/>
        </w:trPr>
        <w:tc>
          <w:tcPr>
            <w:tcW w:w="4661" w:type="dxa"/>
            <w:noWrap/>
            <w:vAlign w:val="center"/>
          </w:tcPr>
          <w:p w:rsidR="00BC4D3C" w:rsidRPr="007D5748" w:rsidRDefault="00BC4D3C" w:rsidP="00BC4D3C">
            <w:pPr>
              <w:rPr>
                <w:b/>
                <w:bCs/>
                <w:i/>
                <w:iCs/>
              </w:rPr>
            </w:pPr>
            <w:r w:rsidRPr="007D5748">
              <w:rPr>
                <w:b/>
                <w:bCs/>
                <w:i/>
                <w:iCs/>
              </w:rPr>
              <w:t xml:space="preserve">z toho: </w:t>
            </w:r>
          </w:p>
        </w:tc>
        <w:tc>
          <w:tcPr>
            <w:tcW w:w="1267" w:type="dxa"/>
            <w:noWrap/>
            <w:vAlign w:val="center"/>
          </w:tcPr>
          <w:p w:rsidR="00BC4D3C" w:rsidRPr="007D5748" w:rsidRDefault="00BC4D3C" w:rsidP="00BC4D3C">
            <w:pPr>
              <w:jc w:val="right"/>
              <w:rPr>
                <w:b/>
                <w:bCs/>
                <w:iCs/>
              </w:rPr>
            </w:pPr>
          </w:p>
        </w:tc>
        <w:tc>
          <w:tcPr>
            <w:tcW w:w="1267" w:type="dxa"/>
            <w:noWrap/>
            <w:vAlign w:val="center"/>
          </w:tcPr>
          <w:p w:rsidR="00BC4D3C" w:rsidRPr="007D5748" w:rsidRDefault="00BC4D3C" w:rsidP="00BC4D3C">
            <w:pPr>
              <w:jc w:val="right"/>
              <w:rPr>
                <w:b/>
                <w:bCs/>
                <w:iCs/>
              </w:rPr>
            </w:pPr>
          </w:p>
        </w:tc>
        <w:tc>
          <w:tcPr>
            <w:tcW w:w="1267" w:type="dxa"/>
            <w:noWrap/>
            <w:vAlign w:val="center"/>
          </w:tcPr>
          <w:p w:rsidR="00BC4D3C" w:rsidRPr="007D5748" w:rsidRDefault="00BC4D3C" w:rsidP="00BC4D3C">
            <w:pPr>
              <w:jc w:val="right"/>
              <w:rPr>
                <w:b/>
                <w:bCs/>
                <w:iCs/>
              </w:rPr>
            </w:pPr>
          </w:p>
        </w:tc>
        <w:tc>
          <w:tcPr>
            <w:tcW w:w="1267" w:type="dxa"/>
            <w:noWrap/>
            <w:vAlign w:val="center"/>
          </w:tcPr>
          <w:p w:rsidR="00BC4D3C" w:rsidRPr="007D5748" w:rsidRDefault="00BC4D3C" w:rsidP="00BC4D3C">
            <w:pPr>
              <w:jc w:val="right"/>
              <w:rPr>
                <w:b/>
                <w:bCs/>
                <w:iCs/>
              </w:rPr>
            </w:pPr>
          </w:p>
        </w:tc>
      </w:tr>
      <w:tr w:rsidR="00BC4D3C" w:rsidRPr="007D5748" w:rsidTr="00BC4D3C">
        <w:trPr>
          <w:trHeight w:val="70"/>
          <w:jc w:val="center"/>
        </w:trPr>
        <w:tc>
          <w:tcPr>
            <w:tcW w:w="4661" w:type="dxa"/>
            <w:noWrap/>
            <w:vAlign w:val="center"/>
          </w:tcPr>
          <w:p w:rsidR="00BC4D3C" w:rsidRPr="007D5748" w:rsidRDefault="00BC4D3C" w:rsidP="00BC4D3C">
            <w:pPr>
              <w:rPr>
                <w:b/>
                <w:bCs/>
                <w:i/>
                <w:iCs/>
              </w:rPr>
            </w:pPr>
            <w:r w:rsidRPr="007D5748">
              <w:rPr>
                <w:b/>
                <w:bCs/>
                <w:i/>
                <w:iCs/>
              </w:rPr>
              <w:t>- vplyv na ŠR</w:t>
            </w:r>
          </w:p>
        </w:tc>
        <w:tc>
          <w:tcPr>
            <w:tcW w:w="1267" w:type="dxa"/>
            <w:noWrap/>
          </w:tcPr>
          <w:p w:rsidR="00BC4D3C" w:rsidRPr="009E1D84" w:rsidRDefault="00BC4D3C" w:rsidP="00BC4D3C">
            <w:pPr>
              <w:pStyle w:val="Bezriadkovania"/>
              <w:jc w:val="right"/>
              <w:rPr>
                <w:rFonts w:ascii="Times New Roman" w:hAnsi="Times New Roman" w:cs="Times New Roman"/>
                <w:b/>
              </w:rPr>
            </w:pPr>
            <w:r>
              <w:rPr>
                <w:rFonts w:ascii="Times New Roman" w:hAnsi="Times New Roman" w:cs="Times New Roman"/>
                <w:b/>
              </w:rPr>
              <w:t>3 140 000</w:t>
            </w:r>
          </w:p>
        </w:tc>
        <w:tc>
          <w:tcPr>
            <w:tcW w:w="1267" w:type="dxa"/>
            <w:noWrap/>
          </w:tcPr>
          <w:p w:rsidR="00BC4D3C" w:rsidRPr="009E1D84" w:rsidRDefault="00BC4D3C" w:rsidP="00BC4D3C">
            <w:pPr>
              <w:pStyle w:val="Bezriadkovania"/>
              <w:jc w:val="right"/>
              <w:rPr>
                <w:rFonts w:ascii="Times New Roman" w:hAnsi="Times New Roman" w:cs="Times New Roman"/>
                <w:b/>
              </w:rPr>
            </w:pPr>
            <w:r w:rsidRPr="00265C88">
              <w:rPr>
                <w:rFonts w:ascii="Times New Roman" w:hAnsi="Times New Roman" w:cs="Times New Roman"/>
                <w:b/>
              </w:rPr>
              <w:t>5 720 000</w:t>
            </w:r>
          </w:p>
        </w:tc>
        <w:tc>
          <w:tcPr>
            <w:tcW w:w="1267" w:type="dxa"/>
            <w:noWrap/>
          </w:tcPr>
          <w:p w:rsidR="00BC4D3C" w:rsidRPr="009E1D84" w:rsidRDefault="00BC4D3C" w:rsidP="00BC4D3C">
            <w:pPr>
              <w:pStyle w:val="Bezriadkovania"/>
              <w:jc w:val="right"/>
              <w:rPr>
                <w:rFonts w:ascii="Times New Roman" w:hAnsi="Times New Roman" w:cs="Times New Roman"/>
                <w:b/>
              </w:rPr>
            </w:pPr>
            <w:r w:rsidRPr="00265C88">
              <w:rPr>
                <w:rFonts w:ascii="Times New Roman" w:hAnsi="Times New Roman" w:cs="Times New Roman"/>
                <w:b/>
              </w:rPr>
              <w:t>6 010 000</w:t>
            </w:r>
          </w:p>
        </w:tc>
        <w:tc>
          <w:tcPr>
            <w:tcW w:w="1267" w:type="dxa"/>
            <w:noWrap/>
          </w:tcPr>
          <w:p w:rsidR="00BC4D3C" w:rsidRPr="009E1D84" w:rsidRDefault="00BC4D3C" w:rsidP="00BC4D3C">
            <w:pPr>
              <w:pStyle w:val="Bezriadkovania"/>
              <w:jc w:val="right"/>
              <w:rPr>
                <w:rFonts w:ascii="Times New Roman" w:hAnsi="Times New Roman" w:cs="Times New Roman"/>
                <w:b/>
              </w:rPr>
            </w:pPr>
            <w:r w:rsidRPr="00265C88">
              <w:rPr>
                <w:rFonts w:ascii="Times New Roman" w:hAnsi="Times New Roman" w:cs="Times New Roman"/>
                <w:b/>
              </w:rPr>
              <w:t>6 300 000</w:t>
            </w:r>
          </w:p>
        </w:tc>
      </w:tr>
      <w:tr w:rsidR="00BC4D3C" w:rsidRPr="007D5748" w:rsidTr="00BC4D3C">
        <w:trPr>
          <w:trHeight w:val="289"/>
          <w:jc w:val="center"/>
        </w:trPr>
        <w:tc>
          <w:tcPr>
            <w:tcW w:w="4661" w:type="dxa"/>
            <w:noWrap/>
            <w:vAlign w:val="center"/>
          </w:tcPr>
          <w:p w:rsidR="00BC4D3C" w:rsidRPr="007D5748" w:rsidRDefault="00BC4D3C" w:rsidP="00BC4D3C">
            <w:pPr>
              <w:ind w:left="259"/>
              <w:rPr>
                <w:b/>
                <w:bCs/>
                <w:i/>
                <w:iCs/>
              </w:rPr>
            </w:pPr>
            <w:r>
              <w:rPr>
                <w:bCs/>
                <w:i/>
                <w:iCs/>
              </w:rPr>
              <w:t>Rozpočtové prostriedky MK SR</w:t>
            </w:r>
          </w:p>
        </w:tc>
        <w:tc>
          <w:tcPr>
            <w:tcW w:w="1267" w:type="dxa"/>
            <w:noWrap/>
          </w:tcPr>
          <w:p w:rsidR="00BC4D3C" w:rsidRPr="00413526" w:rsidRDefault="00BC4D3C" w:rsidP="00BC4D3C">
            <w:pPr>
              <w:pStyle w:val="Bezriadkovania"/>
              <w:jc w:val="right"/>
              <w:rPr>
                <w:rFonts w:ascii="Times New Roman" w:hAnsi="Times New Roman" w:cs="Times New Roman"/>
              </w:rPr>
            </w:pPr>
            <w:r w:rsidRPr="00413526">
              <w:rPr>
                <w:rFonts w:ascii="Times New Roman" w:hAnsi="Times New Roman" w:cs="Times New Roman"/>
              </w:rPr>
              <w:t>3 140 000</w:t>
            </w:r>
          </w:p>
        </w:tc>
        <w:tc>
          <w:tcPr>
            <w:tcW w:w="1267" w:type="dxa"/>
            <w:noWrap/>
          </w:tcPr>
          <w:p w:rsidR="00BC4D3C" w:rsidRPr="00F11F62" w:rsidRDefault="00BC4D3C" w:rsidP="00BC4D3C">
            <w:pPr>
              <w:pStyle w:val="Bezriadkovania"/>
              <w:jc w:val="right"/>
              <w:rPr>
                <w:rFonts w:ascii="Times New Roman" w:hAnsi="Times New Roman" w:cs="Times New Roman"/>
              </w:rPr>
            </w:pPr>
            <w:r w:rsidRPr="00265C88">
              <w:rPr>
                <w:rFonts w:ascii="Times New Roman" w:hAnsi="Times New Roman" w:cs="Times New Roman"/>
              </w:rPr>
              <w:t>5 720 000</w:t>
            </w:r>
          </w:p>
        </w:tc>
        <w:tc>
          <w:tcPr>
            <w:tcW w:w="1267" w:type="dxa"/>
            <w:noWrap/>
          </w:tcPr>
          <w:p w:rsidR="00BC4D3C" w:rsidRPr="00F11F62" w:rsidRDefault="00BC4D3C" w:rsidP="00BC4D3C">
            <w:pPr>
              <w:pStyle w:val="Bezriadkovania"/>
              <w:jc w:val="right"/>
              <w:rPr>
                <w:rFonts w:ascii="Times New Roman" w:hAnsi="Times New Roman" w:cs="Times New Roman"/>
              </w:rPr>
            </w:pPr>
            <w:r w:rsidRPr="00265C88">
              <w:rPr>
                <w:rFonts w:ascii="Times New Roman" w:hAnsi="Times New Roman" w:cs="Times New Roman"/>
              </w:rPr>
              <w:t>6 010 000</w:t>
            </w:r>
          </w:p>
        </w:tc>
        <w:tc>
          <w:tcPr>
            <w:tcW w:w="1267" w:type="dxa"/>
            <w:noWrap/>
          </w:tcPr>
          <w:p w:rsidR="00BC4D3C" w:rsidRPr="00AE0678" w:rsidRDefault="00BC4D3C" w:rsidP="00BC4D3C">
            <w:pPr>
              <w:pStyle w:val="Bezriadkovania"/>
              <w:jc w:val="right"/>
              <w:rPr>
                <w:rFonts w:ascii="Times New Roman" w:hAnsi="Times New Roman" w:cs="Times New Roman"/>
              </w:rPr>
            </w:pPr>
            <w:r w:rsidRPr="00265C88">
              <w:rPr>
                <w:rFonts w:ascii="Times New Roman" w:hAnsi="Times New Roman" w:cs="Times New Roman"/>
              </w:rPr>
              <w:t>6 300 000</w:t>
            </w:r>
          </w:p>
        </w:tc>
      </w:tr>
      <w:tr w:rsidR="00BC4D3C" w:rsidRPr="007D5748" w:rsidTr="00BC4D3C">
        <w:trPr>
          <w:trHeight w:val="70"/>
          <w:jc w:val="center"/>
        </w:trPr>
        <w:tc>
          <w:tcPr>
            <w:tcW w:w="4661" w:type="dxa"/>
            <w:noWrap/>
            <w:vAlign w:val="center"/>
          </w:tcPr>
          <w:p w:rsidR="00BC4D3C" w:rsidRPr="007D5748" w:rsidRDefault="00BC4D3C" w:rsidP="00BC4D3C">
            <w:pPr>
              <w:rPr>
                <w:bCs/>
                <w:i/>
                <w:iCs/>
              </w:rPr>
            </w:pPr>
            <w:r w:rsidRPr="007D5748">
              <w:rPr>
                <w:bCs/>
                <w:i/>
                <w:iCs/>
              </w:rPr>
              <w:t xml:space="preserve">    EÚ zdroje</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t>0</w:t>
            </w:r>
          </w:p>
        </w:tc>
      </w:tr>
      <w:tr w:rsidR="00BC4D3C" w:rsidRPr="007D5748" w:rsidTr="00BC4D3C">
        <w:trPr>
          <w:trHeight w:val="70"/>
          <w:jc w:val="center"/>
        </w:trPr>
        <w:tc>
          <w:tcPr>
            <w:tcW w:w="4661" w:type="dxa"/>
            <w:noWrap/>
            <w:vAlign w:val="center"/>
          </w:tcPr>
          <w:p w:rsidR="00BC4D3C" w:rsidRPr="007D5748" w:rsidRDefault="00BC4D3C" w:rsidP="00BC4D3C">
            <w:pPr>
              <w:rPr>
                <w:bCs/>
                <w:i/>
                <w:iCs/>
              </w:rPr>
            </w:pPr>
            <w:r w:rsidRPr="007D5748">
              <w:rPr>
                <w:bCs/>
                <w:i/>
                <w:iCs/>
              </w:rPr>
              <w:t xml:space="preserve">    spolufinancovanie</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rsidRPr="007D5748">
              <w:t>0</w:t>
            </w:r>
          </w:p>
        </w:tc>
        <w:tc>
          <w:tcPr>
            <w:tcW w:w="1267" w:type="dxa"/>
            <w:noWrap/>
            <w:vAlign w:val="center"/>
          </w:tcPr>
          <w:p w:rsidR="00BC4D3C" w:rsidRPr="007D5748" w:rsidRDefault="00BC4D3C" w:rsidP="00BC4D3C">
            <w:pPr>
              <w:jc w:val="right"/>
            </w:pPr>
            <w:r>
              <w:t>0</w:t>
            </w:r>
          </w:p>
        </w:tc>
      </w:tr>
      <w:tr w:rsidR="00BC4D3C" w:rsidRPr="007D5748" w:rsidTr="00BC4D3C">
        <w:trPr>
          <w:trHeight w:val="125"/>
          <w:jc w:val="center"/>
        </w:trPr>
        <w:tc>
          <w:tcPr>
            <w:tcW w:w="4661" w:type="dxa"/>
            <w:noWrap/>
            <w:vAlign w:val="center"/>
          </w:tcPr>
          <w:p w:rsidR="00BC4D3C" w:rsidRPr="007D5748" w:rsidRDefault="00BC4D3C" w:rsidP="00BC4D3C">
            <w:pPr>
              <w:rPr>
                <w:b/>
                <w:bCs/>
                <w:i/>
                <w:iCs/>
              </w:rPr>
            </w:pPr>
            <w:r w:rsidRPr="007D5748">
              <w:rPr>
                <w:b/>
                <w:bCs/>
                <w:i/>
                <w:iCs/>
              </w:rPr>
              <w:t>- vplyv na obce</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125"/>
          <w:jc w:val="center"/>
        </w:trPr>
        <w:tc>
          <w:tcPr>
            <w:tcW w:w="4661" w:type="dxa"/>
            <w:noWrap/>
            <w:vAlign w:val="center"/>
          </w:tcPr>
          <w:p w:rsidR="00BC4D3C" w:rsidRPr="007D5748" w:rsidRDefault="00BC4D3C" w:rsidP="00BC4D3C">
            <w:pPr>
              <w:rPr>
                <w:b/>
                <w:bCs/>
                <w:i/>
                <w:iCs/>
              </w:rPr>
            </w:pPr>
            <w:r w:rsidRPr="007D5748">
              <w:rPr>
                <w:b/>
                <w:bCs/>
                <w:i/>
                <w:iCs/>
              </w:rPr>
              <w:t>- vplyv na vyššie územné celky</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70"/>
          <w:jc w:val="center"/>
        </w:trPr>
        <w:tc>
          <w:tcPr>
            <w:tcW w:w="4661" w:type="dxa"/>
            <w:noWrap/>
            <w:vAlign w:val="center"/>
          </w:tcPr>
          <w:p w:rsidR="00BC4D3C" w:rsidRPr="007D5748" w:rsidRDefault="00BC4D3C" w:rsidP="00BC4D3C">
            <w:pPr>
              <w:rPr>
                <w:b/>
                <w:bCs/>
              </w:rPr>
            </w:pPr>
            <w:r w:rsidRPr="007D5748">
              <w:rPr>
                <w:b/>
                <w:bCs/>
                <w:i/>
                <w:iCs/>
              </w:rPr>
              <w:t>- vplyv na ostatné subjekty verejnej správy</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70"/>
          <w:jc w:val="center"/>
        </w:trPr>
        <w:tc>
          <w:tcPr>
            <w:tcW w:w="4661" w:type="dxa"/>
            <w:shd w:val="clear" w:color="auto" w:fill="BFBFBF" w:themeFill="background1" w:themeFillShade="BF"/>
            <w:noWrap/>
            <w:vAlign w:val="center"/>
          </w:tcPr>
          <w:p w:rsidR="00BC4D3C" w:rsidRPr="007D5748" w:rsidRDefault="00BC4D3C" w:rsidP="00BC4D3C">
            <w:pPr>
              <w:rPr>
                <w:b/>
                <w:bCs/>
              </w:rPr>
            </w:pPr>
            <w:r w:rsidRPr="007D5748">
              <w:rPr>
                <w:b/>
                <w:bCs/>
              </w:rPr>
              <w:t xml:space="preserve">Vplyv na počet zamestnancov </w:t>
            </w:r>
          </w:p>
        </w:tc>
        <w:tc>
          <w:tcPr>
            <w:tcW w:w="1267" w:type="dxa"/>
            <w:shd w:val="clear" w:color="auto" w:fill="BFBFBF" w:themeFill="background1" w:themeFillShade="BF"/>
            <w:noWrap/>
            <w:vAlign w:val="center"/>
          </w:tcPr>
          <w:p w:rsidR="00BC4D3C" w:rsidRPr="007D5748" w:rsidRDefault="00BC4D3C" w:rsidP="00BC4D3C">
            <w:pPr>
              <w:jc w:val="right"/>
              <w:rPr>
                <w:b/>
                <w:bCs/>
              </w:rPr>
            </w:pPr>
            <w:r w:rsidRPr="007D5748">
              <w:rPr>
                <w:b/>
                <w:bCs/>
              </w:rPr>
              <w:t>0</w:t>
            </w:r>
          </w:p>
        </w:tc>
        <w:tc>
          <w:tcPr>
            <w:tcW w:w="1267" w:type="dxa"/>
            <w:shd w:val="clear" w:color="auto" w:fill="BFBFBF" w:themeFill="background1" w:themeFillShade="BF"/>
            <w:noWrap/>
            <w:vAlign w:val="center"/>
          </w:tcPr>
          <w:p w:rsidR="00BC4D3C" w:rsidRPr="007D5748" w:rsidRDefault="00BC4D3C" w:rsidP="00BC4D3C">
            <w:pPr>
              <w:jc w:val="right"/>
              <w:rPr>
                <w:b/>
                <w:bCs/>
              </w:rPr>
            </w:pPr>
            <w:r w:rsidRPr="007D5748">
              <w:rPr>
                <w:b/>
                <w:bCs/>
              </w:rPr>
              <w:t>0</w:t>
            </w:r>
          </w:p>
        </w:tc>
        <w:tc>
          <w:tcPr>
            <w:tcW w:w="1267" w:type="dxa"/>
            <w:shd w:val="clear" w:color="auto" w:fill="BFBFBF" w:themeFill="background1" w:themeFillShade="BF"/>
            <w:noWrap/>
            <w:vAlign w:val="center"/>
          </w:tcPr>
          <w:p w:rsidR="00BC4D3C" w:rsidRPr="007D5748" w:rsidRDefault="00BC4D3C" w:rsidP="00BC4D3C">
            <w:pPr>
              <w:jc w:val="right"/>
              <w:rPr>
                <w:b/>
                <w:bCs/>
              </w:rPr>
            </w:pPr>
            <w:r w:rsidRPr="007D5748">
              <w:rPr>
                <w:b/>
                <w:bCs/>
              </w:rPr>
              <w:t>0</w:t>
            </w:r>
          </w:p>
        </w:tc>
        <w:tc>
          <w:tcPr>
            <w:tcW w:w="1267" w:type="dxa"/>
            <w:shd w:val="clear" w:color="auto" w:fill="BFBFBF" w:themeFill="background1" w:themeFillShade="BF"/>
            <w:noWrap/>
            <w:vAlign w:val="center"/>
          </w:tcPr>
          <w:p w:rsidR="00BC4D3C" w:rsidRPr="007D5748" w:rsidRDefault="00BC4D3C" w:rsidP="00BC4D3C">
            <w:pPr>
              <w:jc w:val="right"/>
              <w:rPr>
                <w:b/>
                <w:bCs/>
              </w:rPr>
            </w:pPr>
            <w:r>
              <w:rPr>
                <w:b/>
                <w:bCs/>
              </w:rPr>
              <w:t>0</w:t>
            </w:r>
          </w:p>
        </w:tc>
      </w:tr>
      <w:tr w:rsidR="00BC4D3C" w:rsidRPr="007D5748" w:rsidTr="00BC4D3C">
        <w:trPr>
          <w:trHeight w:val="70"/>
          <w:jc w:val="center"/>
        </w:trPr>
        <w:tc>
          <w:tcPr>
            <w:tcW w:w="4661" w:type="dxa"/>
            <w:noWrap/>
            <w:vAlign w:val="center"/>
          </w:tcPr>
          <w:p w:rsidR="00BC4D3C" w:rsidRPr="007D5748" w:rsidRDefault="00BC4D3C" w:rsidP="00BC4D3C">
            <w:pPr>
              <w:rPr>
                <w:b/>
                <w:bCs/>
                <w:i/>
                <w:iCs/>
              </w:rPr>
            </w:pPr>
            <w:r w:rsidRPr="007D5748">
              <w:rPr>
                <w:b/>
                <w:bCs/>
                <w:i/>
                <w:iCs/>
              </w:rPr>
              <w:t>- vplyv na ŠR</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70"/>
          <w:jc w:val="center"/>
        </w:trPr>
        <w:tc>
          <w:tcPr>
            <w:tcW w:w="4661" w:type="dxa"/>
            <w:noWrap/>
            <w:vAlign w:val="center"/>
          </w:tcPr>
          <w:p w:rsidR="00BC4D3C" w:rsidRPr="007D5748" w:rsidRDefault="00BC4D3C" w:rsidP="00BC4D3C">
            <w:pPr>
              <w:rPr>
                <w:b/>
                <w:bCs/>
                <w:i/>
                <w:iCs/>
              </w:rPr>
            </w:pPr>
            <w:r w:rsidRPr="007D5748">
              <w:rPr>
                <w:b/>
                <w:bCs/>
                <w:i/>
                <w:iCs/>
              </w:rPr>
              <w:t>- vplyv na obce</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70"/>
          <w:jc w:val="center"/>
        </w:trPr>
        <w:tc>
          <w:tcPr>
            <w:tcW w:w="4661" w:type="dxa"/>
            <w:noWrap/>
            <w:vAlign w:val="center"/>
          </w:tcPr>
          <w:p w:rsidR="00BC4D3C" w:rsidRPr="007D5748" w:rsidRDefault="00BC4D3C" w:rsidP="00BC4D3C">
            <w:pPr>
              <w:rPr>
                <w:b/>
                <w:bCs/>
                <w:i/>
                <w:iCs/>
              </w:rPr>
            </w:pPr>
            <w:r w:rsidRPr="007D5748">
              <w:rPr>
                <w:b/>
                <w:bCs/>
                <w:i/>
                <w:iCs/>
              </w:rPr>
              <w:t>- vplyv na vyššie územné celky</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70"/>
          <w:jc w:val="center"/>
        </w:trPr>
        <w:tc>
          <w:tcPr>
            <w:tcW w:w="4661" w:type="dxa"/>
            <w:noWrap/>
            <w:vAlign w:val="center"/>
          </w:tcPr>
          <w:p w:rsidR="00BC4D3C" w:rsidRPr="007D5748" w:rsidRDefault="00BC4D3C" w:rsidP="00BC4D3C">
            <w:pPr>
              <w:rPr>
                <w:b/>
                <w:bCs/>
                <w:i/>
                <w:iCs/>
              </w:rPr>
            </w:pPr>
            <w:r w:rsidRPr="007D5748">
              <w:rPr>
                <w:b/>
                <w:bCs/>
                <w:i/>
                <w:iCs/>
              </w:rPr>
              <w:t>- vplyv na ostatné subjekty verejnej správy</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70"/>
          <w:jc w:val="center"/>
        </w:trPr>
        <w:tc>
          <w:tcPr>
            <w:tcW w:w="4661" w:type="dxa"/>
            <w:shd w:val="clear" w:color="auto" w:fill="BFBFBF" w:themeFill="background1" w:themeFillShade="BF"/>
            <w:noWrap/>
            <w:vAlign w:val="center"/>
          </w:tcPr>
          <w:p w:rsidR="00BC4D3C" w:rsidRPr="007D5748" w:rsidRDefault="00BC4D3C" w:rsidP="00BC4D3C">
            <w:pPr>
              <w:rPr>
                <w:b/>
              </w:rPr>
            </w:pPr>
            <w:r w:rsidRPr="007D5748">
              <w:rPr>
                <w:b/>
              </w:rPr>
              <w:t>Vplyv na mzdové výdavky</w:t>
            </w:r>
          </w:p>
        </w:tc>
        <w:tc>
          <w:tcPr>
            <w:tcW w:w="1267" w:type="dxa"/>
            <w:shd w:val="clear" w:color="auto" w:fill="BFBFBF" w:themeFill="background1" w:themeFillShade="BF"/>
            <w:noWrap/>
            <w:vAlign w:val="center"/>
          </w:tcPr>
          <w:p w:rsidR="00BC4D3C" w:rsidRPr="007D5748" w:rsidRDefault="00BC4D3C" w:rsidP="00BC4D3C">
            <w:pPr>
              <w:jc w:val="right"/>
              <w:rPr>
                <w:b/>
              </w:rPr>
            </w:pPr>
            <w:r w:rsidRPr="007D5748">
              <w:rPr>
                <w:b/>
              </w:rPr>
              <w:t>0</w:t>
            </w:r>
          </w:p>
        </w:tc>
        <w:tc>
          <w:tcPr>
            <w:tcW w:w="1267" w:type="dxa"/>
            <w:shd w:val="clear" w:color="auto" w:fill="BFBFBF" w:themeFill="background1" w:themeFillShade="BF"/>
            <w:noWrap/>
            <w:vAlign w:val="center"/>
          </w:tcPr>
          <w:p w:rsidR="00BC4D3C" w:rsidRPr="007D5748" w:rsidRDefault="00BC4D3C" w:rsidP="00BC4D3C">
            <w:pPr>
              <w:jc w:val="right"/>
              <w:rPr>
                <w:b/>
              </w:rPr>
            </w:pPr>
            <w:r w:rsidRPr="007D5748">
              <w:rPr>
                <w:b/>
              </w:rPr>
              <w:t>0</w:t>
            </w:r>
          </w:p>
        </w:tc>
        <w:tc>
          <w:tcPr>
            <w:tcW w:w="1267" w:type="dxa"/>
            <w:shd w:val="clear" w:color="auto" w:fill="BFBFBF" w:themeFill="background1" w:themeFillShade="BF"/>
            <w:noWrap/>
            <w:vAlign w:val="center"/>
          </w:tcPr>
          <w:p w:rsidR="00BC4D3C" w:rsidRPr="007D5748" w:rsidRDefault="00BC4D3C" w:rsidP="00BC4D3C">
            <w:pPr>
              <w:jc w:val="right"/>
              <w:rPr>
                <w:b/>
              </w:rPr>
            </w:pPr>
            <w:r w:rsidRPr="007D5748">
              <w:rPr>
                <w:b/>
              </w:rPr>
              <w:t>0</w:t>
            </w:r>
          </w:p>
        </w:tc>
        <w:tc>
          <w:tcPr>
            <w:tcW w:w="1267" w:type="dxa"/>
            <w:shd w:val="clear" w:color="auto" w:fill="BFBFBF" w:themeFill="background1" w:themeFillShade="BF"/>
            <w:noWrap/>
            <w:vAlign w:val="center"/>
          </w:tcPr>
          <w:p w:rsidR="00BC4D3C" w:rsidRPr="007D5748" w:rsidRDefault="00BC4D3C" w:rsidP="00BC4D3C">
            <w:pPr>
              <w:jc w:val="right"/>
              <w:rPr>
                <w:b/>
              </w:rPr>
            </w:pPr>
            <w:r>
              <w:rPr>
                <w:b/>
              </w:rPr>
              <w:t>0</w:t>
            </w:r>
          </w:p>
        </w:tc>
      </w:tr>
      <w:tr w:rsidR="00BC4D3C" w:rsidRPr="007D5748" w:rsidTr="00BC4D3C">
        <w:trPr>
          <w:trHeight w:val="70"/>
          <w:jc w:val="center"/>
        </w:trPr>
        <w:tc>
          <w:tcPr>
            <w:tcW w:w="4661" w:type="dxa"/>
            <w:noWrap/>
            <w:vAlign w:val="center"/>
          </w:tcPr>
          <w:p w:rsidR="00BC4D3C" w:rsidRPr="007D5748" w:rsidRDefault="00BC4D3C" w:rsidP="00BC4D3C">
            <w:pPr>
              <w:rPr>
                <w:b/>
                <w:bCs/>
                <w:i/>
                <w:iCs/>
              </w:rPr>
            </w:pPr>
            <w:r w:rsidRPr="007D5748">
              <w:rPr>
                <w:b/>
                <w:bCs/>
                <w:i/>
                <w:iCs/>
              </w:rPr>
              <w:t>- vplyv na ŠR</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70"/>
          <w:jc w:val="center"/>
        </w:trPr>
        <w:tc>
          <w:tcPr>
            <w:tcW w:w="4661" w:type="dxa"/>
            <w:noWrap/>
            <w:vAlign w:val="center"/>
          </w:tcPr>
          <w:p w:rsidR="00BC4D3C" w:rsidRPr="007D5748" w:rsidRDefault="00BC4D3C" w:rsidP="00BC4D3C">
            <w:pPr>
              <w:rPr>
                <w:b/>
                <w:bCs/>
                <w:i/>
                <w:iCs/>
              </w:rPr>
            </w:pPr>
            <w:r w:rsidRPr="007D5748">
              <w:rPr>
                <w:b/>
                <w:bCs/>
                <w:i/>
                <w:iCs/>
              </w:rPr>
              <w:t>- vplyv na obce</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70"/>
          <w:jc w:val="center"/>
        </w:trPr>
        <w:tc>
          <w:tcPr>
            <w:tcW w:w="4661" w:type="dxa"/>
            <w:noWrap/>
            <w:vAlign w:val="center"/>
          </w:tcPr>
          <w:p w:rsidR="00BC4D3C" w:rsidRPr="007D5748" w:rsidRDefault="00BC4D3C" w:rsidP="00BC4D3C">
            <w:pPr>
              <w:rPr>
                <w:b/>
                <w:bCs/>
                <w:i/>
                <w:iCs/>
              </w:rPr>
            </w:pPr>
            <w:r w:rsidRPr="007D5748">
              <w:rPr>
                <w:b/>
                <w:bCs/>
                <w:i/>
                <w:iCs/>
              </w:rPr>
              <w:t>- vplyv na vyššie územné celky</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70"/>
          <w:jc w:val="center"/>
        </w:trPr>
        <w:tc>
          <w:tcPr>
            <w:tcW w:w="4661" w:type="dxa"/>
            <w:noWrap/>
            <w:vAlign w:val="center"/>
          </w:tcPr>
          <w:p w:rsidR="00BC4D3C" w:rsidRPr="007D5748" w:rsidRDefault="00BC4D3C" w:rsidP="00BC4D3C">
            <w:pPr>
              <w:rPr>
                <w:b/>
                <w:bCs/>
              </w:rPr>
            </w:pPr>
            <w:r w:rsidRPr="007D5748">
              <w:rPr>
                <w:b/>
                <w:bCs/>
                <w:i/>
                <w:iCs/>
              </w:rPr>
              <w:t>- vplyv na ostatné subjekty verejnej správy</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sidRPr="007D5748">
              <w:rPr>
                <w:b/>
                <w:bCs/>
                <w:iCs/>
              </w:rPr>
              <w:t>0</w:t>
            </w:r>
          </w:p>
        </w:tc>
        <w:tc>
          <w:tcPr>
            <w:tcW w:w="1267" w:type="dxa"/>
            <w:noWrap/>
            <w:vAlign w:val="center"/>
          </w:tcPr>
          <w:p w:rsidR="00BC4D3C" w:rsidRPr="007D5748" w:rsidRDefault="00BC4D3C" w:rsidP="00BC4D3C">
            <w:pPr>
              <w:jc w:val="right"/>
              <w:rPr>
                <w:b/>
                <w:bCs/>
                <w:iCs/>
              </w:rPr>
            </w:pPr>
            <w:r>
              <w:rPr>
                <w:b/>
                <w:bCs/>
                <w:iCs/>
              </w:rPr>
              <w:t>0</w:t>
            </w:r>
          </w:p>
        </w:tc>
      </w:tr>
      <w:tr w:rsidR="00BC4D3C" w:rsidRPr="007D5748" w:rsidTr="00BC4D3C">
        <w:trPr>
          <w:trHeight w:val="70"/>
          <w:jc w:val="center"/>
        </w:trPr>
        <w:tc>
          <w:tcPr>
            <w:tcW w:w="4661" w:type="dxa"/>
            <w:shd w:val="clear" w:color="auto" w:fill="C0C0C0"/>
            <w:noWrap/>
            <w:vAlign w:val="center"/>
          </w:tcPr>
          <w:p w:rsidR="00BC4D3C" w:rsidRPr="00FE46B4" w:rsidRDefault="00BC4D3C" w:rsidP="00BC4D3C">
            <w:pPr>
              <w:pStyle w:val="Bezriadkovania"/>
              <w:rPr>
                <w:rFonts w:ascii="Times New Roman" w:hAnsi="Times New Roman" w:cs="Times New Roman"/>
                <w:b/>
                <w:sz w:val="24"/>
                <w:szCs w:val="24"/>
                <w:lang w:eastAsia="sk-SK"/>
              </w:rPr>
            </w:pPr>
            <w:r w:rsidRPr="00FE46B4">
              <w:rPr>
                <w:rFonts w:ascii="Times New Roman" w:hAnsi="Times New Roman" w:cs="Times New Roman"/>
                <w:b/>
                <w:sz w:val="24"/>
                <w:szCs w:val="24"/>
                <w:lang w:eastAsia="sk-SK"/>
              </w:rPr>
              <w:t>Financovanie zabezpečené v rozpočte</w:t>
            </w:r>
          </w:p>
        </w:tc>
        <w:tc>
          <w:tcPr>
            <w:tcW w:w="1267" w:type="dxa"/>
            <w:shd w:val="clear" w:color="auto" w:fill="C0C0C0"/>
            <w:noWrap/>
          </w:tcPr>
          <w:p w:rsidR="00BC4D3C" w:rsidRPr="00FE46B4" w:rsidRDefault="00BC4D3C" w:rsidP="00BC4D3C">
            <w:pPr>
              <w:pStyle w:val="Bezriadkovania"/>
              <w:jc w:val="right"/>
              <w:rPr>
                <w:rFonts w:ascii="Times New Roman" w:hAnsi="Times New Roman" w:cs="Times New Roman"/>
                <w:b/>
              </w:rPr>
            </w:pPr>
            <w:r>
              <w:rPr>
                <w:rFonts w:ascii="Times New Roman" w:hAnsi="Times New Roman" w:cs="Times New Roman"/>
                <w:b/>
              </w:rPr>
              <w:t>3 140 000</w:t>
            </w:r>
          </w:p>
        </w:tc>
        <w:tc>
          <w:tcPr>
            <w:tcW w:w="1267" w:type="dxa"/>
            <w:shd w:val="clear" w:color="auto" w:fill="C0C0C0"/>
            <w:noWrap/>
          </w:tcPr>
          <w:p w:rsidR="00BC4D3C" w:rsidRPr="00FE46B4" w:rsidRDefault="00BC4D3C" w:rsidP="00BC4D3C">
            <w:pPr>
              <w:pStyle w:val="Bezriadkovania"/>
              <w:jc w:val="right"/>
              <w:rPr>
                <w:rFonts w:ascii="Times New Roman" w:hAnsi="Times New Roman" w:cs="Times New Roman"/>
                <w:b/>
              </w:rPr>
            </w:pPr>
            <w:r>
              <w:rPr>
                <w:rFonts w:ascii="Times New Roman" w:hAnsi="Times New Roman" w:cs="Times New Roman"/>
                <w:b/>
              </w:rPr>
              <w:t>3 300 000</w:t>
            </w:r>
          </w:p>
        </w:tc>
        <w:tc>
          <w:tcPr>
            <w:tcW w:w="1267" w:type="dxa"/>
            <w:shd w:val="clear" w:color="auto" w:fill="C0C0C0"/>
            <w:noWrap/>
          </w:tcPr>
          <w:p w:rsidR="00BC4D3C" w:rsidRPr="00FE46B4" w:rsidRDefault="00BC4D3C" w:rsidP="00BC4D3C">
            <w:pPr>
              <w:pStyle w:val="Bezriadkovania"/>
              <w:jc w:val="right"/>
              <w:rPr>
                <w:rFonts w:ascii="Times New Roman" w:hAnsi="Times New Roman" w:cs="Times New Roman"/>
                <w:b/>
              </w:rPr>
            </w:pPr>
            <w:r>
              <w:rPr>
                <w:rFonts w:ascii="Times New Roman" w:hAnsi="Times New Roman" w:cs="Times New Roman"/>
                <w:b/>
              </w:rPr>
              <w:t>3 470 000</w:t>
            </w:r>
          </w:p>
        </w:tc>
        <w:tc>
          <w:tcPr>
            <w:tcW w:w="1267" w:type="dxa"/>
            <w:shd w:val="clear" w:color="auto" w:fill="C0C0C0"/>
            <w:noWrap/>
          </w:tcPr>
          <w:p w:rsidR="00BC4D3C" w:rsidRPr="00FE46B4" w:rsidRDefault="00BC4D3C" w:rsidP="00BC4D3C">
            <w:pPr>
              <w:pStyle w:val="Bezriadkovania"/>
              <w:jc w:val="right"/>
              <w:rPr>
                <w:rFonts w:ascii="Times New Roman" w:hAnsi="Times New Roman" w:cs="Times New Roman"/>
                <w:b/>
              </w:rPr>
            </w:pPr>
            <w:r>
              <w:rPr>
                <w:rFonts w:ascii="Times New Roman" w:hAnsi="Times New Roman" w:cs="Times New Roman"/>
                <w:b/>
              </w:rPr>
              <w:t>3 630 000</w:t>
            </w:r>
          </w:p>
        </w:tc>
      </w:tr>
      <w:tr w:rsidR="00BC4D3C" w:rsidRPr="007D5748" w:rsidTr="00BC4D3C">
        <w:trPr>
          <w:trHeight w:val="70"/>
          <w:jc w:val="center"/>
        </w:trPr>
        <w:tc>
          <w:tcPr>
            <w:tcW w:w="4661" w:type="dxa"/>
            <w:noWrap/>
            <w:vAlign w:val="center"/>
          </w:tcPr>
          <w:p w:rsidR="00BC4D3C" w:rsidRPr="007D5748" w:rsidRDefault="00BC4D3C" w:rsidP="00BC4D3C">
            <w:r w:rsidRPr="007D5748">
              <w:t xml:space="preserve">v tom: </w:t>
            </w:r>
            <w:r>
              <w:t>MK SR</w:t>
            </w:r>
          </w:p>
        </w:tc>
        <w:tc>
          <w:tcPr>
            <w:tcW w:w="1267" w:type="dxa"/>
            <w:noWrap/>
          </w:tcPr>
          <w:p w:rsidR="00BC4D3C" w:rsidRPr="00FE46B4" w:rsidRDefault="00BC4D3C" w:rsidP="00BC4D3C">
            <w:pPr>
              <w:pStyle w:val="Bezriadkovania"/>
              <w:jc w:val="right"/>
              <w:rPr>
                <w:rFonts w:ascii="Times New Roman" w:hAnsi="Times New Roman" w:cs="Times New Roman"/>
              </w:rPr>
            </w:pPr>
            <w:r>
              <w:rPr>
                <w:rFonts w:ascii="Times New Roman" w:hAnsi="Times New Roman" w:cs="Times New Roman"/>
              </w:rPr>
              <w:t>0</w:t>
            </w:r>
          </w:p>
        </w:tc>
        <w:tc>
          <w:tcPr>
            <w:tcW w:w="1267" w:type="dxa"/>
            <w:noWrap/>
          </w:tcPr>
          <w:p w:rsidR="00BC4D3C" w:rsidRPr="00FE46B4" w:rsidRDefault="00BC4D3C" w:rsidP="00BC4D3C">
            <w:pPr>
              <w:pStyle w:val="Bezriadkovania"/>
              <w:jc w:val="right"/>
              <w:rPr>
                <w:rFonts w:ascii="Times New Roman" w:hAnsi="Times New Roman" w:cs="Times New Roman"/>
              </w:rPr>
            </w:pPr>
            <w:r>
              <w:rPr>
                <w:rFonts w:ascii="Times New Roman" w:hAnsi="Times New Roman" w:cs="Times New Roman"/>
              </w:rPr>
              <w:t>0</w:t>
            </w:r>
          </w:p>
        </w:tc>
        <w:tc>
          <w:tcPr>
            <w:tcW w:w="1267" w:type="dxa"/>
            <w:noWrap/>
          </w:tcPr>
          <w:p w:rsidR="00BC4D3C" w:rsidRPr="00FE46B4" w:rsidRDefault="00BC4D3C" w:rsidP="00BC4D3C">
            <w:pPr>
              <w:pStyle w:val="Bezriadkovania"/>
              <w:jc w:val="right"/>
              <w:rPr>
                <w:rFonts w:ascii="Times New Roman" w:hAnsi="Times New Roman" w:cs="Times New Roman"/>
              </w:rPr>
            </w:pPr>
            <w:r>
              <w:rPr>
                <w:rFonts w:ascii="Times New Roman" w:hAnsi="Times New Roman" w:cs="Times New Roman"/>
              </w:rPr>
              <w:t>0</w:t>
            </w:r>
          </w:p>
        </w:tc>
        <w:tc>
          <w:tcPr>
            <w:tcW w:w="1267" w:type="dxa"/>
            <w:noWrap/>
          </w:tcPr>
          <w:p w:rsidR="00BC4D3C" w:rsidRPr="00FE46B4" w:rsidRDefault="00BC4D3C" w:rsidP="00BC4D3C">
            <w:pPr>
              <w:pStyle w:val="Bezriadkovania"/>
              <w:jc w:val="right"/>
              <w:rPr>
                <w:rFonts w:ascii="Times New Roman" w:hAnsi="Times New Roman" w:cs="Times New Roman"/>
              </w:rPr>
            </w:pPr>
            <w:r>
              <w:rPr>
                <w:rFonts w:ascii="Times New Roman" w:hAnsi="Times New Roman" w:cs="Times New Roman"/>
              </w:rPr>
              <w:t>0</w:t>
            </w:r>
          </w:p>
        </w:tc>
      </w:tr>
      <w:tr w:rsidR="00BC4D3C" w:rsidRPr="007D5748" w:rsidTr="00BC4D3C">
        <w:trPr>
          <w:trHeight w:val="70"/>
          <w:jc w:val="center"/>
        </w:trPr>
        <w:tc>
          <w:tcPr>
            <w:tcW w:w="4661" w:type="dxa"/>
            <w:shd w:val="clear" w:color="auto" w:fill="BFBFBF" w:themeFill="background1" w:themeFillShade="BF"/>
            <w:noWrap/>
            <w:vAlign w:val="center"/>
          </w:tcPr>
          <w:p w:rsidR="00BC4D3C" w:rsidRPr="007D5748" w:rsidRDefault="00BC4D3C" w:rsidP="00BC4D3C">
            <w:pPr>
              <w:rPr>
                <w:b/>
              </w:rPr>
            </w:pPr>
            <w:r w:rsidRPr="007D5748">
              <w:rPr>
                <w:b/>
              </w:rPr>
              <w:t>Iné ako rozpočtové zdroje</w:t>
            </w:r>
          </w:p>
        </w:tc>
        <w:tc>
          <w:tcPr>
            <w:tcW w:w="1267" w:type="dxa"/>
            <w:shd w:val="clear" w:color="auto" w:fill="BFBFBF" w:themeFill="background1" w:themeFillShade="BF"/>
            <w:noWrap/>
            <w:vAlign w:val="center"/>
          </w:tcPr>
          <w:p w:rsidR="00BC4D3C" w:rsidRPr="007D5748" w:rsidRDefault="00BC4D3C" w:rsidP="00BC4D3C">
            <w:pPr>
              <w:jc w:val="right"/>
              <w:rPr>
                <w:b/>
                <w:bCs/>
              </w:rPr>
            </w:pPr>
            <w:r w:rsidRPr="007D5748">
              <w:rPr>
                <w:b/>
                <w:bCs/>
              </w:rPr>
              <w:t>0</w:t>
            </w:r>
          </w:p>
        </w:tc>
        <w:tc>
          <w:tcPr>
            <w:tcW w:w="1267" w:type="dxa"/>
            <w:shd w:val="clear" w:color="auto" w:fill="BFBFBF" w:themeFill="background1" w:themeFillShade="BF"/>
            <w:noWrap/>
            <w:vAlign w:val="center"/>
          </w:tcPr>
          <w:p w:rsidR="00BC4D3C" w:rsidRPr="007D5748" w:rsidRDefault="00BC4D3C" w:rsidP="00BC4D3C">
            <w:pPr>
              <w:jc w:val="right"/>
              <w:rPr>
                <w:b/>
                <w:bCs/>
              </w:rPr>
            </w:pPr>
            <w:r w:rsidRPr="007D5748">
              <w:rPr>
                <w:b/>
                <w:bCs/>
              </w:rPr>
              <w:t>0</w:t>
            </w:r>
          </w:p>
        </w:tc>
        <w:tc>
          <w:tcPr>
            <w:tcW w:w="1267" w:type="dxa"/>
            <w:shd w:val="clear" w:color="auto" w:fill="BFBFBF" w:themeFill="background1" w:themeFillShade="BF"/>
            <w:noWrap/>
            <w:vAlign w:val="center"/>
          </w:tcPr>
          <w:p w:rsidR="00BC4D3C" w:rsidRPr="007D5748" w:rsidRDefault="00BC4D3C" w:rsidP="00BC4D3C">
            <w:pPr>
              <w:jc w:val="right"/>
              <w:rPr>
                <w:b/>
                <w:bCs/>
              </w:rPr>
            </w:pPr>
            <w:r w:rsidRPr="007D5748">
              <w:rPr>
                <w:b/>
                <w:bCs/>
              </w:rPr>
              <w:t>0</w:t>
            </w:r>
          </w:p>
        </w:tc>
        <w:tc>
          <w:tcPr>
            <w:tcW w:w="1267" w:type="dxa"/>
            <w:shd w:val="clear" w:color="auto" w:fill="BFBFBF" w:themeFill="background1" w:themeFillShade="BF"/>
            <w:noWrap/>
            <w:vAlign w:val="center"/>
          </w:tcPr>
          <w:p w:rsidR="00BC4D3C" w:rsidRPr="007D5748" w:rsidRDefault="00BC4D3C" w:rsidP="00BC4D3C">
            <w:pPr>
              <w:jc w:val="right"/>
              <w:rPr>
                <w:b/>
                <w:bCs/>
              </w:rPr>
            </w:pPr>
            <w:r>
              <w:rPr>
                <w:b/>
                <w:bCs/>
              </w:rPr>
              <w:t>0</w:t>
            </w:r>
          </w:p>
        </w:tc>
      </w:tr>
      <w:tr w:rsidR="00BC4D3C" w:rsidRPr="007D5748" w:rsidTr="00BC4D3C">
        <w:trPr>
          <w:trHeight w:val="70"/>
          <w:jc w:val="center"/>
        </w:trPr>
        <w:tc>
          <w:tcPr>
            <w:tcW w:w="4661" w:type="dxa"/>
            <w:shd w:val="clear" w:color="auto" w:fill="A6A6A6" w:themeFill="background1" w:themeFillShade="A6"/>
            <w:noWrap/>
            <w:vAlign w:val="center"/>
          </w:tcPr>
          <w:p w:rsidR="00BC4D3C" w:rsidRPr="007D5748" w:rsidRDefault="00BC4D3C" w:rsidP="00BC4D3C">
            <w:pPr>
              <w:rPr>
                <w:b/>
                <w:bCs/>
              </w:rPr>
            </w:pPr>
            <w:r w:rsidRPr="007D5748">
              <w:rPr>
                <w:b/>
                <w:bCs/>
              </w:rPr>
              <w:t>Rozpočtovo nekrytý vplyv / úspora</w:t>
            </w:r>
          </w:p>
        </w:tc>
        <w:tc>
          <w:tcPr>
            <w:tcW w:w="1267" w:type="dxa"/>
            <w:shd w:val="clear" w:color="auto" w:fill="A6A6A6" w:themeFill="background1" w:themeFillShade="A6"/>
            <w:noWrap/>
            <w:vAlign w:val="center"/>
          </w:tcPr>
          <w:p w:rsidR="00BC4D3C" w:rsidRPr="007D5748" w:rsidRDefault="00BC4D3C" w:rsidP="00BC4D3C">
            <w:pPr>
              <w:jc w:val="right"/>
              <w:rPr>
                <w:b/>
                <w:bCs/>
              </w:rPr>
            </w:pPr>
            <w:r>
              <w:rPr>
                <w:b/>
                <w:bCs/>
              </w:rPr>
              <w:t>0</w:t>
            </w:r>
          </w:p>
        </w:tc>
        <w:tc>
          <w:tcPr>
            <w:tcW w:w="1267" w:type="dxa"/>
            <w:shd w:val="clear" w:color="auto" w:fill="A6A6A6" w:themeFill="background1" w:themeFillShade="A6"/>
            <w:noWrap/>
            <w:vAlign w:val="center"/>
          </w:tcPr>
          <w:p w:rsidR="00BC4D3C" w:rsidRPr="007D5748" w:rsidRDefault="00BC4D3C" w:rsidP="00BC4D3C">
            <w:pPr>
              <w:jc w:val="right"/>
              <w:rPr>
                <w:b/>
                <w:bCs/>
              </w:rPr>
            </w:pPr>
            <w:r>
              <w:rPr>
                <w:b/>
                <w:bCs/>
              </w:rPr>
              <w:t>+2</w:t>
            </w:r>
            <w:r>
              <w:rPr>
                <w:b/>
              </w:rPr>
              <w:t xml:space="preserve"> 42</w:t>
            </w:r>
            <w:r w:rsidRPr="009E1D84">
              <w:rPr>
                <w:b/>
              </w:rPr>
              <w:t>0 000</w:t>
            </w:r>
          </w:p>
        </w:tc>
        <w:tc>
          <w:tcPr>
            <w:tcW w:w="1267" w:type="dxa"/>
            <w:shd w:val="clear" w:color="auto" w:fill="A6A6A6" w:themeFill="background1" w:themeFillShade="A6"/>
            <w:noWrap/>
            <w:vAlign w:val="center"/>
          </w:tcPr>
          <w:p w:rsidR="00BC4D3C" w:rsidRPr="007D5748" w:rsidRDefault="00BC4D3C" w:rsidP="00BC4D3C">
            <w:pPr>
              <w:jc w:val="right"/>
              <w:rPr>
                <w:b/>
                <w:bCs/>
              </w:rPr>
            </w:pPr>
            <w:r>
              <w:rPr>
                <w:b/>
                <w:bCs/>
              </w:rPr>
              <w:t>+</w:t>
            </w:r>
            <w:r>
              <w:rPr>
                <w:b/>
              </w:rPr>
              <w:t>2 54</w:t>
            </w:r>
            <w:r w:rsidRPr="009E1D84">
              <w:rPr>
                <w:b/>
              </w:rPr>
              <w:t>0 000</w:t>
            </w:r>
          </w:p>
        </w:tc>
        <w:tc>
          <w:tcPr>
            <w:tcW w:w="1267" w:type="dxa"/>
            <w:shd w:val="clear" w:color="auto" w:fill="A6A6A6" w:themeFill="background1" w:themeFillShade="A6"/>
            <w:noWrap/>
            <w:vAlign w:val="center"/>
          </w:tcPr>
          <w:p w:rsidR="00BC4D3C" w:rsidRPr="007D5748" w:rsidRDefault="00BC4D3C" w:rsidP="00BC4D3C">
            <w:pPr>
              <w:jc w:val="right"/>
              <w:rPr>
                <w:b/>
                <w:bCs/>
              </w:rPr>
            </w:pPr>
            <w:r>
              <w:rPr>
                <w:b/>
                <w:bCs/>
              </w:rPr>
              <w:t>+</w:t>
            </w:r>
            <w:r>
              <w:rPr>
                <w:b/>
              </w:rPr>
              <w:t>2 660 000</w:t>
            </w:r>
          </w:p>
        </w:tc>
      </w:tr>
      <w:bookmarkEnd w:id="0"/>
    </w:tbl>
    <w:p w:rsidR="00BC4D3C" w:rsidRPr="007D5748" w:rsidRDefault="00BC4D3C" w:rsidP="00BC4D3C">
      <w:pPr>
        <w:rPr>
          <w:b/>
          <w:bCs/>
        </w:rPr>
      </w:pPr>
    </w:p>
    <w:p w:rsidR="00BC4D3C" w:rsidRDefault="00BC4D3C" w:rsidP="00BC4D3C">
      <w:pPr>
        <w:rPr>
          <w:b/>
          <w:bCs/>
        </w:rPr>
      </w:pPr>
      <w:r>
        <w:rPr>
          <w:b/>
          <w:bCs/>
        </w:rPr>
        <w:br w:type="page"/>
      </w:r>
    </w:p>
    <w:p w:rsidR="00BC4D3C" w:rsidRPr="007D5748" w:rsidRDefault="00BC4D3C" w:rsidP="00BC4D3C">
      <w:pPr>
        <w:jc w:val="both"/>
        <w:rPr>
          <w:b/>
          <w:bCs/>
        </w:rPr>
      </w:pPr>
      <w:r w:rsidRPr="007D5748">
        <w:rPr>
          <w:b/>
          <w:bCs/>
        </w:rPr>
        <w:lastRenderedPageBreak/>
        <w:t>2.1.1. Financovanie návrhu - Návrh na riešenie úbytku príjmov alebo zvýšených výdavkov podľa § 33 ods. 1 zákona č. 523/2004 Z. z. o rozpočtových pravidlách verejnej správy:</w:t>
      </w:r>
    </w:p>
    <w:p w:rsidR="00BC4D3C" w:rsidRPr="007D5748" w:rsidRDefault="00BC4D3C" w:rsidP="00BC4D3C">
      <w:pPr>
        <w:jc w:val="both"/>
        <w:rPr>
          <w:b/>
          <w:bCs/>
          <w:sz w:val="12"/>
        </w:rPr>
      </w:pPr>
    </w:p>
    <w:p w:rsidR="00BC4D3C" w:rsidRDefault="00BC4D3C" w:rsidP="00BC4D3C">
      <w:pPr>
        <w:pBdr>
          <w:top w:val="single" w:sz="4" w:space="1" w:color="auto"/>
          <w:left w:val="single" w:sz="4" w:space="4" w:color="auto"/>
          <w:bottom w:val="single" w:sz="4" w:space="0" w:color="auto"/>
          <w:right w:val="single" w:sz="4" w:space="4" w:color="auto"/>
        </w:pBdr>
        <w:jc w:val="both"/>
        <w:rPr>
          <w:bCs/>
        </w:rPr>
      </w:pPr>
      <w:r>
        <w:rPr>
          <w:bCs/>
        </w:rPr>
        <w:t xml:space="preserve">Návrh zvýšenia tzv. </w:t>
      </w:r>
      <w:proofErr w:type="spellStart"/>
      <w:r>
        <w:rPr>
          <w:bCs/>
        </w:rPr>
        <w:t>vratiek</w:t>
      </w:r>
      <w:proofErr w:type="spellEnd"/>
      <w:r>
        <w:rPr>
          <w:bCs/>
        </w:rPr>
        <w:t xml:space="preserve"> na 33 % - </w:t>
      </w:r>
      <w:proofErr w:type="spellStart"/>
      <w:r>
        <w:rPr>
          <w:bCs/>
        </w:rPr>
        <w:t>nú</w:t>
      </w:r>
      <w:proofErr w:type="spellEnd"/>
      <w:r>
        <w:rPr>
          <w:bCs/>
        </w:rPr>
        <w:t xml:space="preserve"> sadzbu je v tabuľke 2.1 načrtnutý v zmysle príjmov a výdavkov štátu, za predpokladu, že budú realizované všetky očakávané registrované projekty v rámci Programu 5 Audiovizuálneho fondu (ďalej aj „fond“), ktorého sa tieto </w:t>
      </w:r>
      <w:r>
        <w:rPr>
          <w:bCs/>
        </w:rPr>
        <w:br/>
        <w:t xml:space="preserve">tzv. </w:t>
      </w:r>
      <w:proofErr w:type="spellStart"/>
      <w:r>
        <w:rPr>
          <w:bCs/>
        </w:rPr>
        <w:t>vratky</w:t>
      </w:r>
      <w:proofErr w:type="spellEnd"/>
      <w:r>
        <w:rPr>
          <w:bCs/>
        </w:rPr>
        <w:t xml:space="preserve"> týkajú (prepočty v časti 2.2.4).</w:t>
      </w:r>
    </w:p>
    <w:p w:rsidR="00BC4D3C" w:rsidRDefault="00BC4D3C" w:rsidP="00BC4D3C">
      <w:pPr>
        <w:pBdr>
          <w:top w:val="single" w:sz="4" w:space="1" w:color="auto"/>
          <w:left w:val="single" w:sz="4" w:space="4" w:color="auto"/>
          <w:bottom w:val="single" w:sz="4" w:space="0" w:color="auto"/>
          <w:right w:val="single" w:sz="4" w:space="4" w:color="auto"/>
        </w:pBdr>
        <w:jc w:val="both"/>
        <w:rPr>
          <w:bCs/>
        </w:rPr>
      </w:pPr>
      <w:r>
        <w:rPr>
          <w:bCs/>
        </w:rPr>
        <w:t xml:space="preserve">Podľa </w:t>
      </w:r>
      <w:r w:rsidRPr="00DA19AD">
        <w:rPr>
          <w:bCs/>
        </w:rPr>
        <w:t>§ 29</w:t>
      </w:r>
      <w:r>
        <w:rPr>
          <w:bCs/>
        </w:rPr>
        <w:t xml:space="preserve"> zákona č. 516/</w:t>
      </w:r>
      <w:r w:rsidRPr="00DA19AD">
        <w:rPr>
          <w:bCs/>
        </w:rPr>
        <w:t xml:space="preserve">2008 Z. z. </w:t>
      </w:r>
      <w:r>
        <w:rPr>
          <w:bCs/>
        </w:rPr>
        <w:t xml:space="preserve">o Audiovizuálnom fonde </w:t>
      </w:r>
      <w:r w:rsidRPr="00444AF4">
        <w:rPr>
          <w:bCs/>
        </w:rPr>
        <w:t>a o zmene a doplnení niektorých zákonov</w:t>
      </w:r>
      <w:r>
        <w:rPr>
          <w:bCs/>
        </w:rPr>
        <w:t xml:space="preserve"> v znení neskorších predpisov sa tento program realizuje zo štátneho rozpočtu v rámci schválených limitov Ministerstva kultúry Slovenskej republiky (ďalej aj „ministerstvo“) na príslušné rozpočtové obdobie. </w:t>
      </w:r>
    </w:p>
    <w:p w:rsidR="00BC4D3C" w:rsidRPr="00E7645C" w:rsidRDefault="00BC4D3C" w:rsidP="00BC4D3C">
      <w:pPr>
        <w:pBdr>
          <w:top w:val="single" w:sz="4" w:space="1" w:color="auto"/>
          <w:left w:val="single" w:sz="4" w:space="4" w:color="auto"/>
          <w:bottom w:val="single" w:sz="4" w:space="0" w:color="auto"/>
          <w:right w:val="single" w:sz="4" w:space="4" w:color="auto"/>
        </w:pBdr>
        <w:jc w:val="both"/>
        <w:rPr>
          <w:bCs/>
        </w:rPr>
      </w:pPr>
      <w:r>
        <w:rPr>
          <w:bCs/>
        </w:rPr>
        <w:t xml:space="preserve">Pokiaľ by platilo zachovanie aktuálnej 20 % - nej sadzby tzv. </w:t>
      </w:r>
      <w:proofErr w:type="spellStart"/>
      <w:r>
        <w:rPr>
          <w:bCs/>
        </w:rPr>
        <w:t>vratiek</w:t>
      </w:r>
      <w:proofErr w:type="spellEnd"/>
      <w:r>
        <w:rPr>
          <w:bCs/>
        </w:rPr>
        <w:t xml:space="preserve">, ministerstvo ráta s preplatením nákladov v rámci svojich limitov, </w:t>
      </w:r>
      <w:r w:rsidRPr="00E7645C">
        <w:rPr>
          <w:bCs/>
        </w:rPr>
        <w:t>pričom pri navýšení na 3</w:t>
      </w:r>
      <w:r>
        <w:rPr>
          <w:bCs/>
        </w:rPr>
        <w:t>3</w:t>
      </w:r>
      <w:r w:rsidRPr="00E7645C">
        <w:rPr>
          <w:bCs/>
        </w:rPr>
        <w:t xml:space="preserve"> % - </w:t>
      </w:r>
      <w:proofErr w:type="spellStart"/>
      <w:r w:rsidRPr="00E7645C">
        <w:rPr>
          <w:bCs/>
        </w:rPr>
        <w:t>nú</w:t>
      </w:r>
      <w:proofErr w:type="spellEnd"/>
      <w:r w:rsidRPr="00E7645C">
        <w:rPr>
          <w:bCs/>
        </w:rPr>
        <w:t xml:space="preserve"> sadzbu je potrebné zabezpečiť navýšenie limitov ministerstva. </w:t>
      </w:r>
    </w:p>
    <w:p w:rsidR="00BC4D3C" w:rsidRPr="00E7645C" w:rsidRDefault="00BC4D3C" w:rsidP="00BC4D3C">
      <w:pPr>
        <w:pBdr>
          <w:top w:val="single" w:sz="4" w:space="1" w:color="auto"/>
          <w:left w:val="single" w:sz="4" w:space="4" w:color="auto"/>
          <w:bottom w:val="single" w:sz="4" w:space="0" w:color="auto"/>
          <w:right w:val="single" w:sz="4" w:space="4" w:color="auto"/>
        </w:pBdr>
        <w:jc w:val="both"/>
        <w:rPr>
          <w:bCs/>
        </w:rPr>
      </w:pPr>
      <w:r w:rsidRPr="00E7645C">
        <w:rPr>
          <w:bCs/>
        </w:rPr>
        <w:t xml:space="preserve">Navrhovaný nástroj má aj po navýšení očakávaný celkový zisk pre štát </w:t>
      </w:r>
      <w:r>
        <w:rPr>
          <w:bCs/>
        </w:rPr>
        <w:t>0,91</w:t>
      </w:r>
      <w:r w:rsidRPr="00E7645C">
        <w:rPr>
          <w:bCs/>
        </w:rPr>
        <w:t xml:space="preserve"> mil. eur priemerne za rok pri všetkých uvedených predpokladoch nižšie. </w:t>
      </w:r>
    </w:p>
    <w:p w:rsidR="00BC4D3C" w:rsidRPr="00E7645C" w:rsidRDefault="00BC4D3C" w:rsidP="00BC4D3C">
      <w:pPr>
        <w:pBdr>
          <w:top w:val="single" w:sz="4" w:space="1" w:color="auto"/>
          <w:left w:val="single" w:sz="4" w:space="4" w:color="auto"/>
          <w:bottom w:val="single" w:sz="4" w:space="0" w:color="auto"/>
          <w:right w:val="single" w:sz="4" w:space="4" w:color="auto"/>
        </w:pBdr>
        <w:jc w:val="both"/>
        <w:rPr>
          <w:bCs/>
        </w:rPr>
      </w:pPr>
      <w:r w:rsidRPr="00E7645C">
        <w:rPr>
          <w:bCs/>
        </w:rPr>
        <w:t xml:space="preserve">Predpoklady boli vybrané </w:t>
      </w:r>
      <w:r>
        <w:rPr>
          <w:bCs/>
        </w:rPr>
        <w:t>na základe plánovania „maximálnych</w:t>
      </w:r>
      <w:r w:rsidRPr="00E7645C">
        <w:rPr>
          <w:bCs/>
        </w:rPr>
        <w:t xml:space="preserve"> možných súm“</w:t>
      </w:r>
      <w:r>
        <w:rPr>
          <w:bCs/>
        </w:rPr>
        <w:t>,</w:t>
      </w:r>
      <w:r w:rsidRPr="00E7645C">
        <w:rPr>
          <w:bCs/>
        </w:rPr>
        <w:t xml:space="preserve"> s ktorými je potrebné rátať pri plnom </w:t>
      </w:r>
      <w:r>
        <w:rPr>
          <w:bCs/>
        </w:rPr>
        <w:t>využití</w:t>
      </w:r>
      <w:r w:rsidRPr="00E7645C">
        <w:rPr>
          <w:bCs/>
        </w:rPr>
        <w:t xml:space="preserve"> tohto nástroja. Podľa doterajších skúseností je možné, že bude dopyt zaregistrovaných projektov po tzv. </w:t>
      </w:r>
      <w:proofErr w:type="spellStart"/>
      <w:r w:rsidRPr="00E7645C">
        <w:rPr>
          <w:bCs/>
        </w:rPr>
        <w:t>vratkách</w:t>
      </w:r>
      <w:proofErr w:type="spellEnd"/>
      <w:r w:rsidRPr="00E7645C">
        <w:rPr>
          <w:bCs/>
        </w:rPr>
        <w:t xml:space="preserve"> nižší ako táto predikcia, avšak neodporúčame výpočty pre </w:t>
      </w:r>
      <w:proofErr w:type="spellStart"/>
      <w:r w:rsidRPr="00E7645C">
        <w:rPr>
          <w:bCs/>
        </w:rPr>
        <w:t>predikované</w:t>
      </w:r>
      <w:proofErr w:type="spellEnd"/>
      <w:r w:rsidRPr="00E7645C">
        <w:rPr>
          <w:bCs/>
        </w:rPr>
        <w:t xml:space="preserve"> obdobie znižovať z dvoch hlavných dôvodov: </w:t>
      </w:r>
    </w:p>
    <w:p w:rsidR="00BC4D3C" w:rsidRPr="00E7645C" w:rsidRDefault="00BC4D3C" w:rsidP="00BC4D3C">
      <w:pPr>
        <w:pBdr>
          <w:top w:val="single" w:sz="4" w:space="1" w:color="auto"/>
          <w:left w:val="single" w:sz="4" w:space="4" w:color="auto"/>
          <w:bottom w:val="single" w:sz="4" w:space="0" w:color="auto"/>
          <w:right w:val="single" w:sz="4" w:space="4" w:color="auto"/>
        </w:pBdr>
        <w:ind w:firstLine="708"/>
        <w:jc w:val="both"/>
        <w:rPr>
          <w:bCs/>
        </w:rPr>
      </w:pPr>
      <w:r w:rsidRPr="00E7645C">
        <w:rPr>
          <w:bCs/>
        </w:rPr>
        <w:t xml:space="preserve">1. Nedostatok dát: V rokoch 2015 a 2016, kedy platila hranica minimálnych výdavkov 2 mil. Eur, sa z 5 registrovaných projektov realizovali 3 projekty. V roku 2017, odkedy je minimálna hranica výdavkov 150 000 Eur, je zaregistrovaných už 12 projektov, pri ktorých ešte nie je jasné, či sa zrealizujú alebo nie. Na realizáciu majú od zaregistrovania 3 roky. </w:t>
      </w:r>
    </w:p>
    <w:p w:rsidR="00BC4D3C" w:rsidRPr="00E7645C" w:rsidRDefault="00BC4D3C" w:rsidP="00BC4D3C">
      <w:pPr>
        <w:pBdr>
          <w:top w:val="single" w:sz="4" w:space="1" w:color="auto"/>
          <w:left w:val="single" w:sz="4" w:space="4" w:color="auto"/>
          <w:bottom w:val="single" w:sz="4" w:space="0" w:color="auto"/>
          <w:right w:val="single" w:sz="4" w:space="4" w:color="auto"/>
        </w:pBdr>
        <w:jc w:val="both"/>
        <w:rPr>
          <w:bCs/>
        </w:rPr>
      </w:pPr>
      <w:r w:rsidRPr="00E7645C">
        <w:rPr>
          <w:bCs/>
        </w:rPr>
        <w:t xml:space="preserve">Z doterajších skúseností bola hranica 2 mil. Eur pre tvorcov  ťažšie dosiahnuteľná. Pri súčasnej nižšej minimálnej sume je veľmi pravdepodobné, že sa projekty budú realizovať </w:t>
      </w:r>
      <w:r>
        <w:rPr>
          <w:bCs/>
        </w:rPr>
        <w:br/>
      </w:r>
      <w:r w:rsidRPr="00E7645C">
        <w:rPr>
          <w:bCs/>
        </w:rPr>
        <w:t xml:space="preserve">vo väčších množstvách. </w:t>
      </w:r>
    </w:p>
    <w:p w:rsidR="00BC4D3C" w:rsidRPr="00E7645C" w:rsidRDefault="00BC4D3C" w:rsidP="00BC4D3C">
      <w:pPr>
        <w:pBdr>
          <w:top w:val="single" w:sz="4" w:space="1" w:color="auto"/>
          <w:left w:val="single" w:sz="4" w:space="4" w:color="auto"/>
          <w:bottom w:val="single" w:sz="4" w:space="0" w:color="auto"/>
          <w:right w:val="single" w:sz="4" w:space="4" w:color="auto"/>
        </w:pBdr>
        <w:ind w:firstLine="708"/>
        <w:jc w:val="both"/>
        <w:rPr>
          <w:bCs/>
        </w:rPr>
      </w:pPr>
      <w:r w:rsidRPr="00E7645C">
        <w:rPr>
          <w:bCs/>
        </w:rPr>
        <w:t xml:space="preserve">2. je nutné rátať s možnosťou, že sa zrealizuje maximum registrovaných projektov, nakoľko je podľa zákona (vyššie) registrovaný projekt oprávnený žiadať o </w:t>
      </w:r>
      <w:proofErr w:type="spellStart"/>
      <w:r w:rsidRPr="00E7645C">
        <w:rPr>
          <w:bCs/>
        </w:rPr>
        <w:t>vratku</w:t>
      </w:r>
      <w:proofErr w:type="spellEnd"/>
      <w:r w:rsidRPr="00E7645C">
        <w:rPr>
          <w:bCs/>
        </w:rPr>
        <w:t>, pokiaľ splní stanovené podmienky. Momentálne nie je dostatok dát, ktoré by vyvracali predpoklad, že sa projekty budú realizovať. Od roku 2017, odkedy platí znížená suma oprávnených výdavkov, sa môžu skoro všetky zaregistrované projekty ešte realizovať. Pri</w:t>
      </w:r>
      <w:r>
        <w:rPr>
          <w:bCs/>
        </w:rPr>
        <w:t xml:space="preserve"> alokáci</w:t>
      </w:r>
      <w:r w:rsidRPr="00E7645C">
        <w:rPr>
          <w:bCs/>
        </w:rPr>
        <w:t xml:space="preserve">i prostriedkov na </w:t>
      </w:r>
      <w:proofErr w:type="spellStart"/>
      <w:r w:rsidRPr="00E7645C">
        <w:rPr>
          <w:bCs/>
        </w:rPr>
        <w:t>vratku</w:t>
      </w:r>
      <w:proofErr w:type="spellEnd"/>
      <w:r w:rsidRPr="00E7645C">
        <w:rPr>
          <w:bCs/>
        </w:rPr>
        <w:t xml:space="preserve"> je nutné s „rezervovanou sumou“ rátať až do doby 3 rokov </w:t>
      </w:r>
      <w:r>
        <w:rPr>
          <w:bCs/>
        </w:rPr>
        <w:br/>
      </w:r>
      <w:r w:rsidRPr="00E7645C">
        <w:rPr>
          <w:bCs/>
        </w:rPr>
        <w:t>od zaregistrovania projektu. Pokiaľ suma nebude minutá, presunie sa ako rezerva pre ďalšie filmové projekty.</w:t>
      </w:r>
    </w:p>
    <w:p w:rsidR="00BC4D3C" w:rsidRPr="00E453D3" w:rsidRDefault="00BC4D3C" w:rsidP="00BC4D3C">
      <w:pPr>
        <w:pBdr>
          <w:top w:val="single" w:sz="4" w:space="1" w:color="auto"/>
          <w:left w:val="single" w:sz="4" w:space="4" w:color="auto"/>
          <w:bottom w:val="single" w:sz="4" w:space="0" w:color="auto"/>
          <w:right w:val="single" w:sz="4" w:space="4" w:color="auto"/>
        </w:pBdr>
        <w:jc w:val="both"/>
        <w:rPr>
          <w:bCs/>
        </w:rPr>
      </w:pPr>
    </w:p>
    <w:p w:rsidR="00BC4D3C" w:rsidRDefault="00BC4D3C" w:rsidP="00BC4D3C">
      <w:pPr>
        <w:rPr>
          <w:b/>
          <w:bCs/>
        </w:rPr>
      </w:pPr>
    </w:p>
    <w:p w:rsidR="00BC4D3C" w:rsidRPr="007D5748" w:rsidRDefault="00BC4D3C" w:rsidP="00BC4D3C">
      <w:pPr>
        <w:rPr>
          <w:b/>
          <w:bCs/>
        </w:rPr>
      </w:pPr>
      <w:r w:rsidRPr="007D5748">
        <w:rPr>
          <w:b/>
          <w:bCs/>
        </w:rPr>
        <w:t>2.2. Popis a charakteristika návrhu</w:t>
      </w:r>
    </w:p>
    <w:p w:rsidR="00BC4D3C" w:rsidRPr="007D5748" w:rsidRDefault="00BC4D3C" w:rsidP="00BC4D3C"/>
    <w:p w:rsidR="00BC4D3C" w:rsidRPr="007D5748" w:rsidRDefault="00BC4D3C" w:rsidP="00BC4D3C">
      <w:pPr>
        <w:jc w:val="both"/>
        <w:rPr>
          <w:b/>
          <w:bCs/>
        </w:rPr>
      </w:pPr>
      <w:r w:rsidRPr="007D5748">
        <w:rPr>
          <w:b/>
          <w:bCs/>
        </w:rPr>
        <w:t>2.2.1. Popis návrhu:</w:t>
      </w:r>
    </w:p>
    <w:p w:rsidR="00BC4D3C" w:rsidRPr="007D5748" w:rsidRDefault="00BC4D3C" w:rsidP="00BC4D3C">
      <w:pPr>
        <w:jc w:val="both"/>
        <w:rPr>
          <w:b/>
          <w:bCs/>
        </w:rPr>
      </w:pPr>
    </w:p>
    <w:p w:rsidR="00BC4D3C" w:rsidRDefault="00BC4D3C" w:rsidP="00BC4D3C">
      <w:pPr>
        <w:jc w:val="both"/>
      </w:pPr>
      <w:r w:rsidRPr="007D5748">
        <w:t>Akú problematiku návrh rieši? Kto bude návrh implementovať? Kde sa budú služby poskytovať?</w:t>
      </w:r>
    </w:p>
    <w:p w:rsidR="00BC4D3C" w:rsidRPr="007D5748" w:rsidRDefault="00BC4D3C" w:rsidP="00BC4D3C">
      <w:pPr>
        <w:ind w:firstLine="708"/>
        <w:jc w:val="both"/>
      </w:pPr>
    </w:p>
    <w:p w:rsidR="00BC4D3C" w:rsidRPr="00710F94" w:rsidRDefault="00BC4D3C" w:rsidP="00BC4D3C">
      <w:pPr>
        <w:jc w:val="both"/>
      </w:pPr>
      <w:r w:rsidRPr="00710F94">
        <w:t xml:space="preserve">Navrhované opatrenie zvyšuje percentuálny podiel dotácie, ktorú fond poskytuje na podporu audiovizuálneho priemyslu z 20 % oprávnených výdavkov </w:t>
      </w:r>
      <w:r>
        <w:t>na 33 % oprávnených výdavkov</w:t>
      </w:r>
      <w:r w:rsidRPr="00710F94">
        <w:t xml:space="preserve"> uhraden</w:t>
      </w:r>
      <w:r>
        <w:t>ých</w:t>
      </w:r>
      <w:r w:rsidRPr="00710F94">
        <w:t xml:space="preserve"> v súvislosti </w:t>
      </w:r>
      <w:r>
        <w:t xml:space="preserve">s realizáciou filmového projektu. </w:t>
      </w:r>
      <w:r w:rsidRPr="00405C93">
        <w:t>Pri predpoklade nadobudnutia účinnosti navrhovaného opatrenia k 1. januáru 2021, žiadosti o podporu predložené fondu od 1. 1. 2020 do 31. 12. 2020 budú vybavené ešte podľa súčasnej právnej úpravy, teda v pôvodnej sadzbe 20 %.</w:t>
      </w:r>
    </w:p>
    <w:p w:rsidR="00BC4D3C" w:rsidRPr="00710F94" w:rsidRDefault="00BC4D3C" w:rsidP="00BC4D3C">
      <w:pPr>
        <w:jc w:val="both"/>
      </w:pPr>
      <w:r w:rsidRPr="00710F94">
        <w:lastRenderedPageBreak/>
        <w:t>Filmové dotácie (</w:t>
      </w:r>
      <w:r>
        <w:t xml:space="preserve">tzv. </w:t>
      </w:r>
      <w:r w:rsidRPr="00710F94">
        <w:t>„</w:t>
      </w:r>
      <w:proofErr w:type="spellStart"/>
      <w:r w:rsidRPr="00710F94">
        <w:t>vratky</w:t>
      </w:r>
      <w:proofErr w:type="spellEnd"/>
      <w:r w:rsidRPr="00710F94">
        <w:t>“) sú nástrojom podpory audiovizuálneho priemyslu. Ich úlohou je motivovať producentov, aby natáča</w:t>
      </w:r>
      <w:r>
        <w:t>li v konkrétnej krajine</w:t>
      </w:r>
      <w:r w:rsidRPr="00710F94">
        <w:t xml:space="preserve">, ktorá im po dokončení projektu spätne preplatí časť nákladov, ktoré v tejto krajine preinvestovali. Takéto filmové projekty fungujú </w:t>
      </w:r>
      <w:r>
        <w:t xml:space="preserve">aj </w:t>
      </w:r>
      <w:r w:rsidRPr="00710F94">
        <w:t xml:space="preserve">na báze spolupráce domácej a zahraničnej produkčnej spoločnosti, pričom preplatenie </w:t>
      </w:r>
      <w:r>
        <w:t xml:space="preserve">tzv. </w:t>
      </w:r>
      <w:proofErr w:type="spellStart"/>
      <w:r w:rsidRPr="00710F94">
        <w:t>vratiek</w:t>
      </w:r>
      <w:proofErr w:type="spellEnd"/>
      <w:r w:rsidRPr="00710F94">
        <w:t xml:space="preserve"> administratívne pripravuje domáci filmový partner.</w:t>
      </w:r>
    </w:p>
    <w:p w:rsidR="00BC4D3C" w:rsidRDefault="00BC4D3C" w:rsidP="00BC4D3C">
      <w:pPr>
        <w:jc w:val="both"/>
      </w:pPr>
      <w:r>
        <w:t>Do roku 2015 Slovenská republika</w:t>
      </w:r>
      <w:r w:rsidRPr="00710F94">
        <w:t xml:space="preserve"> nepoužíval</w:t>
      </w:r>
      <w:r>
        <w:t>a</w:t>
      </w:r>
      <w:r w:rsidRPr="00710F94">
        <w:t xml:space="preserve"> filmové </w:t>
      </w:r>
      <w:proofErr w:type="spellStart"/>
      <w:r w:rsidRPr="00710F94">
        <w:t>vratky</w:t>
      </w:r>
      <w:proofErr w:type="spellEnd"/>
      <w:r w:rsidRPr="00710F94">
        <w:t xml:space="preserve"> ako nástroj podpory audiovizuálneho priemyslu. </w:t>
      </w:r>
      <w:r>
        <w:t>Od roku 2015 funguje v rámci fondu</w:t>
      </w:r>
      <w:r w:rsidRPr="00710F94">
        <w:t xml:space="preserve"> program 5 – Podpora audiovizuálneho priemyslu v Slovenskej republike, cez ktorý sa tvorcom filmov </w:t>
      </w:r>
      <w:r>
        <w:br/>
      </w:r>
      <w:r w:rsidRPr="00710F94">
        <w:t xml:space="preserve">vracia časť nákladov. </w:t>
      </w:r>
      <w:r>
        <w:t xml:space="preserve">Tzv. </w:t>
      </w:r>
      <w:proofErr w:type="spellStart"/>
      <w:r>
        <w:t>vratky</w:t>
      </w:r>
      <w:proofErr w:type="spellEnd"/>
      <w:r>
        <w:t xml:space="preserve"> predstavujú</w:t>
      </w:r>
      <w:r w:rsidRPr="00710F94">
        <w:t xml:space="preserve"> 20</w:t>
      </w:r>
      <w:r>
        <w:t xml:space="preserve"> </w:t>
      </w:r>
      <w:r w:rsidRPr="00710F94">
        <w:t xml:space="preserve">% z oprávnených výdavkov, ktoré sú definované ako nie verejné výdavky a zároveň výdavky minuté na Slovensku. Oprávnené výdavky teda zahŕňajú odmeny fyzickým osobám, úhrady tovarov a služieb. </w:t>
      </w:r>
    </w:p>
    <w:p w:rsidR="00BC4D3C" w:rsidRPr="00710F94" w:rsidRDefault="00BC4D3C" w:rsidP="00BC4D3C">
      <w:pPr>
        <w:jc w:val="both"/>
      </w:pPr>
    </w:p>
    <w:p w:rsidR="00BC4D3C" w:rsidRDefault="00BC4D3C" w:rsidP="00BC4D3C">
      <w:pPr>
        <w:jc w:val="both"/>
      </w:pPr>
      <w:r w:rsidRPr="00710F94">
        <w:t>V auguste roku 2017 sa novelizovala vyhláška</w:t>
      </w:r>
      <w:r>
        <w:t xml:space="preserve"> Ministerstva kultúry Slovenskej republiky </w:t>
      </w:r>
      <w:r>
        <w:br/>
        <w:t>č. 165/2014 Z. z. o filmovom projekte</w:t>
      </w:r>
      <w:r w:rsidRPr="00710F94">
        <w:t>, ktorá upravila výšku minimálnej sumy, z ktorej môže byť hradených 20 % kompenzácie pre realizátorov filmového projek</w:t>
      </w:r>
      <w:r>
        <w:t>tu. Z pôvodnej minimálnej sumy</w:t>
      </w:r>
      <w:r w:rsidRPr="003C6535">
        <w:t xml:space="preserve"> oprávnených výdavkov uhradených v súvislosti s vytvorením filmového projektu</w:t>
      </w:r>
      <w:r>
        <w:t xml:space="preserve"> 2 mil. eur, ktorá bola vnímaná filmármi ako príliš vysoká</w:t>
      </w:r>
      <w:r w:rsidRPr="00710F94">
        <w:t xml:space="preserve">, sa </w:t>
      </w:r>
      <w:r>
        <w:t>minimálna suma oprávnených výdavkov znížila na 150 000 eur, resp. 300 000 eur</w:t>
      </w:r>
      <w:r w:rsidRPr="00710F94">
        <w:t xml:space="preserve">. Táto zmena sa ukázala ako výhodná, nakoľko sa počet registrovaných </w:t>
      </w:r>
      <w:r>
        <w:t xml:space="preserve">filmových </w:t>
      </w:r>
      <w:r w:rsidRPr="00710F94">
        <w:t xml:space="preserve">projektov zdvojnásobil z 12 v roku 2017 na 26 v roku 2018. V čase </w:t>
      </w:r>
      <w:r>
        <w:t xml:space="preserve">predkladania </w:t>
      </w:r>
      <w:r w:rsidRPr="00710F94">
        <w:t xml:space="preserve">tejto analýzy ešte nie je známe, koľko </w:t>
      </w:r>
      <w:r>
        <w:br/>
      </w:r>
      <w:r w:rsidRPr="00710F94">
        <w:t xml:space="preserve">zo </w:t>
      </w:r>
      <w:r>
        <w:t>žiadateľov o podporu audiovizuálneho priemyslu, ktorým fond zaregistroval</w:t>
      </w:r>
      <w:r w:rsidRPr="00710F94">
        <w:t xml:space="preserve"> filmov</w:t>
      </w:r>
      <w:r>
        <w:t>é projekty v roku 2018</w:t>
      </w:r>
      <w:r w:rsidRPr="00710F94">
        <w:t xml:space="preserve"> bude </w:t>
      </w:r>
      <w:r>
        <w:t>žiadať o vyplatenie podpory audiovizuálneho priemyslu, teda</w:t>
      </w:r>
      <w:r w:rsidRPr="00710F94">
        <w:t xml:space="preserve"> </w:t>
      </w:r>
      <w:r>
        <w:t xml:space="preserve">tzv. </w:t>
      </w:r>
      <w:proofErr w:type="spellStart"/>
      <w:r w:rsidRPr="00710F94">
        <w:t>vratku</w:t>
      </w:r>
      <w:proofErr w:type="spellEnd"/>
      <w:r>
        <w:t>.</w:t>
      </w:r>
      <w:r w:rsidRPr="00710F94">
        <w:t xml:space="preserve"> </w:t>
      </w:r>
      <w:r>
        <w:t xml:space="preserve">Každý žiadateľ o podporu audiovizuálneho priemyslu si môže tzv. </w:t>
      </w:r>
      <w:proofErr w:type="spellStart"/>
      <w:r>
        <w:t>vratku</w:t>
      </w:r>
      <w:proofErr w:type="spellEnd"/>
      <w:r>
        <w:t xml:space="preserve"> nárokovať v lehote troch rokov od kedy mu fond vydal osvedčenie o registrácii filmového projektu. Viď viac </w:t>
      </w:r>
      <w:r w:rsidRPr="00710F94">
        <w:t>§ 2</w:t>
      </w:r>
      <w:r>
        <w:t>2a</w:t>
      </w:r>
      <w:r w:rsidRPr="00710F94">
        <w:t xml:space="preserve"> </w:t>
      </w:r>
      <w:r>
        <w:t>a </w:t>
      </w:r>
      <w:proofErr w:type="spellStart"/>
      <w:r>
        <w:t>nasl</w:t>
      </w:r>
      <w:proofErr w:type="spellEnd"/>
      <w:r>
        <w:t xml:space="preserve">. </w:t>
      </w:r>
      <w:r w:rsidRPr="00710F94">
        <w:t>zákona č. 516/2008 Z. z. o Audiovizuálnom fonde</w:t>
      </w:r>
      <w:r w:rsidRPr="002877CF">
        <w:rPr>
          <w:bCs/>
        </w:rPr>
        <w:t xml:space="preserve"> </w:t>
      </w:r>
      <w:r w:rsidRPr="00444AF4">
        <w:rPr>
          <w:bCs/>
        </w:rPr>
        <w:t>a o zmene a doplnení niektorých zákonov</w:t>
      </w:r>
      <w:r>
        <w:rPr>
          <w:bCs/>
        </w:rPr>
        <w:t xml:space="preserve"> v znení neskorších predpisov</w:t>
      </w:r>
      <w:r>
        <w:t>.</w:t>
      </w:r>
    </w:p>
    <w:p w:rsidR="00BC4D3C" w:rsidRPr="007D5748" w:rsidRDefault="00BC4D3C" w:rsidP="00BC4D3C">
      <w:r w:rsidRPr="00710F94">
        <w:t>.</w:t>
      </w:r>
      <w:r w:rsidRPr="00130935">
        <w:t>.</w:t>
      </w:r>
      <w:r w:rsidRPr="007D5748">
        <w:t>........................................................................................................................................</w:t>
      </w:r>
    </w:p>
    <w:p w:rsidR="00BC4D3C" w:rsidRPr="007D5748" w:rsidRDefault="00BC4D3C" w:rsidP="00BC4D3C"/>
    <w:p w:rsidR="00BC4D3C" w:rsidRPr="007D5748" w:rsidRDefault="00BC4D3C" w:rsidP="00BC4D3C">
      <w:pPr>
        <w:rPr>
          <w:b/>
          <w:bCs/>
        </w:rPr>
      </w:pPr>
      <w:r w:rsidRPr="007D5748">
        <w:rPr>
          <w:b/>
          <w:bCs/>
        </w:rPr>
        <w:t>2.2.2. Charakteristika návrhu:</w:t>
      </w:r>
    </w:p>
    <w:p w:rsidR="00BC4D3C" w:rsidRPr="007D5748" w:rsidRDefault="00BC4D3C" w:rsidP="00BC4D3C"/>
    <w:p w:rsidR="00BC4D3C" w:rsidRPr="007D5748" w:rsidRDefault="00BC4D3C" w:rsidP="00BC4D3C">
      <w:r w:rsidRPr="007D5748">
        <w:rPr>
          <w:b/>
          <w:bdr w:val="single" w:sz="4" w:space="0" w:color="auto"/>
        </w:rPr>
        <w:t xml:space="preserve">   </w:t>
      </w:r>
      <w:r>
        <w:rPr>
          <w:b/>
          <w:bdr w:val="single" w:sz="4" w:space="0" w:color="auto"/>
        </w:rPr>
        <w:t>x</w:t>
      </w:r>
      <w:r w:rsidRPr="007D5748">
        <w:rPr>
          <w:b/>
          <w:bdr w:val="single" w:sz="4" w:space="0" w:color="auto"/>
        </w:rPr>
        <w:t xml:space="preserve">  </w:t>
      </w:r>
      <w:r w:rsidRPr="007D5748">
        <w:rPr>
          <w:b/>
        </w:rPr>
        <w:t xml:space="preserve">  </w:t>
      </w:r>
      <w:r w:rsidRPr="007D5748">
        <w:t>zmena sadzby</w:t>
      </w:r>
    </w:p>
    <w:p w:rsidR="00BC4D3C" w:rsidRPr="007D5748" w:rsidRDefault="00BC4D3C" w:rsidP="00BC4D3C">
      <w:r w:rsidRPr="007D5748">
        <w:rPr>
          <w:bdr w:val="single" w:sz="4" w:space="0" w:color="auto"/>
        </w:rPr>
        <w:t xml:space="preserve">     </w:t>
      </w:r>
      <w:r w:rsidRPr="007D5748">
        <w:t xml:space="preserve">  zmena v nároku</w:t>
      </w:r>
    </w:p>
    <w:p w:rsidR="00BC4D3C" w:rsidRPr="007D5748" w:rsidRDefault="00BC4D3C" w:rsidP="00BC4D3C">
      <w:r w:rsidRPr="007D5748">
        <w:rPr>
          <w:bdr w:val="single" w:sz="4" w:space="0" w:color="auto"/>
        </w:rPr>
        <w:t xml:space="preserve">     </w:t>
      </w:r>
      <w:r w:rsidRPr="007D5748">
        <w:t xml:space="preserve">  nová služba alebo nariadenie (alebo ich zrušenie)</w:t>
      </w:r>
    </w:p>
    <w:p w:rsidR="00BC4D3C" w:rsidRPr="007D5748" w:rsidRDefault="00BC4D3C" w:rsidP="00BC4D3C">
      <w:r w:rsidRPr="007D5748">
        <w:rPr>
          <w:bdr w:val="single" w:sz="4" w:space="0" w:color="auto"/>
        </w:rPr>
        <w:t xml:space="preserve">     </w:t>
      </w:r>
      <w:r w:rsidRPr="007D5748">
        <w:t xml:space="preserve">  kombinovaný návrh</w:t>
      </w:r>
    </w:p>
    <w:p w:rsidR="00BC4D3C" w:rsidRPr="007D5748" w:rsidRDefault="00BC4D3C" w:rsidP="00BC4D3C">
      <w:r w:rsidRPr="007D5748">
        <w:rPr>
          <w:bdr w:val="single" w:sz="4" w:space="0" w:color="auto"/>
        </w:rPr>
        <w:t xml:space="preserve">     </w:t>
      </w:r>
      <w:r w:rsidRPr="007D5748">
        <w:t xml:space="preserve">  iné </w:t>
      </w:r>
    </w:p>
    <w:p w:rsidR="00BC4D3C" w:rsidRPr="007D5748" w:rsidRDefault="00BC4D3C" w:rsidP="00BC4D3C"/>
    <w:p w:rsidR="00BC4D3C" w:rsidRPr="007D5748" w:rsidRDefault="00BC4D3C" w:rsidP="00BC4D3C"/>
    <w:p w:rsidR="00BC4D3C" w:rsidRPr="007D5748" w:rsidRDefault="00BC4D3C" w:rsidP="00BC4D3C">
      <w:r w:rsidRPr="007D5748">
        <w:rPr>
          <w:b/>
          <w:bCs/>
        </w:rPr>
        <w:t>2.2.3. Predpoklady vývoja objemu aktivít:</w:t>
      </w:r>
    </w:p>
    <w:p w:rsidR="00BC4D3C" w:rsidRPr="007D5748" w:rsidRDefault="00BC4D3C" w:rsidP="00BC4D3C"/>
    <w:p w:rsidR="00BC4D3C" w:rsidRPr="007D5748" w:rsidRDefault="00BC4D3C" w:rsidP="00BC4D3C">
      <w:pPr>
        <w:ind w:firstLine="708"/>
        <w:jc w:val="both"/>
      </w:pPr>
      <w:r w:rsidRPr="007D5748">
        <w:t>Jasne popíšte, v prípade potreby použite nižšie uvedenú tabuľku. Uveďte aj odhady základov daní a/alebo poplatkov, ak sa ich táto zmena týka.</w:t>
      </w:r>
    </w:p>
    <w:p w:rsidR="00BC4D3C" w:rsidRPr="007D5748" w:rsidRDefault="00BC4D3C" w:rsidP="00BC4D3C">
      <w:pPr>
        <w:jc w:val="right"/>
        <w:rPr>
          <w:sz w:val="20"/>
          <w:szCs w:val="20"/>
        </w:rPr>
      </w:pPr>
      <w:r w:rsidRPr="007D5748">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C4D3C" w:rsidRPr="007D5748" w:rsidTr="00BC4D3C">
        <w:trPr>
          <w:cantSplit/>
          <w:trHeight w:val="70"/>
        </w:trPr>
        <w:tc>
          <w:tcPr>
            <w:tcW w:w="4530" w:type="dxa"/>
            <w:vMerge w:val="restart"/>
            <w:shd w:val="clear" w:color="auto" w:fill="BFBFBF" w:themeFill="background1" w:themeFillShade="BF"/>
            <w:vAlign w:val="center"/>
          </w:tcPr>
          <w:p w:rsidR="00BC4D3C" w:rsidRPr="007D5748" w:rsidRDefault="00BC4D3C" w:rsidP="00BC4D3C">
            <w:pPr>
              <w:autoSpaceDE w:val="0"/>
              <w:autoSpaceDN w:val="0"/>
              <w:jc w:val="center"/>
              <w:rPr>
                <w:b/>
                <w:bCs/>
              </w:rPr>
            </w:pPr>
            <w:r w:rsidRPr="007D5748">
              <w:rPr>
                <w:b/>
                <w:bCs/>
              </w:rPr>
              <w:t>Objem aktivít</w:t>
            </w:r>
          </w:p>
        </w:tc>
        <w:tc>
          <w:tcPr>
            <w:tcW w:w="1134" w:type="dxa"/>
            <w:gridSpan w:val="4"/>
            <w:shd w:val="clear" w:color="auto" w:fill="BFBFBF" w:themeFill="background1" w:themeFillShade="BF"/>
            <w:vAlign w:val="center"/>
          </w:tcPr>
          <w:p w:rsidR="00BC4D3C" w:rsidRPr="007D5748" w:rsidRDefault="00BC4D3C" w:rsidP="00BC4D3C">
            <w:pPr>
              <w:autoSpaceDE w:val="0"/>
              <w:autoSpaceDN w:val="0"/>
              <w:jc w:val="center"/>
              <w:rPr>
                <w:b/>
                <w:bCs/>
              </w:rPr>
            </w:pPr>
            <w:r w:rsidRPr="007D5748">
              <w:rPr>
                <w:b/>
                <w:bCs/>
              </w:rPr>
              <w:t>Odhadované objemy</w:t>
            </w:r>
          </w:p>
        </w:tc>
      </w:tr>
      <w:tr w:rsidR="00BC4D3C" w:rsidRPr="007D5748" w:rsidTr="00BC4D3C">
        <w:trPr>
          <w:cantSplit/>
          <w:trHeight w:val="70"/>
        </w:trPr>
        <w:tc>
          <w:tcPr>
            <w:tcW w:w="4530" w:type="dxa"/>
            <w:vMerge/>
            <w:shd w:val="clear" w:color="auto" w:fill="BFBFBF" w:themeFill="background1" w:themeFillShade="BF"/>
          </w:tcPr>
          <w:p w:rsidR="00BC4D3C" w:rsidRPr="007D5748" w:rsidRDefault="00BC4D3C" w:rsidP="00BC4D3C">
            <w:pPr>
              <w:autoSpaceDE w:val="0"/>
              <w:autoSpaceDN w:val="0"/>
              <w:jc w:val="center"/>
              <w:rPr>
                <w:b/>
                <w:bCs/>
              </w:rPr>
            </w:pPr>
          </w:p>
        </w:tc>
        <w:tc>
          <w:tcPr>
            <w:tcW w:w="1134" w:type="dxa"/>
            <w:shd w:val="clear" w:color="auto" w:fill="BFBFBF" w:themeFill="background1" w:themeFillShade="BF"/>
            <w:vAlign w:val="center"/>
          </w:tcPr>
          <w:p w:rsidR="00BC4D3C" w:rsidRPr="007D5748" w:rsidRDefault="00BC4D3C" w:rsidP="00BC4D3C">
            <w:pPr>
              <w:autoSpaceDE w:val="0"/>
              <w:autoSpaceDN w:val="0"/>
              <w:jc w:val="center"/>
              <w:rPr>
                <w:b/>
                <w:bCs/>
              </w:rPr>
            </w:pPr>
            <w:r w:rsidRPr="007D5748">
              <w:rPr>
                <w:b/>
                <w:bCs/>
              </w:rPr>
              <w:t>r</w:t>
            </w:r>
          </w:p>
        </w:tc>
        <w:tc>
          <w:tcPr>
            <w:tcW w:w="1134" w:type="dxa"/>
            <w:shd w:val="clear" w:color="auto" w:fill="BFBFBF" w:themeFill="background1" w:themeFillShade="BF"/>
            <w:vAlign w:val="center"/>
          </w:tcPr>
          <w:p w:rsidR="00BC4D3C" w:rsidRPr="007D5748" w:rsidRDefault="00BC4D3C" w:rsidP="00BC4D3C">
            <w:pPr>
              <w:autoSpaceDE w:val="0"/>
              <w:autoSpaceDN w:val="0"/>
              <w:jc w:val="center"/>
              <w:rPr>
                <w:b/>
                <w:bCs/>
              </w:rPr>
            </w:pPr>
            <w:r w:rsidRPr="007D5748">
              <w:rPr>
                <w:b/>
                <w:bCs/>
              </w:rPr>
              <w:t>r + 1</w:t>
            </w:r>
          </w:p>
        </w:tc>
        <w:tc>
          <w:tcPr>
            <w:tcW w:w="1134" w:type="dxa"/>
            <w:shd w:val="clear" w:color="auto" w:fill="BFBFBF" w:themeFill="background1" w:themeFillShade="BF"/>
            <w:vAlign w:val="center"/>
          </w:tcPr>
          <w:p w:rsidR="00BC4D3C" w:rsidRPr="007D5748" w:rsidRDefault="00BC4D3C" w:rsidP="00BC4D3C">
            <w:pPr>
              <w:autoSpaceDE w:val="0"/>
              <w:autoSpaceDN w:val="0"/>
              <w:jc w:val="center"/>
              <w:rPr>
                <w:b/>
                <w:bCs/>
              </w:rPr>
            </w:pPr>
            <w:r w:rsidRPr="007D5748">
              <w:rPr>
                <w:b/>
                <w:bCs/>
              </w:rPr>
              <w:t>r + 2</w:t>
            </w:r>
          </w:p>
        </w:tc>
        <w:tc>
          <w:tcPr>
            <w:tcW w:w="1134" w:type="dxa"/>
            <w:shd w:val="clear" w:color="auto" w:fill="BFBFBF" w:themeFill="background1" w:themeFillShade="BF"/>
            <w:vAlign w:val="center"/>
          </w:tcPr>
          <w:p w:rsidR="00BC4D3C" w:rsidRPr="007D5748" w:rsidRDefault="00BC4D3C" w:rsidP="00BC4D3C">
            <w:pPr>
              <w:autoSpaceDE w:val="0"/>
              <w:autoSpaceDN w:val="0"/>
              <w:jc w:val="center"/>
              <w:rPr>
                <w:b/>
                <w:bCs/>
              </w:rPr>
            </w:pPr>
            <w:r w:rsidRPr="007D5748">
              <w:rPr>
                <w:b/>
                <w:bCs/>
              </w:rPr>
              <w:t>r + 3</w:t>
            </w:r>
          </w:p>
        </w:tc>
      </w:tr>
      <w:tr w:rsidR="00BC4D3C" w:rsidRPr="007D5748" w:rsidTr="00BC4D3C">
        <w:trPr>
          <w:trHeight w:val="70"/>
        </w:trPr>
        <w:tc>
          <w:tcPr>
            <w:tcW w:w="4530" w:type="dxa"/>
          </w:tcPr>
          <w:p w:rsidR="00BC4D3C" w:rsidRPr="007D5748" w:rsidRDefault="00BC4D3C" w:rsidP="00BC4D3C">
            <w:pPr>
              <w:autoSpaceDE w:val="0"/>
              <w:autoSpaceDN w:val="0"/>
              <w:rPr>
                <w:color w:val="000000"/>
              </w:rPr>
            </w:pPr>
            <w:r w:rsidRPr="007D5748">
              <w:rPr>
                <w:color w:val="000000"/>
              </w:rPr>
              <w:t>Indikátor ABC</w:t>
            </w:r>
          </w:p>
        </w:tc>
        <w:tc>
          <w:tcPr>
            <w:tcW w:w="1134" w:type="dxa"/>
          </w:tcPr>
          <w:p w:rsidR="00BC4D3C" w:rsidRPr="007D5748" w:rsidRDefault="00BC4D3C" w:rsidP="00BC4D3C">
            <w:pPr>
              <w:autoSpaceDE w:val="0"/>
              <w:autoSpaceDN w:val="0"/>
              <w:jc w:val="right"/>
              <w:rPr>
                <w:color w:val="000000"/>
              </w:rPr>
            </w:pPr>
          </w:p>
        </w:tc>
        <w:tc>
          <w:tcPr>
            <w:tcW w:w="1134" w:type="dxa"/>
          </w:tcPr>
          <w:p w:rsidR="00BC4D3C" w:rsidRPr="007D5748" w:rsidRDefault="00BC4D3C" w:rsidP="00BC4D3C">
            <w:pPr>
              <w:autoSpaceDE w:val="0"/>
              <w:autoSpaceDN w:val="0"/>
              <w:jc w:val="right"/>
              <w:rPr>
                <w:color w:val="000000"/>
              </w:rPr>
            </w:pPr>
          </w:p>
        </w:tc>
        <w:tc>
          <w:tcPr>
            <w:tcW w:w="1134" w:type="dxa"/>
          </w:tcPr>
          <w:p w:rsidR="00BC4D3C" w:rsidRPr="007D5748" w:rsidRDefault="00BC4D3C" w:rsidP="00BC4D3C">
            <w:pPr>
              <w:autoSpaceDE w:val="0"/>
              <w:autoSpaceDN w:val="0"/>
              <w:jc w:val="right"/>
              <w:rPr>
                <w:color w:val="000000"/>
              </w:rPr>
            </w:pPr>
          </w:p>
        </w:tc>
        <w:tc>
          <w:tcPr>
            <w:tcW w:w="1134" w:type="dxa"/>
          </w:tcPr>
          <w:p w:rsidR="00BC4D3C" w:rsidRPr="007D5748" w:rsidRDefault="00BC4D3C" w:rsidP="00BC4D3C">
            <w:pPr>
              <w:autoSpaceDE w:val="0"/>
              <w:autoSpaceDN w:val="0"/>
              <w:jc w:val="right"/>
              <w:rPr>
                <w:color w:val="000000"/>
              </w:rPr>
            </w:pPr>
          </w:p>
        </w:tc>
      </w:tr>
      <w:tr w:rsidR="00BC4D3C" w:rsidRPr="007D5748" w:rsidTr="00BC4D3C">
        <w:trPr>
          <w:trHeight w:val="70"/>
        </w:trPr>
        <w:tc>
          <w:tcPr>
            <w:tcW w:w="4530" w:type="dxa"/>
          </w:tcPr>
          <w:p w:rsidR="00BC4D3C" w:rsidRPr="007D5748" w:rsidRDefault="00BC4D3C" w:rsidP="00BC4D3C">
            <w:pPr>
              <w:autoSpaceDE w:val="0"/>
              <w:autoSpaceDN w:val="0"/>
              <w:rPr>
                <w:color w:val="000000"/>
              </w:rPr>
            </w:pPr>
            <w:r w:rsidRPr="007D5748">
              <w:rPr>
                <w:color w:val="000000"/>
              </w:rPr>
              <w:t>Indikátor KLM</w:t>
            </w:r>
          </w:p>
        </w:tc>
        <w:tc>
          <w:tcPr>
            <w:tcW w:w="1134" w:type="dxa"/>
          </w:tcPr>
          <w:p w:rsidR="00BC4D3C" w:rsidRPr="007D5748" w:rsidRDefault="00BC4D3C" w:rsidP="00BC4D3C">
            <w:pPr>
              <w:autoSpaceDE w:val="0"/>
              <w:autoSpaceDN w:val="0"/>
              <w:jc w:val="right"/>
              <w:rPr>
                <w:color w:val="000000"/>
              </w:rPr>
            </w:pPr>
          </w:p>
        </w:tc>
        <w:tc>
          <w:tcPr>
            <w:tcW w:w="1134" w:type="dxa"/>
          </w:tcPr>
          <w:p w:rsidR="00BC4D3C" w:rsidRPr="007D5748" w:rsidRDefault="00BC4D3C" w:rsidP="00BC4D3C">
            <w:pPr>
              <w:autoSpaceDE w:val="0"/>
              <w:autoSpaceDN w:val="0"/>
              <w:jc w:val="right"/>
              <w:rPr>
                <w:color w:val="000000"/>
              </w:rPr>
            </w:pPr>
          </w:p>
        </w:tc>
        <w:tc>
          <w:tcPr>
            <w:tcW w:w="1134" w:type="dxa"/>
          </w:tcPr>
          <w:p w:rsidR="00BC4D3C" w:rsidRPr="007D5748" w:rsidRDefault="00BC4D3C" w:rsidP="00BC4D3C">
            <w:pPr>
              <w:autoSpaceDE w:val="0"/>
              <w:autoSpaceDN w:val="0"/>
              <w:jc w:val="right"/>
              <w:rPr>
                <w:color w:val="000000"/>
              </w:rPr>
            </w:pPr>
          </w:p>
        </w:tc>
        <w:tc>
          <w:tcPr>
            <w:tcW w:w="1134" w:type="dxa"/>
          </w:tcPr>
          <w:p w:rsidR="00BC4D3C" w:rsidRPr="007D5748" w:rsidRDefault="00BC4D3C" w:rsidP="00BC4D3C">
            <w:pPr>
              <w:autoSpaceDE w:val="0"/>
              <w:autoSpaceDN w:val="0"/>
              <w:jc w:val="right"/>
              <w:rPr>
                <w:color w:val="000000"/>
              </w:rPr>
            </w:pPr>
          </w:p>
        </w:tc>
      </w:tr>
      <w:tr w:rsidR="00BC4D3C" w:rsidRPr="007D5748" w:rsidTr="00BC4D3C">
        <w:trPr>
          <w:trHeight w:val="70"/>
        </w:trPr>
        <w:tc>
          <w:tcPr>
            <w:tcW w:w="4530" w:type="dxa"/>
          </w:tcPr>
          <w:p w:rsidR="00BC4D3C" w:rsidRPr="007D5748" w:rsidRDefault="00BC4D3C" w:rsidP="00BC4D3C">
            <w:pPr>
              <w:autoSpaceDE w:val="0"/>
              <w:autoSpaceDN w:val="0"/>
              <w:rPr>
                <w:color w:val="000000"/>
              </w:rPr>
            </w:pPr>
            <w:r w:rsidRPr="007D5748">
              <w:rPr>
                <w:color w:val="000000"/>
              </w:rPr>
              <w:t>Indikátor XYZ</w:t>
            </w:r>
          </w:p>
        </w:tc>
        <w:tc>
          <w:tcPr>
            <w:tcW w:w="1134" w:type="dxa"/>
          </w:tcPr>
          <w:p w:rsidR="00BC4D3C" w:rsidRPr="007D5748" w:rsidRDefault="00BC4D3C" w:rsidP="00BC4D3C">
            <w:pPr>
              <w:autoSpaceDE w:val="0"/>
              <w:autoSpaceDN w:val="0"/>
              <w:jc w:val="right"/>
              <w:rPr>
                <w:color w:val="000000"/>
              </w:rPr>
            </w:pPr>
          </w:p>
        </w:tc>
        <w:tc>
          <w:tcPr>
            <w:tcW w:w="1134" w:type="dxa"/>
          </w:tcPr>
          <w:p w:rsidR="00BC4D3C" w:rsidRPr="007D5748" w:rsidRDefault="00BC4D3C" w:rsidP="00BC4D3C">
            <w:pPr>
              <w:autoSpaceDE w:val="0"/>
              <w:autoSpaceDN w:val="0"/>
              <w:jc w:val="right"/>
              <w:rPr>
                <w:color w:val="000000"/>
              </w:rPr>
            </w:pPr>
          </w:p>
        </w:tc>
        <w:tc>
          <w:tcPr>
            <w:tcW w:w="1134" w:type="dxa"/>
          </w:tcPr>
          <w:p w:rsidR="00BC4D3C" w:rsidRPr="007D5748" w:rsidRDefault="00BC4D3C" w:rsidP="00BC4D3C">
            <w:pPr>
              <w:autoSpaceDE w:val="0"/>
              <w:autoSpaceDN w:val="0"/>
              <w:jc w:val="right"/>
              <w:rPr>
                <w:color w:val="000000"/>
              </w:rPr>
            </w:pPr>
          </w:p>
        </w:tc>
        <w:tc>
          <w:tcPr>
            <w:tcW w:w="1134" w:type="dxa"/>
          </w:tcPr>
          <w:p w:rsidR="00BC4D3C" w:rsidRPr="007D5748" w:rsidRDefault="00BC4D3C" w:rsidP="00BC4D3C">
            <w:pPr>
              <w:autoSpaceDE w:val="0"/>
              <w:autoSpaceDN w:val="0"/>
              <w:jc w:val="right"/>
              <w:rPr>
                <w:color w:val="000000"/>
              </w:rPr>
            </w:pPr>
          </w:p>
        </w:tc>
      </w:tr>
    </w:tbl>
    <w:p w:rsidR="00BC4D3C" w:rsidRPr="007D5748" w:rsidRDefault="00BC4D3C" w:rsidP="00BC4D3C"/>
    <w:p w:rsidR="00BC4D3C" w:rsidRDefault="00BC4D3C" w:rsidP="00BC4D3C"/>
    <w:p w:rsidR="00BC4D3C" w:rsidRDefault="00BC4D3C" w:rsidP="00BC4D3C"/>
    <w:p w:rsidR="00BC4D3C" w:rsidRPr="007D5748" w:rsidRDefault="00BC4D3C" w:rsidP="00BC4D3C"/>
    <w:p w:rsidR="00BC4D3C" w:rsidRPr="007D5748" w:rsidRDefault="00BC4D3C" w:rsidP="00BC4D3C">
      <w:pPr>
        <w:rPr>
          <w:b/>
          <w:bCs/>
        </w:rPr>
      </w:pPr>
      <w:r w:rsidRPr="007D5748">
        <w:rPr>
          <w:b/>
          <w:bCs/>
        </w:rPr>
        <w:lastRenderedPageBreak/>
        <w:t>2.2.4. Výpočty vplyvov na verejné financie</w:t>
      </w:r>
    </w:p>
    <w:p w:rsidR="00BC4D3C" w:rsidRPr="007D5748" w:rsidRDefault="00BC4D3C" w:rsidP="00BC4D3C"/>
    <w:p w:rsidR="00BC4D3C" w:rsidRPr="002877CF" w:rsidRDefault="00BC4D3C" w:rsidP="00BC4D3C">
      <w:pPr>
        <w:tabs>
          <w:tab w:val="num" w:pos="1080"/>
        </w:tabs>
        <w:jc w:val="both"/>
      </w:pPr>
      <w:r>
        <w:t>V Tabuľke 2.2.4.1</w:t>
      </w:r>
      <w:r w:rsidRPr="002877CF">
        <w:t xml:space="preserve"> projektujeme príjmy a výdavky štátu na filmové projekty</w:t>
      </w:r>
      <w:r>
        <w:t xml:space="preserve"> na základe dostupných dát z AVF</w:t>
      </w:r>
      <w:r w:rsidRPr="002877CF">
        <w:t xml:space="preserve">. Štát na jednej strane vypláca zo svojho rozpočtu časť oprávnených nákladov na realizované filmové  projekty. Na druhej strane tým stimuluje investície do filmu, z ktorých sa cez ekonomickú aktivitu na Slovensku (dane, odvody) časť vracia naspäť </w:t>
      </w:r>
      <w:r>
        <w:br/>
      </w:r>
      <w:r w:rsidRPr="002877CF">
        <w:t>do rozpočtu. Kvôli obmedzenému množstvu historických dát je potrebné brať do úvahy všetky nižšie opísané predpoklady a podmienky použité v modeli.</w:t>
      </w:r>
    </w:p>
    <w:p w:rsidR="00BC4D3C" w:rsidRPr="002877CF" w:rsidRDefault="00BC4D3C" w:rsidP="00BC4D3C">
      <w:pPr>
        <w:tabs>
          <w:tab w:val="num" w:pos="1080"/>
        </w:tabs>
        <w:jc w:val="both"/>
      </w:pPr>
    </w:p>
    <w:p w:rsidR="00BC4D3C" w:rsidRPr="002877CF" w:rsidRDefault="00BC4D3C" w:rsidP="00BC4D3C">
      <w:pPr>
        <w:tabs>
          <w:tab w:val="num" w:pos="1080"/>
        </w:tabs>
        <w:jc w:val="both"/>
      </w:pPr>
      <w:r w:rsidRPr="002877CF">
        <w:t xml:space="preserve">Príjmy sú odhadom stanovené sumy vyzbierané na daniach a odvodoch (riadok 7 – 9) </w:t>
      </w:r>
      <w:r>
        <w:br/>
      </w:r>
      <w:r w:rsidRPr="002877CF">
        <w:t xml:space="preserve">na základe percentuálnych odhadov príjmov pre štát: predpokladáme, že z investície </w:t>
      </w:r>
      <w:r>
        <w:br/>
      </w:r>
      <w:r w:rsidRPr="002877CF">
        <w:t>na filmový projekt sa do rozpočtu vráti 18 – 23 % (percento použité podľa analogic</w:t>
      </w:r>
      <w:r>
        <w:t>kej českej štúdie (KPMG, 2015))</w:t>
      </w:r>
      <w:r w:rsidRPr="002877CF">
        <w:t xml:space="preserve">. Výdavky štátu sú vyrátané ako celkové sumy </w:t>
      </w:r>
      <w:r>
        <w:t xml:space="preserve">tzv. </w:t>
      </w:r>
      <w:proofErr w:type="spellStart"/>
      <w:r w:rsidRPr="002877CF">
        <w:t>vratiek</w:t>
      </w:r>
      <w:proofErr w:type="spellEnd"/>
      <w:r w:rsidRPr="002877CF">
        <w:t xml:space="preserve"> pre filmové projekty (riadok 5). Úplné ekonomické </w:t>
      </w:r>
      <w:proofErr w:type="spellStart"/>
      <w:r w:rsidRPr="002877CF">
        <w:t>benefity</w:t>
      </w:r>
      <w:proofErr w:type="spellEnd"/>
      <w:r w:rsidRPr="002877CF">
        <w:t xml:space="preserve"> sú vyčíslené nielen ako celkové sumy investované </w:t>
      </w:r>
      <w:r>
        <w:t>do filmového</w:t>
      </w:r>
      <w:r w:rsidRPr="002877CF">
        <w:t xml:space="preserve"> projekt</w:t>
      </w:r>
      <w:r>
        <w:t>u</w:t>
      </w:r>
      <w:r w:rsidRPr="002877CF">
        <w:t xml:space="preserve"> na Slovensku, ale aj ako sumy s pridaným </w:t>
      </w:r>
      <w:proofErr w:type="spellStart"/>
      <w:r w:rsidRPr="002877CF">
        <w:t>multiplikačným</w:t>
      </w:r>
      <w:proofErr w:type="spellEnd"/>
      <w:r w:rsidRPr="002877CF">
        <w:t xml:space="preserve"> efektom, ktorým sa dá určiť celkový ekonomický dopad investície. Filmová produkcia má totiž okrem priameho ekonomického dopadu aj dopad nepriamy: napr. filmári pricestujú aj </w:t>
      </w:r>
      <w:r>
        <w:br/>
      </w:r>
      <w:r w:rsidRPr="002877CF">
        <w:t xml:space="preserve">so svojimi rodinami, míňajú tu svoje peniaze, zvyšuje sa kvalifikácia domácich filmárov, dochádza k regionálnemu rozvoju, propagácii krajiny v zahraničí a následnému rozvoju cestovného ruchu. </w:t>
      </w:r>
      <w:proofErr w:type="spellStart"/>
      <w:r w:rsidRPr="002877CF">
        <w:t>Multiplikátor</w:t>
      </w:r>
      <w:proofErr w:type="spellEnd"/>
      <w:r w:rsidRPr="002877CF">
        <w:t xml:space="preserve"> bol modelovo vyčíslený na 1,9 podľa analogickej českej štúdie (KPMG, 2015: viď s. 1).    </w:t>
      </w:r>
    </w:p>
    <w:p w:rsidR="00BC4D3C" w:rsidRDefault="00BC4D3C" w:rsidP="00BC4D3C">
      <w:pPr>
        <w:tabs>
          <w:tab w:val="num" w:pos="1080"/>
        </w:tabs>
        <w:jc w:val="both"/>
      </w:pPr>
      <w:r w:rsidRPr="002877CF">
        <w:t xml:space="preserve">Na základe dát z roku 2015 – 2018 bolo možné projektovať lineárny vývoj objemu investícií na filmové projekty </w:t>
      </w:r>
      <w:r>
        <w:t>na Slovensko na roky 2019 - 2023</w:t>
      </w:r>
      <w:r w:rsidRPr="002877CF">
        <w:t>. Následne bol spravený odhad vývoja pri zachovaní 20 %</w:t>
      </w:r>
      <w:r>
        <w:t xml:space="preserve"> </w:t>
      </w:r>
      <w:r w:rsidRPr="002877CF">
        <w:t>-</w:t>
      </w:r>
      <w:r>
        <w:t xml:space="preserve"> </w:t>
      </w:r>
      <w:r w:rsidRPr="002877CF">
        <w:t xml:space="preserve">nej sadzby </w:t>
      </w:r>
      <w:r>
        <w:t xml:space="preserve">tzv. </w:t>
      </w:r>
      <w:proofErr w:type="spellStart"/>
      <w:r w:rsidRPr="002877CF">
        <w:t>vratiek</w:t>
      </w:r>
      <w:proofErr w:type="spellEnd"/>
      <w:r w:rsidRPr="002877CF">
        <w:t xml:space="preserve"> na filmové projekty, ako aj odhad následkov </w:t>
      </w:r>
      <w:r>
        <w:br/>
      </w:r>
      <w:r w:rsidRPr="002877CF">
        <w:t>po zmene na 3</w:t>
      </w:r>
      <w:r>
        <w:t>3</w:t>
      </w:r>
      <w:r w:rsidRPr="002877CF">
        <w:t xml:space="preserve"> %</w:t>
      </w:r>
      <w:r>
        <w:t xml:space="preserve"> </w:t>
      </w:r>
      <w:r w:rsidRPr="002877CF">
        <w:t>-</w:t>
      </w:r>
      <w:r>
        <w:t xml:space="preserve"> </w:t>
      </w:r>
      <w:proofErr w:type="spellStart"/>
      <w:r w:rsidRPr="002877CF">
        <w:t>nú</w:t>
      </w:r>
      <w:proofErr w:type="spellEnd"/>
      <w:r w:rsidRPr="002877CF">
        <w:t xml:space="preserve"> sadzbu </w:t>
      </w:r>
      <w:r>
        <w:t xml:space="preserve">tzv. </w:t>
      </w:r>
      <w:proofErr w:type="spellStart"/>
      <w:r w:rsidRPr="002877CF">
        <w:t>vratiek</w:t>
      </w:r>
      <w:proofErr w:type="spellEnd"/>
      <w:r w:rsidRPr="002877CF">
        <w:t xml:space="preserve">. Pri navýšení </w:t>
      </w:r>
      <w:r>
        <w:t xml:space="preserve">tzv. </w:t>
      </w:r>
      <w:proofErr w:type="spellStart"/>
      <w:r w:rsidRPr="002877CF">
        <w:t>vratiek</w:t>
      </w:r>
      <w:proofErr w:type="spellEnd"/>
      <w:r w:rsidRPr="002877CF">
        <w:t xml:space="preserve"> na 3</w:t>
      </w:r>
      <w:r>
        <w:t xml:space="preserve">3 </w:t>
      </w:r>
      <w:r w:rsidRPr="002877CF">
        <w:t>%</w:t>
      </w:r>
      <w:r>
        <w:t xml:space="preserve"> </w:t>
      </w:r>
      <w:r w:rsidRPr="002877CF">
        <w:t>-</w:t>
      </w:r>
      <w:r>
        <w:t xml:space="preserve"> </w:t>
      </w:r>
      <w:proofErr w:type="spellStart"/>
      <w:r w:rsidRPr="002877CF">
        <w:t>nú</w:t>
      </w:r>
      <w:proofErr w:type="spellEnd"/>
      <w:r w:rsidRPr="002877CF">
        <w:t xml:space="preserve"> sadzbu sa projektuje navýšenie záujmu o participáciu na programe podľa 2 alternatív: o 5 % aj o</w:t>
      </w:r>
      <w:r>
        <w:t> </w:t>
      </w:r>
      <w:r w:rsidRPr="002877CF">
        <w:t>10</w:t>
      </w:r>
      <w:r>
        <w:t xml:space="preserve"> </w:t>
      </w:r>
      <w:r w:rsidRPr="002877CF">
        <w:t>%.  Toto číslo</w:t>
      </w:r>
      <w:r>
        <w:t xml:space="preserve"> je konzervatívny odhad, keďže</w:t>
      </w:r>
      <w:r w:rsidRPr="002877CF">
        <w:t xml:space="preserve"> ani z iných krajín zatiaľ nie je možné odpo</w:t>
      </w:r>
      <w:r>
        <w:t>zorovať</w:t>
      </w:r>
      <w:r w:rsidRPr="002877CF">
        <w:t xml:space="preserve"> o koľko sa po navýšení sadzby zvýšil záujem o túto službu</w:t>
      </w:r>
      <w:r>
        <w:t>, z dôvodu, že</w:t>
      </w:r>
      <w:r w:rsidRPr="002877CF">
        <w:t xml:space="preserve"> sa toto navýšenie udialo nedávno. </w:t>
      </w:r>
    </w:p>
    <w:p w:rsidR="00BC4D3C" w:rsidRPr="00405C93" w:rsidRDefault="00BC4D3C" w:rsidP="00BC4D3C">
      <w:pPr>
        <w:tabs>
          <w:tab w:val="num" w:pos="1080"/>
        </w:tabs>
        <w:jc w:val="both"/>
      </w:pPr>
      <w:r w:rsidRPr="00405C93">
        <w:t>Odhad pre rok 2020 je vypočítaný z lineárnej predikcie objemu projektov a zo sadzby 20 %. S nárastom objemu filmovej produkcie model počíta až od roku 2021.</w:t>
      </w:r>
    </w:p>
    <w:p w:rsidR="00BC4D3C" w:rsidRPr="002877CF" w:rsidRDefault="00BC4D3C" w:rsidP="00BC4D3C">
      <w:pPr>
        <w:tabs>
          <w:tab w:val="num" w:pos="1080"/>
        </w:tabs>
        <w:jc w:val="both"/>
      </w:pPr>
      <w:r w:rsidRPr="002877CF">
        <w:t xml:space="preserve">Výsledky predkladanej analýzy sú závislé najmä od dvoch predpokladov: je to jednak percentuálna miera návratnosti do štátnej pokladnice, jednak </w:t>
      </w:r>
      <w:proofErr w:type="spellStart"/>
      <w:r w:rsidRPr="002877CF">
        <w:t>multiplikačný</w:t>
      </w:r>
      <w:proofErr w:type="spellEnd"/>
      <w:r w:rsidRPr="002877CF">
        <w:t xml:space="preserve"> koeficient. </w:t>
      </w:r>
      <w:r>
        <w:br/>
      </w:r>
      <w:r w:rsidRPr="002877CF">
        <w:t xml:space="preserve">Pri zachovanej úrovni </w:t>
      </w:r>
      <w:proofErr w:type="spellStart"/>
      <w:r w:rsidRPr="002877CF">
        <w:t>multiplikátora</w:t>
      </w:r>
      <w:proofErr w:type="spellEnd"/>
      <w:r w:rsidRPr="002877CF">
        <w:t xml:space="preserve"> (=1,9) by sa príjmy a výdavky štátu vyrovnali, ak by miera návratnosti klesla na 16 %. Obdobne, ak by z daní a odvodov išlo naspäť do rozpočtu 18 % (spodná hranica odhadu), štát by mal vyrovnanú bilanciu pri </w:t>
      </w:r>
      <w:proofErr w:type="spellStart"/>
      <w:r w:rsidRPr="002877CF">
        <w:t>multiplikačnom</w:t>
      </w:r>
      <w:proofErr w:type="spellEnd"/>
      <w:r w:rsidRPr="002877CF">
        <w:t xml:space="preserve"> koeficiente = 1,7.</w:t>
      </w:r>
    </w:p>
    <w:p w:rsidR="00BC4D3C" w:rsidRPr="002877CF" w:rsidRDefault="00BC4D3C" w:rsidP="00BC4D3C">
      <w:pPr>
        <w:tabs>
          <w:tab w:val="num" w:pos="1080"/>
        </w:tabs>
        <w:jc w:val="both"/>
      </w:pPr>
    </w:p>
    <w:p w:rsidR="00BC4D3C" w:rsidRPr="002877CF" w:rsidRDefault="00BC4D3C" w:rsidP="00BC4D3C">
      <w:pPr>
        <w:tabs>
          <w:tab w:val="num" w:pos="1080"/>
        </w:tabs>
        <w:jc w:val="both"/>
      </w:pPr>
      <w:r w:rsidRPr="002877CF">
        <w:t xml:space="preserve">Model v tabuľke 2.2.4.1  je tiež založený na zjednodušujúcom predpoklade, </w:t>
      </w:r>
    </w:p>
    <w:p w:rsidR="00BC4D3C" w:rsidRPr="002877CF" w:rsidRDefault="00BC4D3C" w:rsidP="00BC4D3C">
      <w:pPr>
        <w:pStyle w:val="Odsekzoznamu"/>
        <w:widowControl/>
        <w:numPr>
          <w:ilvl w:val="0"/>
          <w:numId w:val="5"/>
        </w:numPr>
        <w:tabs>
          <w:tab w:val="num" w:pos="1080"/>
        </w:tabs>
        <w:adjustRightInd/>
        <w:jc w:val="both"/>
      </w:pPr>
      <w:r>
        <w:t>že všetky zaregistrované filmové projekty</w:t>
      </w:r>
      <w:r w:rsidRPr="002877CF">
        <w:t xml:space="preserve"> sa skutočne zrealizujú, </w:t>
      </w:r>
    </w:p>
    <w:p w:rsidR="00BC4D3C" w:rsidRPr="002877CF" w:rsidRDefault="00BC4D3C" w:rsidP="00BC4D3C">
      <w:pPr>
        <w:pStyle w:val="Odsekzoznamu"/>
        <w:widowControl/>
        <w:numPr>
          <w:ilvl w:val="0"/>
          <w:numId w:val="5"/>
        </w:numPr>
        <w:tabs>
          <w:tab w:val="num" w:pos="1080"/>
        </w:tabs>
        <w:adjustRightInd/>
        <w:jc w:val="both"/>
      </w:pPr>
      <w:r w:rsidRPr="002877CF">
        <w:t xml:space="preserve">že ich oprávnené náklady budú rovné plánovaným oprávneným nákladom, </w:t>
      </w:r>
    </w:p>
    <w:p w:rsidR="00BC4D3C" w:rsidRPr="002877CF" w:rsidRDefault="00BC4D3C" w:rsidP="00BC4D3C">
      <w:pPr>
        <w:pStyle w:val="Odsekzoznamu"/>
        <w:widowControl/>
        <w:numPr>
          <w:ilvl w:val="0"/>
          <w:numId w:val="5"/>
        </w:numPr>
        <w:tabs>
          <w:tab w:val="num" w:pos="1080"/>
        </w:tabs>
        <w:adjustRightInd/>
        <w:jc w:val="both"/>
      </w:pPr>
      <w:r w:rsidRPr="002877CF">
        <w:t>a že s</w:t>
      </w:r>
      <w:r>
        <w:t xml:space="preserve">i požiadajú o vyplatenie tzv. </w:t>
      </w:r>
      <w:proofErr w:type="spellStart"/>
      <w:r>
        <w:t>vratky</w:t>
      </w:r>
      <w:proofErr w:type="spellEnd"/>
      <w:r w:rsidRPr="002877CF">
        <w:t xml:space="preserve"> v tom istom roku, ako sa zaregistrovali. </w:t>
      </w:r>
    </w:p>
    <w:p w:rsidR="00BC4D3C" w:rsidRPr="002877CF" w:rsidRDefault="00BC4D3C" w:rsidP="00BC4D3C">
      <w:pPr>
        <w:tabs>
          <w:tab w:val="num" w:pos="1080"/>
        </w:tabs>
        <w:jc w:val="both"/>
      </w:pPr>
      <w:r w:rsidRPr="002877CF">
        <w:t xml:space="preserve">Hoci je pravdepodobnejšie, že si </w:t>
      </w:r>
      <w:r>
        <w:t xml:space="preserve">žiadatelia o podporu audiovizuálneho priemyslu </w:t>
      </w:r>
      <w:r w:rsidRPr="002877CF">
        <w:t xml:space="preserve">požiadajú </w:t>
      </w:r>
      <w:r>
        <w:br/>
      </w:r>
      <w:r w:rsidRPr="002877CF">
        <w:t xml:space="preserve">o preplatenie časti oprávnených nákladov až v ďalšom roku, pre projektované výdavky </w:t>
      </w:r>
      <w:r>
        <w:br/>
      </w:r>
      <w:r w:rsidRPr="002877CF">
        <w:t>v modeli to znamená iba odloženie vyplatenia do nasledujúceho obdobia.</w:t>
      </w:r>
    </w:p>
    <w:p w:rsidR="00BC4D3C" w:rsidRPr="002877CF" w:rsidRDefault="00BC4D3C" w:rsidP="00BC4D3C">
      <w:pPr>
        <w:tabs>
          <w:tab w:val="num" w:pos="1080"/>
        </w:tabs>
        <w:jc w:val="both"/>
      </w:pPr>
    </w:p>
    <w:p w:rsidR="00BC4D3C" w:rsidRPr="002877CF" w:rsidRDefault="00BC4D3C" w:rsidP="00BC4D3C">
      <w:pPr>
        <w:tabs>
          <w:tab w:val="num" w:pos="1080"/>
        </w:tabs>
        <w:jc w:val="both"/>
        <w:rPr>
          <w:b/>
        </w:rPr>
      </w:pPr>
      <w:r w:rsidRPr="002877CF">
        <w:t>Do výsledných dopadov na príjmy a výdavky štátu v Tabuľke 2.1 boli vybrané konzervatívne sumy</w:t>
      </w:r>
      <w:r>
        <w:t>,</w:t>
      </w:r>
      <w:r w:rsidRPr="002877CF">
        <w:t xml:space="preserve"> a to nasledovné. Pre analyzované roky bola pre príjem do štátneho rozpočtu a </w:t>
      </w:r>
      <w:r>
        <w:br/>
      </w:r>
      <w:r w:rsidRPr="002877CF">
        <w:t xml:space="preserve">pre </w:t>
      </w:r>
      <w:r>
        <w:t xml:space="preserve">tzv. </w:t>
      </w:r>
      <w:proofErr w:type="spellStart"/>
      <w:r w:rsidRPr="002877CF">
        <w:t>vratky</w:t>
      </w:r>
      <w:proofErr w:type="spellEnd"/>
      <w:r w:rsidRPr="002877CF">
        <w:t xml:space="preserve"> od štátu na strane nákladov vybraná suma </w:t>
      </w:r>
      <w:r w:rsidRPr="002877CF">
        <w:rPr>
          <w:b/>
        </w:rPr>
        <w:t>pri 5</w:t>
      </w:r>
      <w:r>
        <w:rPr>
          <w:b/>
        </w:rPr>
        <w:t xml:space="preserve"> </w:t>
      </w:r>
      <w:r w:rsidRPr="002877CF">
        <w:rPr>
          <w:b/>
        </w:rPr>
        <w:t>%</w:t>
      </w:r>
      <w:r>
        <w:rPr>
          <w:b/>
        </w:rPr>
        <w:t xml:space="preserve"> </w:t>
      </w:r>
      <w:r w:rsidRPr="002877CF">
        <w:rPr>
          <w:b/>
        </w:rPr>
        <w:t>-</w:t>
      </w:r>
      <w:r>
        <w:rPr>
          <w:b/>
        </w:rPr>
        <w:t xml:space="preserve"> </w:t>
      </w:r>
      <w:proofErr w:type="spellStart"/>
      <w:r w:rsidRPr="002877CF">
        <w:rPr>
          <w:b/>
        </w:rPr>
        <w:t>nom</w:t>
      </w:r>
      <w:proofErr w:type="spellEnd"/>
      <w:r w:rsidRPr="002877CF">
        <w:rPr>
          <w:b/>
        </w:rPr>
        <w:t xml:space="preserve"> ročnom navýšení objemu zaregistrovanej filmovej produkcie do Programu 5. </w:t>
      </w:r>
    </w:p>
    <w:p w:rsidR="00BC4D3C" w:rsidRPr="007D5748" w:rsidRDefault="00BC4D3C" w:rsidP="00BC4D3C">
      <w:pPr>
        <w:tabs>
          <w:tab w:val="num" w:pos="1080"/>
        </w:tabs>
        <w:jc w:val="both"/>
        <w:rPr>
          <w:bCs/>
          <w:szCs w:val="20"/>
        </w:rPr>
      </w:pPr>
    </w:p>
    <w:p w:rsidR="00BC4D3C" w:rsidRPr="007D5748" w:rsidRDefault="00BC4D3C" w:rsidP="00BC4D3C">
      <w:pPr>
        <w:tabs>
          <w:tab w:val="num" w:pos="1080"/>
        </w:tabs>
        <w:jc w:val="both"/>
        <w:rPr>
          <w:bCs/>
          <w:szCs w:val="20"/>
        </w:rPr>
        <w:sectPr w:rsidR="00BC4D3C" w:rsidRPr="007D5748" w:rsidSect="00BC4D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tbl>
      <w:tblPr>
        <w:tblW w:w="14474" w:type="dxa"/>
        <w:tblInd w:w="55" w:type="dxa"/>
        <w:tblCellMar>
          <w:left w:w="70" w:type="dxa"/>
          <w:right w:w="70" w:type="dxa"/>
        </w:tblCellMar>
        <w:tblLook w:val="04A0" w:firstRow="1" w:lastRow="0" w:firstColumn="1" w:lastColumn="0" w:noHBand="0" w:noVBand="1"/>
      </w:tblPr>
      <w:tblGrid>
        <w:gridCol w:w="2080"/>
        <w:gridCol w:w="1561"/>
        <w:gridCol w:w="410"/>
        <w:gridCol w:w="588"/>
        <w:gridCol w:w="682"/>
        <w:gridCol w:w="642"/>
        <w:gridCol w:w="682"/>
        <w:gridCol w:w="679"/>
        <w:gridCol w:w="679"/>
        <w:gridCol w:w="679"/>
        <w:gridCol w:w="679"/>
        <w:gridCol w:w="679"/>
        <w:gridCol w:w="683"/>
        <w:gridCol w:w="683"/>
        <w:gridCol w:w="683"/>
        <w:gridCol w:w="683"/>
        <w:gridCol w:w="683"/>
        <w:gridCol w:w="1066"/>
      </w:tblGrid>
      <w:tr w:rsidR="00BC4D3C" w:rsidRPr="00EB0F5B" w:rsidTr="00BC4D3C">
        <w:trPr>
          <w:trHeight w:val="707"/>
        </w:trPr>
        <w:tc>
          <w:tcPr>
            <w:tcW w:w="6638" w:type="dxa"/>
            <w:gridSpan w:val="7"/>
            <w:tcBorders>
              <w:top w:val="nil"/>
              <w:left w:val="nil"/>
              <w:bottom w:val="single" w:sz="4" w:space="0" w:color="auto"/>
              <w:right w:val="single" w:sz="4" w:space="0" w:color="000000"/>
            </w:tcBorders>
            <w:shd w:val="clear" w:color="auto" w:fill="auto"/>
            <w:noWrap/>
            <w:vAlign w:val="bottom"/>
            <w:hideMark/>
          </w:tcPr>
          <w:p w:rsidR="00BC4D3C" w:rsidRPr="00EB0F5B" w:rsidRDefault="00BC4D3C" w:rsidP="00BC4D3C">
            <w:pPr>
              <w:rPr>
                <w:rFonts w:ascii="Calibri" w:hAnsi="Calibri"/>
                <w:b/>
                <w:bCs/>
                <w:i/>
                <w:iCs/>
                <w:color w:val="000000"/>
                <w:sz w:val="18"/>
                <w:szCs w:val="18"/>
              </w:rPr>
            </w:pPr>
            <w:r w:rsidRPr="00EB0F5B">
              <w:rPr>
                <w:rFonts w:ascii="Calibri" w:hAnsi="Calibri"/>
                <w:b/>
                <w:bCs/>
                <w:i/>
                <w:iCs/>
                <w:color w:val="000000"/>
                <w:sz w:val="18"/>
                <w:szCs w:val="18"/>
              </w:rPr>
              <w:lastRenderedPageBreak/>
              <w:t>Tabuľka 2.2.4.1   (v mil. EUR)</w:t>
            </w:r>
          </w:p>
        </w:tc>
        <w:tc>
          <w:tcPr>
            <w:tcW w:w="3375" w:type="dxa"/>
            <w:gridSpan w:val="5"/>
            <w:tcBorders>
              <w:top w:val="single" w:sz="4" w:space="0" w:color="auto"/>
              <w:left w:val="nil"/>
              <w:bottom w:val="single" w:sz="4" w:space="0" w:color="auto"/>
              <w:right w:val="single" w:sz="4" w:space="0" w:color="000000"/>
            </w:tcBorders>
            <w:shd w:val="clear" w:color="auto" w:fill="auto"/>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predikcia - lineárny rast pri nezmenenej sadzbe 20 %</w:t>
            </w:r>
          </w:p>
        </w:tc>
        <w:tc>
          <w:tcPr>
            <w:tcW w:w="2037" w:type="dxa"/>
            <w:gridSpan w:val="3"/>
            <w:tcBorders>
              <w:top w:val="single" w:sz="4" w:space="0" w:color="auto"/>
              <w:left w:val="nil"/>
              <w:bottom w:val="single" w:sz="4" w:space="0" w:color="auto"/>
              <w:right w:val="single" w:sz="4" w:space="0" w:color="000000"/>
            </w:tcBorders>
            <w:shd w:val="clear" w:color="000000" w:fill="F2F2F2"/>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predikcia - stimulácia rastu 5% pri zmene sadzby na 33 %</w:t>
            </w:r>
          </w:p>
        </w:tc>
        <w:tc>
          <w:tcPr>
            <w:tcW w:w="2424" w:type="dxa"/>
            <w:gridSpan w:val="3"/>
            <w:tcBorders>
              <w:top w:val="single" w:sz="4" w:space="0" w:color="auto"/>
              <w:left w:val="nil"/>
              <w:bottom w:val="single" w:sz="4" w:space="0" w:color="auto"/>
              <w:right w:val="single" w:sz="4" w:space="0" w:color="000000"/>
            </w:tcBorders>
            <w:shd w:val="clear" w:color="000000" w:fill="F2F2F2"/>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predikcia - stimulácia rastu 10% pri zmene sadzby na 33 %</w:t>
            </w:r>
          </w:p>
        </w:tc>
      </w:tr>
      <w:tr w:rsidR="00BC4D3C" w:rsidRPr="00EB0F5B" w:rsidTr="00BC4D3C">
        <w:trPr>
          <w:trHeight w:val="300"/>
        </w:trPr>
        <w:tc>
          <w:tcPr>
            <w:tcW w:w="36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4D3C" w:rsidRPr="00EB0F5B" w:rsidRDefault="00BC4D3C" w:rsidP="00BC4D3C">
            <w:pPr>
              <w:rPr>
                <w:rFonts w:ascii="Calibri" w:hAnsi="Calibri"/>
                <w:color w:val="000000"/>
                <w:sz w:val="18"/>
                <w:szCs w:val="18"/>
              </w:rPr>
            </w:pPr>
            <w:r w:rsidRPr="00EB0F5B">
              <w:rPr>
                <w:rFonts w:ascii="Calibri" w:hAnsi="Calibri"/>
                <w:color w:val="000000"/>
                <w:sz w:val="18"/>
                <w:szCs w:val="18"/>
              </w:rPr>
              <w:t>rok</w:t>
            </w:r>
          </w:p>
        </w:tc>
        <w:tc>
          <w:tcPr>
            <w:tcW w:w="410"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 </w:t>
            </w:r>
          </w:p>
        </w:tc>
        <w:tc>
          <w:tcPr>
            <w:tcW w:w="585" w:type="dxa"/>
            <w:tcBorders>
              <w:top w:val="nil"/>
              <w:left w:val="nil"/>
              <w:bottom w:val="nil"/>
              <w:right w:val="single" w:sz="4" w:space="0" w:color="auto"/>
            </w:tcBorders>
            <w:shd w:val="clear" w:color="auto" w:fill="auto"/>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2015</w:t>
            </w:r>
          </w:p>
        </w:tc>
        <w:tc>
          <w:tcPr>
            <w:tcW w:w="682" w:type="dxa"/>
            <w:tcBorders>
              <w:top w:val="nil"/>
              <w:left w:val="nil"/>
              <w:bottom w:val="nil"/>
              <w:right w:val="single" w:sz="4" w:space="0" w:color="auto"/>
            </w:tcBorders>
            <w:shd w:val="clear" w:color="auto" w:fill="auto"/>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2016</w:t>
            </w:r>
          </w:p>
        </w:tc>
        <w:tc>
          <w:tcPr>
            <w:tcW w:w="638" w:type="dxa"/>
            <w:tcBorders>
              <w:top w:val="nil"/>
              <w:left w:val="nil"/>
              <w:bottom w:val="nil"/>
              <w:right w:val="single" w:sz="4" w:space="0" w:color="auto"/>
            </w:tcBorders>
            <w:shd w:val="clear" w:color="auto" w:fill="auto"/>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2017</w:t>
            </w:r>
          </w:p>
        </w:tc>
        <w:tc>
          <w:tcPr>
            <w:tcW w:w="682" w:type="dxa"/>
            <w:tcBorders>
              <w:top w:val="nil"/>
              <w:left w:val="nil"/>
              <w:bottom w:val="nil"/>
              <w:right w:val="single" w:sz="4" w:space="0" w:color="auto"/>
            </w:tcBorders>
            <w:shd w:val="clear" w:color="auto" w:fill="auto"/>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2018</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2019</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2020</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2021</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2022</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2023</w:t>
            </w:r>
          </w:p>
        </w:tc>
        <w:tc>
          <w:tcPr>
            <w:tcW w:w="679" w:type="dxa"/>
            <w:tcBorders>
              <w:top w:val="nil"/>
              <w:left w:val="nil"/>
              <w:bottom w:val="single" w:sz="4" w:space="0" w:color="auto"/>
              <w:right w:val="single" w:sz="4" w:space="0" w:color="auto"/>
            </w:tcBorders>
            <w:shd w:val="clear" w:color="000000" w:fill="F2F2F2"/>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2021</w:t>
            </w:r>
          </w:p>
        </w:tc>
        <w:tc>
          <w:tcPr>
            <w:tcW w:w="679" w:type="dxa"/>
            <w:tcBorders>
              <w:top w:val="nil"/>
              <w:left w:val="nil"/>
              <w:bottom w:val="single" w:sz="4" w:space="0" w:color="auto"/>
              <w:right w:val="single" w:sz="4" w:space="0" w:color="auto"/>
            </w:tcBorders>
            <w:shd w:val="clear" w:color="000000" w:fill="F2F2F2"/>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2022</w:t>
            </w:r>
          </w:p>
        </w:tc>
        <w:tc>
          <w:tcPr>
            <w:tcW w:w="679" w:type="dxa"/>
            <w:tcBorders>
              <w:top w:val="nil"/>
              <w:left w:val="nil"/>
              <w:bottom w:val="single" w:sz="4" w:space="0" w:color="auto"/>
              <w:right w:val="single" w:sz="4" w:space="0" w:color="auto"/>
            </w:tcBorders>
            <w:shd w:val="clear" w:color="000000" w:fill="F2F2F2"/>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2023</w:t>
            </w:r>
          </w:p>
        </w:tc>
        <w:tc>
          <w:tcPr>
            <w:tcW w:w="679" w:type="dxa"/>
            <w:tcBorders>
              <w:top w:val="nil"/>
              <w:left w:val="nil"/>
              <w:bottom w:val="single" w:sz="4" w:space="0" w:color="auto"/>
              <w:right w:val="single" w:sz="4" w:space="0" w:color="auto"/>
            </w:tcBorders>
            <w:shd w:val="clear" w:color="000000" w:fill="F2F2F2"/>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2021</w:t>
            </w:r>
          </w:p>
        </w:tc>
        <w:tc>
          <w:tcPr>
            <w:tcW w:w="679" w:type="dxa"/>
            <w:tcBorders>
              <w:top w:val="nil"/>
              <w:left w:val="nil"/>
              <w:bottom w:val="single" w:sz="4" w:space="0" w:color="auto"/>
              <w:right w:val="single" w:sz="4" w:space="0" w:color="auto"/>
            </w:tcBorders>
            <w:shd w:val="clear" w:color="000000" w:fill="F2F2F2"/>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2022</w:t>
            </w:r>
          </w:p>
        </w:tc>
        <w:tc>
          <w:tcPr>
            <w:tcW w:w="1066" w:type="dxa"/>
            <w:tcBorders>
              <w:top w:val="nil"/>
              <w:left w:val="nil"/>
              <w:bottom w:val="single" w:sz="4" w:space="0" w:color="auto"/>
              <w:right w:val="single" w:sz="4" w:space="0" w:color="auto"/>
            </w:tcBorders>
            <w:shd w:val="clear" w:color="000000" w:fill="F2F2F2"/>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2023</w:t>
            </w:r>
          </w:p>
        </w:tc>
      </w:tr>
      <w:tr w:rsidR="00BC4D3C" w:rsidRPr="00EB0F5B" w:rsidTr="00BC4D3C">
        <w:trPr>
          <w:trHeight w:val="656"/>
        </w:trPr>
        <w:tc>
          <w:tcPr>
            <w:tcW w:w="364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C4D3C" w:rsidRPr="00EB0F5B" w:rsidRDefault="00BC4D3C" w:rsidP="00BC4D3C">
            <w:pPr>
              <w:rPr>
                <w:rFonts w:ascii="Calibri" w:hAnsi="Calibri"/>
                <w:color w:val="000000"/>
                <w:sz w:val="18"/>
                <w:szCs w:val="18"/>
              </w:rPr>
            </w:pPr>
            <w:r w:rsidRPr="00EB0F5B">
              <w:rPr>
                <w:rFonts w:ascii="Calibri" w:hAnsi="Calibri"/>
                <w:color w:val="000000"/>
                <w:sz w:val="18"/>
                <w:szCs w:val="18"/>
              </w:rPr>
              <w:t>objem zaregistrovanej filmovej produkcie pre program 5 AVF (celkový rozpočet plánovaný na produkciu zaregistrovaných filmov)*</w:t>
            </w:r>
          </w:p>
        </w:tc>
        <w:tc>
          <w:tcPr>
            <w:tcW w:w="410" w:type="dxa"/>
            <w:tcBorders>
              <w:top w:val="nil"/>
              <w:left w:val="nil"/>
              <w:bottom w:val="single" w:sz="4" w:space="0" w:color="auto"/>
              <w:right w:val="nil"/>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w:t>
            </w:r>
          </w:p>
        </w:tc>
        <w:tc>
          <w:tcPr>
            <w:tcW w:w="58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60,00</w:t>
            </w:r>
          </w:p>
        </w:tc>
        <w:tc>
          <w:tcPr>
            <w:tcW w:w="682" w:type="dxa"/>
            <w:tcBorders>
              <w:top w:val="single" w:sz="8" w:space="0" w:color="auto"/>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86,21</w:t>
            </w:r>
          </w:p>
        </w:tc>
        <w:tc>
          <w:tcPr>
            <w:tcW w:w="638" w:type="dxa"/>
            <w:tcBorders>
              <w:top w:val="single" w:sz="8" w:space="0" w:color="auto"/>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100,89</w:t>
            </w:r>
          </w:p>
        </w:tc>
        <w:tc>
          <w:tcPr>
            <w:tcW w:w="682" w:type="dxa"/>
            <w:tcBorders>
              <w:top w:val="single" w:sz="8" w:space="0" w:color="auto"/>
              <w:left w:val="nil"/>
              <w:bottom w:val="single" w:sz="4" w:space="0" w:color="auto"/>
              <w:right w:val="single" w:sz="8"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72,39</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92,83</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98,02</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103,20</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108,39</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113,57</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108,36</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113,81</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119,25</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113,52</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119,23</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124,93</w:t>
            </w:r>
          </w:p>
        </w:tc>
      </w:tr>
      <w:tr w:rsidR="00BC4D3C" w:rsidRPr="00EB0F5B" w:rsidTr="00BC4D3C">
        <w:trPr>
          <w:trHeight w:val="555"/>
        </w:trPr>
        <w:tc>
          <w:tcPr>
            <w:tcW w:w="364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C4D3C" w:rsidRPr="00EB0F5B" w:rsidRDefault="00BC4D3C" w:rsidP="00BC4D3C">
            <w:pPr>
              <w:rPr>
                <w:rFonts w:ascii="Calibri" w:hAnsi="Calibri"/>
                <w:color w:val="000000"/>
                <w:sz w:val="18"/>
                <w:szCs w:val="18"/>
              </w:rPr>
            </w:pPr>
            <w:r w:rsidRPr="00EB0F5B">
              <w:rPr>
                <w:rFonts w:ascii="Calibri" w:hAnsi="Calibri"/>
                <w:color w:val="000000"/>
                <w:sz w:val="18"/>
                <w:szCs w:val="18"/>
              </w:rPr>
              <w:t>percento oprávnených výdavkov k celkovému objemu**</w:t>
            </w:r>
          </w:p>
        </w:tc>
        <w:tc>
          <w:tcPr>
            <w:tcW w:w="410" w:type="dxa"/>
            <w:tcBorders>
              <w:top w:val="nil"/>
              <w:left w:val="nil"/>
              <w:bottom w:val="single" w:sz="4" w:space="0" w:color="auto"/>
              <w:right w:val="nil"/>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w:t>
            </w:r>
          </w:p>
        </w:tc>
        <w:tc>
          <w:tcPr>
            <w:tcW w:w="585" w:type="dxa"/>
            <w:tcBorders>
              <w:top w:val="nil"/>
              <w:left w:val="single" w:sz="8" w:space="0" w:color="auto"/>
              <w:bottom w:val="single" w:sz="8"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3,67%</w:t>
            </w:r>
          </w:p>
        </w:tc>
        <w:tc>
          <w:tcPr>
            <w:tcW w:w="682" w:type="dxa"/>
            <w:tcBorders>
              <w:top w:val="nil"/>
              <w:left w:val="nil"/>
              <w:bottom w:val="single" w:sz="8"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26,05%</w:t>
            </w:r>
          </w:p>
        </w:tc>
        <w:tc>
          <w:tcPr>
            <w:tcW w:w="638" w:type="dxa"/>
            <w:tcBorders>
              <w:top w:val="nil"/>
              <w:left w:val="nil"/>
              <w:bottom w:val="single" w:sz="8"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8,47%</w:t>
            </w:r>
          </w:p>
        </w:tc>
        <w:tc>
          <w:tcPr>
            <w:tcW w:w="682" w:type="dxa"/>
            <w:tcBorders>
              <w:top w:val="nil"/>
              <w:left w:val="nil"/>
              <w:bottom w:val="single" w:sz="8" w:space="0" w:color="auto"/>
              <w:right w:val="single" w:sz="8"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25,65%</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16,00%</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16,00%</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16,00%</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16,00%</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16,00%</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16,00%</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16,00%</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16,00%</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16,00%</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16,00%</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16,00%</w:t>
            </w:r>
          </w:p>
        </w:tc>
      </w:tr>
      <w:tr w:rsidR="00BC4D3C" w:rsidRPr="00EB0F5B" w:rsidTr="00BC4D3C">
        <w:trPr>
          <w:trHeight w:val="750"/>
        </w:trPr>
        <w:tc>
          <w:tcPr>
            <w:tcW w:w="364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C4D3C" w:rsidRPr="00EB0F5B" w:rsidRDefault="00BC4D3C" w:rsidP="00BC4D3C">
            <w:pPr>
              <w:rPr>
                <w:rFonts w:ascii="Calibri" w:hAnsi="Calibri"/>
                <w:color w:val="000000"/>
                <w:sz w:val="18"/>
                <w:szCs w:val="18"/>
              </w:rPr>
            </w:pPr>
            <w:r w:rsidRPr="00EB0F5B">
              <w:rPr>
                <w:rFonts w:ascii="Calibri" w:hAnsi="Calibri"/>
                <w:color w:val="000000"/>
                <w:sz w:val="18"/>
                <w:szCs w:val="18"/>
              </w:rPr>
              <w:t>maximálny objem oprávnených výdavkov (ak by sa všetky registrované projekty realizovali) (riadok 1 x 2)</w:t>
            </w:r>
          </w:p>
        </w:tc>
        <w:tc>
          <w:tcPr>
            <w:tcW w:w="410"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w:t>
            </w:r>
          </w:p>
        </w:tc>
        <w:tc>
          <w:tcPr>
            <w:tcW w:w="58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2,20</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22,46</w:t>
            </w:r>
          </w:p>
        </w:tc>
        <w:tc>
          <w:tcPr>
            <w:tcW w:w="638"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8,54</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18,57</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14,85</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15,68</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16,51</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17,34</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18,17</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17,34</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18,21</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19,08</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18,16</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19,08</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19,99</w:t>
            </w:r>
          </w:p>
        </w:tc>
      </w:tr>
      <w:tr w:rsidR="00BC4D3C" w:rsidRPr="00EB0F5B" w:rsidTr="00BC4D3C">
        <w:trPr>
          <w:trHeight w:val="360"/>
        </w:trPr>
        <w:tc>
          <w:tcPr>
            <w:tcW w:w="364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C4D3C" w:rsidRPr="00EB0F5B" w:rsidRDefault="00BC4D3C" w:rsidP="00BC4D3C">
            <w:pPr>
              <w:rPr>
                <w:rFonts w:ascii="Calibri" w:hAnsi="Calibri"/>
                <w:color w:val="000000"/>
                <w:sz w:val="18"/>
                <w:szCs w:val="18"/>
              </w:rPr>
            </w:pPr>
            <w:r w:rsidRPr="00EB0F5B">
              <w:rPr>
                <w:rFonts w:ascii="Calibri" w:hAnsi="Calibri"/>
                <w:color w:val="000000"/>
                <w:sz w:val="18"/>
                <w:szCs w:val="18"/>
              </w:rPr>
              <w:t xml:space="preserve">percentuálna sadzba pre </w:t>
            </w:r>
            <w:proofErr w:type="spellStart"/>
            <w:r w:rsidRPr="00EB0F5B">
              <w:rPr>
                <w:rFonts w:ascii="Calibri" w:hAnsi="Calibri"/>
                <w:color w:val="000000"/>
                <w:sz w:val="18"/>
                <w:szCs w:val="18"/>
              </w:rPr>
              <w:t>vratky</w:t>
            </w:r>
            <w:proofErr w:type="spellEnd"/>
          </w:p>
        </w:tc>
        <w:tc>
          <w:tcPr>
            <w:tcW w:w="410"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4</w:t>
            </w:r>
          </w:p>
        </w:tc>
        <w:tc>
          <w:tcPr>
            <w:tcW w:w="58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i/>
                <w:iCs/>
                <w:color w:val="000000"/>
                <w:sz w:val="18"/>
                <w:szCs w:val="18"/>
              </w:rPr>
            </w:pPr>
            <w:r w:rsidRPr="00EB0F5B">
              <w:rPr>
                <w:rFonts w:ascii="Calibri" w:hAnsi="Calibri"/>
                <w:i/>
                <w:iCs/>
                <w:color w:val="000000"/>
                <w:sz w:val="18"/>
                <w:szCs w:val="18"/>
              </w:rPr>
              <w:t>20%</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i/>
                <w:iCs/>
                <w:color w:val="000000"/>
                <w:sz w:val="18"/>
                <w:szCs w:val="18"/>
              </w:rPr>
            </w:pPr>
            <w:r w:rsidRPr="00EB0F5B">
              <w:rPr>
                <w:rFonts w:ascii="Calibri" w:hAnsi="Calibri"/>
                <w:i/>
                <w:iCs/>
                <w:color w:val="000000"/>
                <w:sz w:val="18"/>
                <w:szCs w:val="18"/>
              </w:rPr>
              <w:t>20%</w:t>
            </w:r>
          </w:p>
        </w:tc>
        <w:tc>
          <w:tcPr>
            <w:tcW w:w="638"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i/>
                <w:iCs/>
                <w:color w:val="000000"/>
                <w:sz w:val="18"/>
                <w:szCs w:val="18"/>
              </w:rPr>
            </w:pPr>
            <w:r w:rsidRPr="00EB0F5B">
              <w:rPr>
                <w:rFonts w:ascii="Calibri" w:hAnsi="Calibri"/>
                <w:i/>
                <w:iCs/>
                <w:color w:val="000000"/>
                <w:sz w:val="18"/>
                <w:szCs w:val="18"/>
              </w:rPr>
              <w:t>20%</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i/>
                <w:iCs/>
                <w:color w:val="000000"/>
                <w:sz w:val="18"/>
                <w:szCs w:val="18"/>
              </w:rPr>
            </w:pPr>
            <w:r w:rsidRPr="00EB0F5B">
              <w:rPr>
                <w:rFonts w:ascii="Calibri" w:hAnsi="Calibri"/>
                <w:i/>
                <w:iCs/>
                <w:color w:val="000000"/>
                <w:sz w:val="18"/>
                <w:szCs w:val="18"/>
              </w:rPr>
              <w:t>20%</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i/>
                <w:iCs/>
                <w:color w:val="000000"/>
                <w:sz w:val="18"/>
                <w:szCs w:val="18"/>
              </w:rPr>
            </w:pPr>
            <w:r w:rsidRPr="00EB0F5B">
              <w:rPr>
                <w:rFonts w:ascii="Calibri" w:hAnsi="Calibri"/>
                <w:i/>
                <w:iCs/>
                <w:color w:val="000000"/>
                <w:sz w:val="18"/>
                <w:szCs w:val="18"/>
              </w:rPr>
              <w:t>20%</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i/>
                <w:iCs/>
                <w:color w:val="000000"/>
                <w:sz w:val="18"/>
                <w:szCs w:val="18"/>
              </w:rPr>
            </w:pPr>
            <w:r w:rsidRPr="00EB0F5B">
              <w:rPr>
                <w:rFonts w:ascii="Calibri" w:hAnsi="Calibri"/>
                <w:i/>
                <w:iCs/>
                <w:color w:val="000000"/>
                <w:sz w:val="18"/>
                <w:szCs w:val="18"/>
              </w:rPr>
              <w:t>20%</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i/>
                <w:iCs/>
                <w:color w:val="000000"/>
                <w:sz w:val="18"/>
                <w:szCs w:val="18"/>
              </w:rPr>
            </w:pPr>
            <w:r w:rsidRPr="00EB0F5B">
              <w:rPr>
                <w:rFonts w:ascii="Calibri" w:hAnsi="Calibri"/>
                <w:i/>
                <w:iCs/>
                <w:color w:val="000000"/>
                <w:sz w:val="18"/>
                <w:szCs w:val="18"/>
              </w:rPr>
              <w:t>20%</w:t>
            </w:r>
          </w:p>
        </w:tc>
        <w:tc>
          <w:tcPr>
            <w:tcW w:w="675" w:type="dxa"/>
            <w:tcBorders>
              <w:top w:val="nil"/>
              <w:left w:val="nil"/>
              <w:bottom w:val="nil"/>
              <w:right w:val="single" w:sz="4" w:space="0" w:color="auto"/>
            </w:tcBorders>
            <w:shd w:val="clear" w:color="auto" w:fill="auto"/>
            <w:noWrap/>
            <w:vAlign w:val="bottom"/>
            <w:hideMark/>
          </w:tcPr>
          <w:p w:rsidR="00BC4D3C" w:rsidRPr="00EB0F5B" w:rsidRDefault="00BC4D3C" w:rsidP="00BC4D3C">
            <w:pPr>
              <w:jc w:val="center"/>
              <w:rPr>
                <w:rFonts w:ascii="Calibri" w:hAnsi="Calibri"/>
                <w:i/>
                <w:iCs/>
                <w:color w:val="000000"/>
                <w:sz w:val="18"/>
                <w:szCs w:val="18"/>
              </w:rPr>
            </w:pPr>
            <w:r w:rsidRPr="00EB0F5B">
              <w:rPr>
                <w:rFonts w:ascii="Calibri" w:hAnsi="Calibri"/>
                <w:i/>
                <w:iCs/>
                <w:color w:val="000000"/>
                <w:sz w:val="18"/>
                <w:szCs w:val="18"/>
              </w:rPr>
              <w:t>20%</w:t>
            </w:r>
          </w:p>
        </w:tc>
        <w:tc>
          <w:tcPr>
            <w:tcW w:w="675" w:type="dxa"/>
            <w:tcBorders>
              <w:top w:val="nil"/>
              <w:left w:val="nil"/>
              <w:bottom w:val="nil"/>
              <w:right w:val="single" w:sz="4" w:space="0" w:color="auto"/>
            </w:tcBorders>
            <w:shd w:val="clear" w:color="auto" w:fill="auto"/>
            <w:noWrap/>
            <w:vAlign w:val="bottom"/>
            <w:hideMark/>
          </w:tcPr>
          <w:p w:rsidR="00BC4D3C" w:rsidRPr="00EB0F5B" w:rsidRDefault="00BC4D3C" w:rsidP="00BC4D3C">
            <w:pPr>
              <w:jc w:val="center"/>
              <w:rPr>
                <w:rFonts w:ascii="Calibri" w:hAnsi="Calibri"/>
                <w:i/>
                <w:iCs/>
                <w:color w:val="000000"/>
                <w:sz w:val="18"/>
                <w:szCs w:val="18"/>
              </w:rPr>
            </w:pPr>
            <w:r w:rsidRPr="00EB0F5B">
              <w:rPr>
                <w:rFonts w:ascii="Calibri" w:hAnsi="Calibri"/>
                <w:i/>
                <w:iCs/>
                <w:color w:val="000000"/>
                <w:sz w:val="18"/>
                <w:szCs w:val="18"/>
              </w:rPr>
              <w:t>20%</w:t>
            </w:r>
          </w:p>
        </w:tc>
        <w:tc>
          <w:tcPr>
            <w:tcW w:w="679" w:type="dxa"/>
            <w:tcBorders>
              <w:top w:val="nil"/>
              <w:left w:val="nil"/>
              <w:bottom w:val="nil"/>
              <w:right w:val="single" w:sz="4" w:space="0" w:color="auto"/>
            </w:tcBorders>
            <w:shd w:val="clear" w:color="000000" w:fill="E7E6E6"/>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33%</w:t>
            </w:r>
          </w:p>
        </w:tc>
        <w:tc>
          <w:tcPr>
            <w:tcW w:w="679" w:type="dxa"/>
            <w:tcBorders>
              <w:top w:val="nil"/>
              <w:left w:val="nil"/>
              <w:bottom w:val="nil"/>
              <w:right w:val="single" w:sz="4" w:space="0" w:color="auto"/>
            </w:tcBorders>
            <w:shd w:val="clear" w:color="000000" w:fill="E7E6E6"/>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33%</w:t>
            </w:r>
          </w:p>
        </w:tc>
        <w:tc>
          <w:tcPr>
            <w:tcW w:w="679" w:type="dxa"/>
            <w:tcBorders>
              <w:top w:val="nil"/>
              <w:left w:val="nil"/>
              <w:bottom w:val="nil"/>
              <w:right w:val="single" w:sz="4" w:space="0" w:color="auto"/>
            </w:tcBorders>
            <w:shd w:val="clear" w:color="000000" w:fill="E7E6E6"/>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33%</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33%</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33%</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i/>
                <w:iCs/>
                <w:color w:val="000000"/>
                <w:sz w:val="18"/>
                <w:szCs w:val="18"/>
              </w:rPr>
            </w:pPr>
            <w:r w:rsidRPr="00EB0F5B">
              <w:rPr>
                <w:rFonts w:ascii="Calibri" w:hAnsi="Calibri"/>
                <w:b/>
                <w:bCs/>
                <w:i/>
                <w:iCs/>
                <w:color w:val="000000"/>
                <w:sz w:val="18"/>
                <w:szCs w:val="18"/>
              </w:rPr>
              <w:t>33%</w:t>
            </w:r>
          </w:p>
        </w:tc>
      </w:tr>
      <w:tr w:rsidR="00BC4D3C" w:rsidRPr="00EB0F5B" w:rsidTr="00BC4D3C">
        <w:trPr>
          <w:trHeight w:val="1290"/>
        </w:trPr>
        <w:tc>
          <w:tcPr>
            <w:tcW w:w="364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C4D3C" w:rsidRPr="00EB0F5B" w:rsidRDefault="00BC4D3C" w:rsidP="00BC4D3C">
            <w:pPr>
              <w:rPr>
                <w:rFonts w:ascii="Calibri" w:hAnsi="Calibri"/>
                <w:color w:val="000000"/>
                <w:sz w:val="18"/>
                <w:szCs w:val="18"/>
              </w:rPr>
            </w:pPr>
            <w:r w:rsidRPr="00EB0F5B">
              <w:rPr>
                <w:rFonts w:ascii="Calibri" w:hAnsi="Calibri"/>
                <w:color w:val="000000"/>
                <w:sz w:val="18"/>
                <w:szCs w:val="18"/>
              </w:rPr>
              <w:t xml:space="preserve">maximálny objem vrátených oprávnených výdavkov (objem </w:t>
            </w:r>
            <w:proofErr w:type="spellStart"/>
            <w:r w:rsidRPr="00EB0F5B">
              <w:rPr>
                <w:rFonts w:ascii="Calibri" w:hAnsi="Calibri"/>
                <w:color w:val="000000"/>
                <w:sz w:val="18"/>
                <w:szCs w:val="18"/>
              </w:rPr>
              <w:t>vratiek</w:t>
            </w:r>
            <w:proofErr w:type="spellEnd"/>
            <w:r w:rsidRPr="00EB0F5B">
              <w:rPr>
                <w:rFonts w:ascii="Calibri" w:hAnsi="Calibri"/>
                <w:color w:val="000000"/>
                <w:sz w:val="18"/>
                <w:szCs w:val="18"/>
              </w:rPr>
              <w:t xml:space="preserve">, ak budú všetky zaregistrované filmové projekty zrealizované a splnia podmienky pre </w:t>
            </w:r>
            <w:proofErr w:type="spellStart"/>
            <w:r w:rsidRPr="00EB0F5B">
              <w:rPr>
                <w:rFonts w:ascii="Calibri" w:hAnsi="Calibri"/>
                <w:color w:val="000000"/>
                <w:sz w:val="18"/>
                <w:szCs w:val="18"/>
              </w:rPr>
              <w:t>vratky</w:t>
            </w:r>
            <w:proofErr w:type="spellEnd"/>
            <w:r w:rsidRPr="00EB0F5B">
              <w:rPr>
                <w:rFonts w:ascii="Calibri" w:hAnsi="Calibri"/>
                <w:color w:val="000000"/>
                <w:sz w:val="18"/>
                <w:szCs w:val="18"/>
              </w:rPr>
              <w:t>) = výdavok štátu (riadok 3x4)</w:t>
            </w:r>
          </w:p>
        </w:tc>
        <w:tc>
          <w:tcPr>
            <w:tcW w:w="410"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5</w:t>
            </w:r>
          </w:p>
        </w:tc>
        <w:tc>
          <w:tcPr>
            <w:tcW w:w="58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0,44</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4,49</w:t>
            </w:r>
          </w:p>
        </w:tc>
        <w:tc>
          <w:tcPr>
            <w:tcW w:w="638"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1,71</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3,71</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2,97</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3,14</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3,30</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3,47</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3,63</w:t>
            </w:r>
          </w:p>
        </w:tc>
        <w:tc>
          <w:tcPr>
            <w:tcW w:w="679" w:type="dxa"/>
            <w:tcBorders>
              <w:top w:val="single" w:sz="4" w:space="0" w:color="auto"/>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5,72</w:t>
            </w:r>
          </w:p>
        </w:tc>
        <w:tc>
          <w:tcPr>
            <w:tcW w:w="679" w:type="dxa"/>
            <w:tcBorders>
              <w:top w:val="single" w:sz="4" w:space="0" w:color="auto"/>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6,01</w:t>
            </w:r>
          </w:p>
        </w:tc>
        <w:tc>
          <w:tcPr>
            <w:tcW w:w="679" w:type="dxa"/>
            <w:tcBorders>
              <w:top w:val="single" w:sz="4" w:space="0" w:color="auto"/>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6,30</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5,99</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6,30</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6,60</w:t>
            </w:r>
          </w:p>
        </w:tc>
      </w:tr>
      <w:tr w:rsidR="00BC4D3C" w:rsidRPr="00EB0F5B" w:rsidTr="00BC4D3C">
        <w:trPr>
          <w:trHeight w:val="674"/>
        </w:trPr>
        <w:tc>
          <w:tcPr>
            <w:tcW w:w="364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C4D3C" w:rsidRPr="00EB0F5B" w:rsidRDefault="00BC4D3C" w:rsidP="00BC4D3C">
            <w:pPr>
              <w:rPr>
                <w:rFonts w:ascii="Calibri" w:hAnsi="Calibri"/>
                <w:color w:val="000000"/>
                <w:sz w:val="18"/>
                <w:szCs w:val="18"/>
              </w:rPr>
            </w:pPr>
            <w:proofErr w:type="spellStart"/>
            <w:r w:rsidRPr="00EB0F5B">
              <w:rPr>
                <w:rFonts w:ascii="Calibri" w:hAnsi="Calibri"/>
                <w:color w:val="000000"/>
                <w:sz w:val="18"/>
                <w:szCs w:val="18"/>
              </w:rPr>
              <w:t>multiplikačný</w:t>
            </w:r>
            <w:proofErr w:type="spellEnd"/>
            <w:r w:rsidRPr="00EB0F5B">
              <w:rPr>
                <w:rFonts w:ascii="Calibri" w:hAnsi="Calibri"/>
                <w:color w:val="000000"/>
                <w:sz w:val="18"/>
                <w:szCs w:val="18"/>
              </w:rPr>
              <w:t xml:space="preserve"> ekonomický efekt oprávnených výdavkov = celkový ekonomický dopad (odhad </w:t>
            </w:r>
            <w:proofErr w:type="spellStart"/>
            <w:r w:rsidRPr="00EB0F5B">
              <w:rPr>
                <w:rFonts w:ascii="Calibri" w:hAnsi="Calibri"/>
                <w:color w:val="000000"/>
                <w:sz w:val="18"/>
                <w:szCs w:val="18"/>
              </w:rPr>
              <w:t>multiplikátora</w:t>
            </w:r>
            <w:proofErr w:type="spellEnd"/>
            <w:r w:rsidRPr="00EB0F5B">
              <w:rPr>
                <w:rFonts w:ascii="Calibri" w:hAnsi="Calibri"/>
                <w:color w:val="000000"/>
                <w:sz w:val="18"/>
                <w:szCs w:val="18"/>
              </w:rPr>
              <w:t xml:space="preserve"> 1,9)*** (1,9 x riadok 3)</w:t>
            </w:r>
          </w:p>
        </w:tc>
        <w:tc>
          <w:tcPr>
            <w:tcW w:w="410"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w:t>
            </w:r>
          </w:p>
        </w:tc>
        <w:tc>
          <w:tcPr>
            <w:tcW w:w="58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4,18</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42,67</w:t>
            </w:r>
          </w:p>
        </w:tc>
        <w:tc>
          <w:tcPr>
            <w:tcW w:w="638"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16,23</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35,28</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28,22</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29,80</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31,37</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32,95</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34,53</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32,94</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34,60</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36,25</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34,51</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36,25</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37,98</w:t>
            </w:r>
          </w:p>
        </w:tc>
      </w:tr>
      <w:tr w:rsidR="00BC4D3C" w:rsidRPr="00EB0F5B" w:rsidTr="00BC4D3C">
        <w:trPr>
          <w:trHeight w:val="300"/>
        </w:trPr>
        <w:tc>
          <w:tcPr>
            <w:tcW w:w="2080" w:type="dxa"/>
            <w:vMerge w:val="restart"/>
            <w:tcBorders>
              <w:top w:val="nil"/>
              <w:left w:val="single" w:sz="4" w:space="0" w:color="auto"/>
              <w:bottom w:val="single" w:sz="4" w:space="0" w:color="000000"/>
              <w:right w:val="single" w:sz="4" w:space="0" w:color="auto"/>
            </w:tcBorders>
            <w:shd w:val="clear" w:color="auto" w:fill="auto"/>
            <w:hideMark/>
          </w:tcPr>
          <w:p w:rsidR="00BC4D3C" w:rsidRPr="00EB0F5B" w:rsidRDefault="00BC4D3C" w:rsidP="00BC4D3C">
            <w:pPr>
              <w:rPr>
                <w:rFonts w:ascii="Calibri" w:hAnsi="Calibri"/>
                <w:color w:val="000000"/>
                <w:sz w:val="18"/>
                <w:szCs w:val="18"/>
              </w:rPr>
            </w:pPr>
            <w:r w:rsidRPr="00EB0F5B">
              <w:rPr>
                <w:rFonts w:ascii="Calibri" w:hAnsi="Calibri"/>
                <w:color w:val="000000"/>
                <w:sz w:val="18"/>
                <w:szCs w:val="18"/>
              </w:rPr>
              <w:t>príjem do štátneho rozpočtu - dane a odvody z celkového ekonomického dopadu</w:t>
            </w:r>
          </w:p>
        </w:tc>
        <w:tc>
          <w:tcPr>
            <w:tcW w:w="1561"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18% (x riadok 6)</w:t>
            </w:r>
          </w:p>
        </w:tc>
        <w:tc>
          <w:tcPr>
            <w:tcW w:w="410"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w:t>
            </w:r>
          </w:p>
        </w:tc>
        <w:tc>
          <w:tcPr>
            <w:tcW w:w="58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0,75</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7,68</w:t>
            </w:r>
          </w:p>
        </w:tc>
        <w:tc>
          <w:tcPr>
            <w:tcW w:w="638"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2,92</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6,35</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5,08</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5,36</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5,65</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5,93</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6,21</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5,93</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6,23</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6,53</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6,21</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6,52</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6,84</w:t>
            </w:r>
          </w:p>
        </w:tc>
      </w:tr>
      <w:tr w:rsidR="00BC4D3C" w:rsidRPr="00EB0F5B" w:rsidTr="00BC4D3C">
        <w:trPr>
          <w:trHeight w:val="300"/>
        </w:trPr>
        <w:tc>
          <w:tcPr>
            <w:tcW w:w="2080" w:type="dxa"/>
            <w:vMerge/>
            <w:tcBorders>
              <w:top w:val="nil"/>
              <w:left w:val="single" w:sz="4" w:space="0" w:color="auto"/>
              <w:bottom w:val="single" w:sz="4" w:space="0" w:color="000000"/>
              <w:right w:val="single" w:sz="4" w:space="0" w:color="auto"/>
            </w:tcBorders>
            <w:vAlign w:val="center"/>
            <w:hideMark/>
          </w:tcPr>
          <w:p w:rsidR="00BC4D3C" w:rsidRPr="00EB0F5B" w:rsidRDefault="00BC4D3C" w:rsidP="00BC4D3C">
            <w:pPr>
              <w:rPr>
                <w:rFonts w:ascii="Calibri" w:hAnsi="Calibri"/>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20% (x riadok 6)</w:t>
            </w:r>
          </w:p>
        </w:tc>
        <w:tc>
          <w:tcPr>
            <w:tcW w:w="410"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8</w:t>
            </w:r>
          </w:p>
        </w:tc>
        <w:tc>
          <w:tcPr>
            <w:tcW w:w="58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0,84</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8,53</w:t>
            </w:r>
          </w:p>
        </w:tc>
        <w:tc>
          <w:tcPr>
            <w:tcW w:w="638"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3,25</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7,06</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5,64</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5,96</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6,27</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6,59</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6,91</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6,59</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6,92</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7,25</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6,90</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7,25</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7,60</w:t>
            </w:r>
          </w:p>
        </w:tc>
      </w:tr>
      <w:tr w:rsidR="00BC4D3C" w:rsidRPr="00EB0F5B" w:rsidTr="00BC4D3C">
        <w:trPr>
          <w:trHeight w:val="495"/>
        </w:trPr>
        <w:tc>
          <w:tcPr>
            <w:tcW w:w="2080" w:type="dxa"/>
            <w:vMerge/>
            <w:tcBorders>
              <w:top w:val="nil"/>
              <w:left w:val="single" w:sz="4" w:space="0" w:color="auto"/>
              <w:bottom w:val="single" w:sz="4" w:space="0" w:color="000000"/>
              <w:right w:val="single" w:sz="4" w:space="0" w:color="auto"/>
            </w:tcBorders>
            <w:vAlign w:val="center"/>
            <w:hideMark/>
          </w:tcPr>
          <w:p w:rsidR="00BC4D3C" w:rsidRPr="00EB0F5B" w:rsidRDefault="00BC4D3C" w:rsidP="00BC4D3C">
            <w:pPr>
              <w:rPr>
                <w:rFonts w:ascii="Calibri" w:hAnsi="Calibri"/>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23% (x riadok 6)</w:t>
            </w:r>
          </w:p>
        </w:tc>
        <w:tc>
          <w:tcPr>
            <w:tcW w:w="410"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9</w:t>
            </w:r>
          </w:p>
        </w:tc>
        <w:tc>
          <w:tcPr>
            <w:tcW w:w="58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0,96</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9,82</w:t>
            </w:r>
          </w:p>
        </w:tc>
        <w:tc>
          <w:tcPr>
            <w:tcW w:w="638"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3,73</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8,11</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6,49</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6,85</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7,22</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7,58</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7,94</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7,58</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7,96</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8,34</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7,94</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8,34</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8,74</w:t>
            </w:r>
          </w:p>
        </w:tc>
      </w:tr>
      <w:tr w:rsidR="00BC4D3C" w:rsidRPr="00EB0F5B" w:rsidTr="00BC4D3C">
        <w:trPr>
          <w:trHeight w:val="300"/>
        </w:trPr>
        <w:tc>
          <w:tcPr>
            <w:tcW w:w="2080" w:type="dxa"/>
            <w:vMerge w:val="restart"/>
            <w:tcBorders>
              <w:top w:val="nil"/>
              <w:left w:val="single" w:sz="4" w:space="0" w:color="auto"/>
              <w:bottom w:val="single" w:sz="4" w:space="0" w:color="000000"/>
              <w:right w:val="single" w:sz="4" w:space="0" w:color="auto"/>
            </w:tcBorders>
            <w:shd w:val="clear" w:color="auto" w:fill="auto"/>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celkový príjem - rozdiel príjmu a výdavku štátneho rozpočtu</w:t>
            </w:r>
          </w:p>
        </w:tc>
        <w:tc>
          <w:tcPr>
            <w:tcW w:w="1561"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18% (riadok 7-5)</w:t>
            </w:r>
          </w:p>
        </w:tc>
        <w:tc>
          <w:tcPr>
            <w:tcW w:w="410"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10</w:t>
            </w:r>
          </w:p>
        </w:tc>
        <w:tc>
          <w:tcPr>
            <w:tcW w:w="58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0,31</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3,19</w:t>
            </w:r>
          </w:p>
        </w:tc>
        <w:tc>
          <w:tcPr>
            <w:tcW w:w="638"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1,21</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2,64</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2,11</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2,23</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2,34</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2,46</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2,58</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0,21</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0,22</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0,23</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0,22</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0,23</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0,24</w:t>
            </w:r>
          </w:p>
        </w:tc>
      </w:tr>
      <w:tr w:rsidR="00BC4D3C" w:rsidRPr="00EB0F5B" w:rsidTr="00BC4D3C">
        <w:trPr>
          <w:trHeight w:val="300"/>
        </w:trPr>
        <w:tc>
          <w:tcPr>
            <w:tcW w:w="2080" w:type="dxa"/>
            <w:vMerge/>
            <w:tcBorders>
              <w:top w:val="nil"/>
              <w:left w:val="single" w:sz="4" w:space="0" w:color="auto"/>
              <w:bottom w:val="single" w:sz="4" w:space="0" w:color="000000"/>
              <w:right w:val="single" w:sz="4" w:space="0" w:color="auto"/>
            </w:tcBorders>
            <w:vAlign w:val="center"/>
            <w:hideMark/>
          </w:tcPr>
          <w:p w:rsidR="00BC4D3C" w:rsidRPr="00EB0F5B" w:rsidRDefault="00BC4D3C" w:rsidP="00BC4D3C">
            <w:pPr>
              <w:rPr>
                <w:rFonts w:ascii="Calibri" w:hAnsi="Calibri"/>
                <w:b/>
                <w:bCs/>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20% (riadok 8-5)</w:t>
            </w:r>
          </w:p>
        </w:tc>
        <w:tc>
          <w:tcPr>
            <w:tcW w:w="410"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11</w:t>
            </w:r>
          </w:p>
        </w:tc>
        <w:tc>
          <w:tcPr>
            <w:tcW w:w="58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0,40</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4,04</w:t>
            </w:r>
          </w:p>
        </w:tc>
        <w:tc>
          <w:tcPr>
            <w:tcW w:w="638"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1,54</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3,34</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2,67</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2,82</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2,97</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3,12</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3,27</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0,87</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0,91</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0,95</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0,91</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0,95</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1,00</w:t>
            </w:r>
          </w:p>
        </w:tc>
      </w:tr>
      <w:tr w:rsidR="00BC4D3C" w:rsidRPr="00EB0F5B" w:rsidTr="00BC4D3C">
        <w:trPr>
          <w:trHeight w:val="300"/>
        </w:trPr>
        <w:tc>
          <w:tcPr>
            <w:tcW w:w="2080" w:type="dxa"/>
            <w:vMerge/>
            <w:tcBorders>
              <w:top w:val="nil"/>
              <w:left w:val="single" w:sz="4" w:space="0" w:color="auto"/>
              <w:bottom w:val="single" w:sz="4" w:space="0" w:color="000000"/>
              <w:right w:val="single" w:sz="4" w:space="0" w:color="auto"/>
            </w:tcBorders>
            <w:vAlign w:val="center"/>
            <w:hideMark/>
          </w:tcPr>
          <w:p w:rsidR="00BC4D3C" w:rsidRPr="00EB0F5B" w:rsidRDefault="00BC4D3C" w:rsidP="00BC4D3C">
            <w:pPr>
              <w:rPr>
                <w:rFonts w:ascii="Calibri" w:hAnsi="Calibri"/>
                <w:b/>
                <w:bCs/>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23% (riadok 9-5)</w:t>
            </w:r>
          </w:p>
        </w:tc>
        <w:tc>
          <w:tcPr>
            <w:tcW w:w="410"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12</w:t>
            </w:r>
          </w:p>
        </w:tc>
        <w:tc>
          <w:tcPr>
            <w:tcW w:w="58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0,52</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5,32</w:t>
            </w:r>
          </w:p>
        </w:tc>
        <w:tc>
          <w:tcPr>
            <w:tcW w:w="638"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2,02</w:t>
            </w:r>
          </w:p>
        </w:tc>
        <w:tc>
          <w:tcPr>
            <w:tcW w:w="682"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4,40</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3,52</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3,72</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3,91</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4,11</w:t>
            </w:r>
          </w:p>
        </w:tc>
        <w:tc>
          <w:tcPr>
            <w:tcW w:w="675" w:type="dxa"/>
            <w:tcBorders>
              <w:top w:val="nil"/>
              <w:left w:val="nil"/>
              <w:bottom w:val="single" w:sz="4" w:space="0" w:color="auto"/>
              <w:right w:val="single" w:sz="4" w:space="0" w:color="auto"/>
            </w:tcBorders>
            <w:shd w:val="clear" w:color="auto" w:fill="auto"/>
            <w:noWrap/>
            <w:vAlign w:val="bottom"/>
            <w:hideMark/>
          </w:tcPr>
          <w:p w:rsidR="00BC4D3C" w:rsidRPr="00EB0F5B" w:rsidRDefault="00BC4D3C" w:rsidP="00BC4D3C">
            <w:pPr>
              <w:jc w:val="center"/>
              <w:rPr>
                <w:rFonts w:ascii="Calibri" w:hAnsi="Calibri"/>
                <w:color w:val="000000"/>
                <w:sz w:val="18"/>
                <w:szCs w:val="18"/>
              </w:rPr>
            </w:pPr>
            <w:r w:rsidRPr="00EB0F5B">
              <w:rPr>
                <w:rFonts w:ascii="Calibri" w:hAnsi="Calibri"/>
                <w:color w:val="000000"/>
                <w:sz w:val="18"/>
                <w:szCs w:val="18"/>
              </w:rPr>
              <w:t>4,31</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1,86</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1,95</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2,04</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1,94</w:t>
            </w:r>
          </w:p>
        </w:tc>
        <w:tc>
          <w:tcPr>
            <w:tcW w:w="679"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2,04</w:t>
            </w:r>
          </w:p>
        </w:tc>
        <w:tc>
          <w:tcPr>
            <w:tcW w:w="1066" w:type="dxa"/>
            <w:tcBorders>
              <w:top w:val="nil"/>
              <w:left w:val="nil"/>
              <w:bottom w:val="single" w:sz="4" w:space="0" w:color="auto"/>
              <w:right w:val="single" w:sz="4" w:space="0" w:color="auto"/>
            </w:tcBorders>
            <w:shd w:val="clear" w:color="000000" w:fill="E7E6E6"/>
            <w:noWrap/>
            <w:vAlign w:val="bottom"/>
            <w:hideMark/>
          </w:tcPr>
          <w:p w:rsidR="00BC4D3C" w:rsidRPr="00EB0F5B" w:rsidRDefault="00BC4D3C" w:rsidP="00BC4D3C">
            <w:pPr>
              <w:jc w:val="center"/>
              <w:rPr>
                <w:rFonts w:ascii="Calibri" w:hAnsi="Calibri"/>
                <w:b/>
                <w:bCs/>
                <w:color w:val="000000"/>
                <w:sz w:val="18"/>
                <w:szCs w:val="18"/>
              </w:rPr>
            </w:pPr>
            <w:r w:rsidRPr="00EB0F5B">
              <w:rPr>
                <w:rFonts w:ascii="Calibri" w:hAnsi="Calibri"/>
                <w:b/>
                <w:bCs/>
                <w:color w:val="000000"/>
                <w:sz w:val="18"/>
                <w:szCs w:val="18"/>
              </w:rPr>
              <w:t>2,14</w:t>
            </w:r>
          </w:p>
        </w:tc>
      </w:tr>
      <w:tr w:rsidR="00BC4D3C" w:rsidRPr="00EB0F5B" w:rsidTr="00BC4D3C">
        <w:trPr>
          <w:trHeight w:val="300"/>
        </w:trPr>
        <w:tc>
          <w:tcPr>
            <w:tcW w:w="4636" w:type="dxa"/>
            <w:gridSpan w:val="4"/>
            <w:tcBorders>
              <w:top w:val="single" w:sz="4" w:space="0" w:color="auto"/>
              <w:left w:val="single" w:sz="4" w:space="0" w:color="auto"/>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Dáta v hrubom orámovaní sú z databáz AVF pre program 5</w:t>
            </w:r>
          </w:p>
        </w:tc>
        <w:tc>
          <w:tcPr>
            <w:tcW w:w="682"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38"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82"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75"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75"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75"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75"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75"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c>
          <w:tcPr>
            <w:tcW w:w="1066"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w:t>
            </w:r>
          </w:p>
        </w:tc>
      </w:tr>
      <w:tr w:rsidR="00BC4D3C" w:rsidRPr="00EB0F5B" w:rsidTr="00BC4D3C">
        <w:trPr>
          <w:trHeight w:val="300"/>
        </w:trPr>
        <w:tc>
          <w:tcPr>
            <w:tcW w:w="10013" w:type="dxa"/>
            <w:gridSpan w:val="12"/>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xml:space="preserve">*Roky 2019 až 2023 pre </w:t>
            </w:r>
            <w:proofErr w:type="spellStart"/>
            <w:r w:rsidRPr="00EB0F5B">
              <w:rPr>
                <w:rFonts w:ascii="Calibri" w:hAnsi="Calibri"/>
                <w:b/>
                <w:bCs/>
                <w:color w:val="000000"/>
                <w:sz w:val="18"/>
                <w:szCs w:val="18"/>
              </w:rPr>
              <w:t>predikovaný</w:t>
            </w:r>
            <w:proofErr w:type="spellEnd"/>
            <w:r w:rsidRPr="00EB0F5B">
              <w:rPr>
                <w:rFonts w:ascii="Calibri" w:hAnsi="Calibri"/>
                <w:b/>
                <w:bCs/>
                <w:color w:val="000000"/>
                <w:sz w:val="18"/>
                <w:szCs w:val="18"/>
              </w:rPr>
              <w:t xml:space="preserve"> na základe lineárnej regresie z predchádzajúcich štyroch hodnôt za roky 2015 až 2018.</w:t>
            </w: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1066"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r>
      <w:tr w:rsidR="00BC4D3C" w:rsidRPr="00EB0F5B" w:rsidTr="00BC4D3C">
        <w:trPr>
          <w:trHeight w:val="300"/>
        </w:trPr>
        <w:tc>
          <w:tcPr>
            <w:tcW w:w="11371" w:type="dxa"/>
            <w:gridSpan w:val="14"/>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**Odhad pre roky 2019 až 2023 podľa priemerného pomeru celkového rozpočtu a oprávnených nákladov za predchádzajúce roky 2015 až 2018.</w:t>
            </w: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1066"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r>
      <w:tr w:rsidR="00BC4D3C" w:rsidRPr="00EB0F5B" w:rsidTr="00BC4D3C">
        <w:trPr>
          <w:trHeight w:val="300"/>
        </w:trPr>
        <w:tc>
          <w:tcPr>
            <w:tcW w:w="5956" w:type="dxa"/>
            <w:gridSpan w:val="6"/>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r w:rsidRPr="00EB0F5B">
              <w:rPr>
                <w:rFonts w:ascii="Calibri" w:hAnsi="Calibri"/>
                <w:b/>
                <w:bCs/>
                <w:color w:val="000000"/>
                <w:sz w:val="18"/>
                <w:szCs w:val="18"/>
              </w:rPr>
              <w:t xml:space="preserve">***Odhad </w:t>
            </w:r>
            <w:proofErr w:type="spellStart"/>
            <w:r w:rsidRPr="00EB0F5B">
              <w:rPr>
                <w:rFonts w:ascii="Calibri" w:hAnsi="Calibri"/>
                <w:b/>
                <w:bCs/>
                <w:color w:val="000000"/>
                <w:sz w:val="18"/>
                <w:szCs w:val="18"/>
              </w:rPr>
              <w:t>multiplikátora</w:t>
            </w:r>
            <w:proofErr w:type="spellEnd"/>
            <w:r w:rsidRPr="00EB0F5B">
              <w:rPr>
                <w:rFonts w:ascii="Calibri" w:hAnsi="Calibri"/>
                <w:b/>
                <w:bCs/>
                <w:color w:val="000000"/>
                <w:sz w:val="18"/>
                <w:szCs w:val="18"/>
              </w:rPr>
              <w:t xml:space="preserve"> podľa štúdie KPMG v Českej republike v roku 2015.</w:t>
            </w:r>
          </w:p>
        </w:tc>
        <w:tc>
          <w:tcPr>
            <w:tcW w:w="682"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5"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5"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5"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5"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5"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679"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c>
          <w:tcPr>
            <w:tcW w:w="1066" w:type="dxa"/>
            <w:tcBorders>
              <w:top w:val="nil"/>
              <w:left w:val="nil"/>
              <w:bottom w:val="nil"/>
              <w:right w:val="nil"/>
            </w:tcBorders>
            <w:shd w:val="clear" w:color="auto" w:fill="auto"/>
            <w:noWrap/>
            <w:vAlign w:val="bottom"/>
            <w:hideMark/>
          </w:tcPr>
          <w:p w:rsidR="00BC4D3C" w:rsidRPr="00EB0F5B" w:rsidRDefault="00BC4D3C" w:rsidP="00BC4D3C">
            <w:pPr>
              <w:rPr>
                <w:rFonts w:ascii="Calibri" w:hAnsi="Calibri"/>
                <w:b/>
                <w:bCs/>
                <w:color w:val="000000"/>
                <w:sz w:val="18"/>
                <w:szCs w:val="18"/>
              </w:rPr>
            </w:pPr>
          </w:p>
        </w:tc>
      </w:tr>
    </w:tbl>
    <w:p w:rsidR="00BC4D3C" w:rsidRDefault="00BC4D3C" w:rsidP="00BC4D3C">
      <w:pPr>
        <w:tabs>
          <w:tab w:val="num" w:pos="1080"/>
        </w:tabs>
        <w:jc w:val="right"/>
        <w:rPr>
          <w:bCs/>
        </w:rPr>
      </w:pPr>
    </w:p>
    <w:p w:rsidR="00BC4D3C" w:rsidRPr="007D5748" w:rsidRDefault="00BC4D3C" w:rsidP="00BC4D3C">
      <w:pPr>
        <w:tabs>
          <w:tab w:val="num" w:pos="1080"/>
        </w:tabs>
        <w:jc w:val="right"/>
        <w:rPr>
          <w:bCs/>
        </w:rPr>
      </w:pPr>
      <w:r w:rsidRPr="007D5748">
        <w:rPr>
          <w:bCs/>
        </w:rPr>
        <w:lastRenderedPageBreak/>
        <w:t xml:space="preserve">Tabuľka č. 3 </w:t>
      </w:r>
    </w:p>
    <w:p w:rsidR="00BC4D3C" w:rsidRPr="007D5748" w:rsidRDefault="00BC4D3C" w:rsidP="00BC4D3C">
      <w:pPr>
        <w:tabs>
          <w:tab w:val="num" w:pos="1080"/>
        </w:tabs>
        <w:ind w:right="-578"/>
        <w:rPr>
          <w:bCs/>
        </w:rPr>
      </w:pPr>
    </w:p>
    <w:p w:rsidR="00BC4D3C" w:rsidRPr="007D5748" w:rsidRDefault="00BC4D3C" w:rsidP="00BC4D3C">
      <w:pPr>
        <w:tabs>
          <w:tab w:val="num" w:pos="1080"/>
        </w:tabs>
        <w:ind w:right="-578"/>
        <w:jc w:val="right"/>
        <w:rPr>
          <w:bCs/>
        </w:rPr>
      </w:pPr>
    </w:p>
    <w:tbl>
      <w:tblPr>
        <w:tblpPr w:leftFromText="141" w:rightFromText="141" w:vertAnchor="page" w:horzAnchor="margin" w:tblpY="5266"/>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C4D3C" w:rsidRPr="007D5748" w:rsidTr="00BC4D3C">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4D3C" w:rsidRPr="007D5748" w:rsidRDefault="00BC4D3C" w:rsidP="00BC4D3C">
            <w:pPr>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C4D3C" w:rsidRPr="007D5748" w:rsidRDefault="00BC4D3C" w:rsidP="00BC4D3C">
            <w:pPr>
              <w:jc w:val="center"/>
              <w:rPr>
                <w:b/>
                <w:bCs/>
              </w:rPr>
            </w:pPr>
            <w:r w:rsidRPr="007D5748">
              <w:rPr>
                <w:b/>
                <w:bCs/>
              </w:rPr>
              <w:t>poznámka</w:t>
            </w:r>
          </w:p>
        </w:tc>
      </w:tr>
      <w:tr w:rsidR="00BC4D3C" w:rsidRPr="007D5748" w:rsidTr="00BC4D3C">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BC4D3C" w:rsidRPr="007D5748" w:rsidRDefault="00BC4D3C" w:rsidP="00BC4D3C">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BC4D3C" w:rsidRPr="00327C73" w:rsidRDefault="00BC4D3C" w:rsidP="00BC4D3C">
            <w:pPr>
              <w:jc w:val="center"/>
              <w:rPr>
                <w:b/>
              </w:rPr>
            </w:pPr>
            <w:r w:rsidRPr="00327C73">
              <w:rPr>
                <w:b/>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BC4D3C" w:rsidRPr="00327C73" w:rsidRDefault="00BC4D3C" w:rsidP="00BC4D3C">
            <w:pPr>
              <w:jc w:val="center"/>
              <w:rPr>
                <w:b/>
              </w:rPr>
            </w:pPr>
            <w:r w:rsidRPr="00327C73">
              <w:rPr>
                <w:b/>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BC4D3C" w:rsidRPr="00327C73" w:rsidRDefault="00BC4D3C" w:rsidP="00BC4D3C">
            <w:pPr>
              <w:jc w:val="center"/>
              <w:rPr>
                <w:b/>
              </w:rPr>
            </w:pPr>
            <w:r w:rsidRPr="00327C73">
              <w:rPr>
                <w:b/>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BC4D3C" w:rsidRPr="00327C73" w:rsidRDefault="00BC4D3C" w:rsidP="00BC4D3C">
            <w:pPr>
              <w:jc w:val="center"/>
              <w:rPr>
                <w:b/>
              </w:rPr>
            </w:pPr>
            <w:r>
              <w:rPr>
                <w:b/>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rsidR="00BC4D3C" w:rsidRPr="007D5748" w:rsidRDefault="00BC4D3C" w:rsidP="00BC4D3C">
            <w:pPr>
              <w:rPr>
                <w:b/>
                <w:bCs/>
                <w:color w:val="FFFFFF"/>
              </w:rPr>
            </w:pPr>
          </w:p>
        </w:tc>
      </w:tr>
      <w:tr w:rsidR="00BC4D3C" w:rsidRPr="007D5748" w:rsidTr="00BC4D3C">
        <w:trPr>
          <w:trHeight w:val="255"/>
        </w:trPr>
        <w:tc>
          <w:tcPr>
            <w:tcW w:w="4950" w:type="dxa"/>
            <w:tcBorders>
              <w:top w:val="nil"/>
              <w:left w:val="single" w:sz="4" w:space="0" w:color="auto"/>
              <w:bottom w:val="single" w:sz="4" w:space="0" w:color="auto"/>
              <w:right w:val="single" w:sz="4" w:space="0" w:color="auto"/>
            </w:tcBorders>
          </w:tcPr>
          <w:p w:rsidR="00BC4D3C" w:rsidRPr="007D5748" w:rsidRDefault="00BC4D3C" w:rsidP="00BC4D3C">
            <w:pPr>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5 960 000</w:t>
            </w:r>
          </w:p>
        </w:tc>
        <w:tc>
          <w:tcPr>
            <w:tcW w:w="1500" w:type="dxa"/>
            <w:tcBorders>
              <w:top w:val="nil"/>
              <w:left w:val="nil"/>
              <w:bottom w:val="single" w:sz="4" w:space="0" w:color="auto"/>
              <w:right w:val="single" w:sz="4" w:space="0" w:color="auto"/>
            </w:tcBorders>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6 </w:t>
            </w:r>
            <w:r w:rsidRPr="00AD78F1">
              <w:rPr>
                <w:rFonts w:ascii="Times New Roman" w:hAnsi="Times New Roman" w:cs="Times New Roman"/>
                <w:b/>
              </w:rPr>
              <w:t>59</w:t>
            </w:r>
            <w:r>
              <w:rPr>
                <w:rFonts w:ascii="Times New Roman" w:hAnsi="Times New Roman" w:cs="Times New Roman"/>
                <w:b/>
              </w:rPr>
              <w:t>0 000</w:t>
            </w:r>
          </w:p>
        </w:tc>
        <w:tc>
          <w:tcPr>
            <w:tcW w:w="1500" w:type="dxa"/>
            <w:tcBorders>
              <w:top w:val="nil"/>
              <w:left w:val="nil"/>
              <w:bottom w:val="single" w:sz="4" w:space="0" w:color="auto"/>
              <w:right w:val="single" w:sz="4" w:space="0" w:color="auto"/>
            </w:tcBorders>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6 </w:t>
            </w:r>
            <w:r w:rsidRPr="00AD78F1">
              <w:rPr>
                <w:rFonts w:ascii="Times New Roman" w:hAnsi="Times New Roman" w:cs="Times New Roman"/>
                <w:b/>
              </w:rPr>
              <w:t>92</w:t>
            </w:r>
            <w:r>
              <w:rPr>
                <w:rFonts w:ascii="Times New Roman" w:hAnsi="Times New Roman" w:cs="Times New Roman"/>
                <w:b/>
              </w:rPr>
              <w:t>0 000</w:t>
            </w:r>
          </w:p>
        </w:tc>
        <w:tc>
          <w:tcPr>
            <w:tcW w:w="1500" w:type="dxa"/>
            <w:tcBorders>
              <w:top w:val="nil"/>
              <w:left w:val="nil"/>
              <w:bottom w:val="single" w:sz="4" w:space="0" w:color="auto"/>
              <w:right w:val="single" w:sz="4" w:space="0" w:color="auto"/>
            </w:tcBorders>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7 250 000</w:t>
            </w:r>
          </w:p>
        </w:tc>
        <w:tc>
          <w:tcPr>
            <w:tcW w:w="300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4950" w:type="dxa"/>
            <w:tcBorders>
              <w:top w:val="nil"/>
              <w:left w:val="single" w:sz="4" w:space="0" w:color="auto"/>
              <w:bottom w:val="single" w:sz="4" w:space="0" w:color="auto"/>
              <w:right w:val="single" w:sz="4" w:space="0" w:color="auto"/>
            </w:tcBorders>
          </w:tcPr>
          <w:p w:rsidR="00BC4D3C" w:rsidRPr="007D5748" w:rsidRDefault="00BC4D3C" w:rsidP="00BC4D3C">
            <w:pPr>
              <w:rPr>
                <w:b/>
                <w:bCs/>
              </w:rPr>
            </w:pPr>
            <w:r w:rsidRPr="007D5748">
              <w:rPr>
                <w:b/>
                <w:bCs/>
              </w:rPr>
              <w:t>Nedaňové príjmy (200)</w:t>
            </w:r>
            <w:r w:rsidRPr="007D5748">
              <w:rPr>
                <w:b/>
                <w:bCs/>
                <w:vertAlign w:val="superscript"/>
              </w:rPr>
              <w:t>1</w:t>
            </w:r>
          </w:p>
        </w:tc>
        <w:tc>
          <w:tcPr>
            <w:tcW w:w="1500"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500"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500"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500"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300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4950" w:type="dxa"/>
            <w:tcBorders>
              <w:top w:val="nil"/>
              <w:left w:val="single" w:sz="4" w:space="0" w:color="auto"/>
              <w:bottom w:val="single" w:sz="4" w:space="0" w:color="auto"/>
              <w:right w:val="single" w:sz="4" w:space="0" w:color="auto"/>
            </w:tcBorders>
          </w:tcPr>
          <w:p w:rsidR="00BC4D3C" w:rsidRPr="007D5748" w:rsidRDefault="00BC4D3C" w:rsidP="00BC4D3C">
            <w:pPr>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500"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500"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500"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300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4950" w:type="dxa"/>
            <w:tcBorders>
              <w:top w:val="nil"/>
              <w:left w:val="single" w:sz="4" w:space="0" w:color="auto"/>
              <w:bottom w:val="single" w:sz="4" w:space="0" w:color="auto"/>
              <w:right w:val="single" w:sz="4" w:space="0" w:color="auto"/>
            </w:tcBorders>
          </w:tcPr>
          <w:p w:rsidR="00BC4D3C" w:rsidRPr="007D5748" w:rsidRDefault="00BC4D3C" w:rsidP="00BC4D3C">
            <w:pPr>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4950" w:type="dxa"/>
            <w:tcBorders>
              <w:top w:val="nil"/>
              <w:left w:val="single" w:sz="4" w:space="0" w:color="auto"/>
              <w:bottom w:val="single" w:sz="4" w:space="0" w:color="auto"/>
              <w:right w:val="single" w:sz="4" w:space="0" w:color="auto"/>
            </w:tcBorders>
          </w:tcPr>
          <w:p w:rsidR="00BC4D3C" w:rsidRPr="007D5748" w:rsidRDefault="00BC4D3C" w:rsidP="00BC4D3C">
            <w:pPr>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BC4D3C" w:rsidRPr="007D5748" w:rsidRDefault="00BC4D3C" w:rsidP="00BC4D3C">
            <w:pPr>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5 960 000</w:t>
            </w:r>
          </w:p>
        </w:tc>
        <w:tc>
          <w:tcPr>
            <w:tcW w:w="1500" w:type="dxa"/>
            <w:tcBorders>
              <w:top w:val="nil"/>
              <w:left w:val="nil"/>
              <w:bottom w:val="single" w:sz="4" w:space="0" w:color="auto"/>
              <w:right w:val="single" w:sz="4" w:space="0" w:color="auto"/>
            </w:tcBorders>
            <w:shd w:val="clear" w:color="auto" w:fill="BFBFBF" w:themeFill="background1" w:themeFillShade="BF"/>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6 </w:t>
            </w:r>
            <w:r w:rsidRPr="00AD78F1">
              <w:rPr>
                <w:rFonts w:ascii="Times New Roman" w:hAnsi="Times New Roman" w:cs="Times New Roman"/>
                <w:b/>
              </w:rPr>
              <w:t>59</w:t>
            </w:r>
            <w:r>
              <w:rPr>
                <w:rFonts w:ascii="Times New Roman" w:hAnsi="Times New Roman" w:cs="Times New Roman"/>
                <w:b/>
              </w:rPr>
              <w:t>0 000</w:t>
            </w:r>
          </w:p>
        </w:tc>
        <w:tc>
          <w:tcPr>
            <w:tcW w:w="1500" w:type="dxa"/>
            <w:tcBorders>
              <w:top w:val="nil"/>
              <w:left w:val="nil"/>
              <w:bottom w:val="single" w:sz="4" w:space="0" w:color="auto"/>
              <w:right w:val="single" w:sz="4" w:space="0" w:color="auto"/>
            </w:tcBorders>
            <w:shd w:val="clear" w:color="auto" w:fill="BFBFBF" w:themeFill="background1" w:themeFillShade="BF"/>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6 </w:t>
            </w:r>
            <w:r w:rsidRPr="00AD78F1">
              <w:rPr>
                <w:rFonts w:ascii="Times New Roman" w:hAnsi="Times New Roman" w:cs="Times New Roman"/>
                <w:b/>
              </w:rPr>
              <w:t>92</w:t>
            </w:r>
            <w:r>
              <w:rPr>
                <w:rFonts w:ascii="Times New Roman" w:hAnsi="Times New Roman" w:cs="Times New Roman"/>
                <w:b/>
              </w:rPr>
              <w:t>0 000</w:t>
            </w:r>
          </w:p>
        </w:tc>
        <w:tc>
          <w:tcPr>
            <w:tcW w:w="1500" w:type="dxa"/>
            <w:tcBorders>
              <w:top w:val="nil"/>
              <w:left w:val="nil"/>
              <w:bottom w:val="single" w:sz="4" w:space="0" w:color="auto"/>
              <w:right w:val="single" w:sz="4" w:space="0" w:color="auto"/>
            </w:tcBorders>
            <w:shd w:val="clear" w:color="auto" w:fill="BFBFBF" w:themeFill="background1" w:themeFillShade="BF"/>
          </w:tcPr>
          <w:p w:rsidR="00BC4D3C" w:rsidRPr="00AD78F1" w:rsidRDefault="00BC4D3C" w:rsidP="00BC4D3C">
            <w:pPr>
              <w:pStyle w:val="Bezriadkovania"/>
              <w:jc w:val="right"/>
              <w:rPr>
                <w:rFonts w:ascii="Times New Roman" w:hAnsi="Times New Roman" w:cs="Times New Roman"/>
                <w:b/>
              </w:rPr>
            </w:pPr>
            <w:r>
              <w:rPr>
                <w:rFonts w:ascii="Times New Roman" w:hAnsi="Times New Roman" w:cs="Times New Roman"/>
                <w:b/>
              </w:rPr>
              <w:t>7 250 000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BC4D3C" w:rsidRPr="007D5748" w:rsidRDefault="00BC4D3C" w:rsidP="00BC4D3C">
            <w:r w:rsidRPr="007D5748">
              <w:t> </w:t>
            </w:r>
          </w:p>
        </w:tc>
      </w:tr>
    </w:tbl>
    <w:p w:rsidR="00BC4D3C" w:rsidRDefault="00BC4D3C" w:rsidP="00BC4D3C">
      <w:pPr>
        <w:tabs>
          <w:tab w:val="num" w:pos="1080"/>
        </w:tabs>
        <w:jc w:val="both"/>
        <w:rPr>
          <w:bCs/>
          <w:sz w:val="20"/>
          <w:szCs w:val="20"/>
        </w:rPr>
      </w:pPr>
    </w:p>
    <w:p w:rsidR="00BC4D3C" w:rsidRPr="007D5748" w:rsidRDefault="00BC4D3C" w:rsidP="00BC4D3C">
      <w:pPr>
        <w:tabs>
          <w:tab w:val="num" w:pos="1080"/>
        </w:tabs>
        <w:jc w:val="both"/>
        <w:rPr>
          <w:bCs/>
          <w:sz w:val="20"/>
          <w:szCs w:val="20"/>
        </w:rPr>
      </w:pPr>
      <w:r w:rsidRPr="007D5748">
        <w:rPr>
          <w:bCs/>
          <w:sz w:val="20"/>
          <w:szCs w:val="20"/>
        </w:rPr>
        <w:t>1 –  príjmy rozpísať až do položiek platnej ekonomickej klasifikácie</w:t>
      </w:r>
    </w:p>
    <w:p w:rsidR="00BC4D3C" w:rsidRPr="007D5748" w:rsidRDefault="00BC4D3C" w:rsidP="00BC4D3C">
      <w:pPr>
        <w:tabs>
          <w:tab w:val="num" w:pos="1080"/>
        </w:tabs>
        <w:jc w:val="both"/>
        <w:rPr>
          <w:bCs/>
          <w:szCs w:val="20"/>
        </w:rPr>
      </w:pPr>
    </w:p>
    <w:p w:rsidR="00BC4D3C" w:rsidRPr="007D5748" w:rsidRDefault="00BC4D3C" w:rsidP="00BC4D3C">
      <w:pPr>
        <w:tabs>
          <w:tab w:val="num" w:pos="1080"/>
        </w:tabs>
        <w:jc w:val="both"/>
        <w:rPr>
          <w:b/>
          <w:bCs/>
          <w:szCs w:val="20"/>
        </w:rPr>
      </w:pPr>
      <w:r w:rsidRPr="007D5748">
        <w:rPr>
          <w:b/>
          <w:bCs/>
          <w:szCs w:val="20"/>
        </w:rPr>
        <w:t>Poznámka:</w:t>
      </w:r>
    </w:p>
    <w:p w:rsidR="00BC4D3C" w:rsidRPr="007D5748" w:rsidRDefault="00BC4D3C" w:rsidP="00BC4D3C">
      <w:pPr>
        <w:tabs>
          <w:tab w:val="num" w:pos="1080"/>
        </w:tabs>
        <w:jc w:val="both"/>
        <w:rPr>
          <w:bCs/>
          <w:szCs w:val="20"/>
        </w:rPr>
      </w:pPr>
      <w:r w:rsidRPr="007D5748">
        <w:rPr>
          <w:bCs/>
          <w:szCs w:val="20"/>
        </w:rPr>
        <w:t>Ak sa vplyv týka viacerých subjektov verejnej správy, vypĺňa sa samostatná tabuľka za každý subjekt.</w:t>
      </w:r>
    </w:p>
    <w:p w:rsidR="00BC4D3C" w:rsidRPr="007D5748" w:rsidRDefault="00BC4D3C" w:rsidP="00BC4D3C">
      <w:pPr>
        <w:tabs>
          <w:tab w:val="num" w:pos="1080"/>
        </w:tabs>
        <w:ind w:right="-578"/>
        <w:jc w:val="right"/>
        <w:rPr>
          <w:bCs/>
        </w:rPr>
      </w:pPr>
    </w:p>
    <w:p w:rsidR="00BC4D3C" w:rsidRPr="007D5748" w:rsidRDefault="00BC4D3C" w:rsidP="00BC4D3C">
      <w:pPr>
        <w:tabs>
          <w:tab w:val="num" w:pos="1080"/>
        </w:tabs>
        <w:ind w:right="-578"/>
        <w:jc w:val="right"/>
        <w:rPr>
          <w:bCs/>
        </w:rPr>
      </w:pPr>
    </w:p>
    <w:p w:rsidR="00BC4D3C" w:rsidRPr="007D5748" w:rsidRDefault="00BC4D3C" w:rsidP="00BC4D3C">
      <w:pPr>
        <w:tabs>
          <w:tab w:val="num" w:pos="1080"/>
        </w:tabs>
        <w:ind w:right="-578"/>
        <w:jc w:val="right"/>
        <w:rPr>
          <w:bCs/>
        </w:rPr>
      </w:pPr>
    </w:p>
    <w:p w:rsidR="00BC4D3C" w:rsidRPr="007D5748" w:rsidRDefault="00BC4D3C" w:rsidP="007C08EC">
      <w:pPr>
        <w:tabs>
          <w:tab w:val="num" w:pos="1080"/>
        </w:tabs>
        <w:ind w:right="-578"/>
        <w:rPr>
          <w:bCs/>
        </w:rPr>
      </w:pPr>
    </w:p>
    <w:p w:rsidR="00BC4D3C" w:rsidRDefault="00BC4D3C" w:rsidP="00BC4D3C">
      <w:pPr>
        <w:tabs>
          <w:tab w:val="num" w:pos="1080"/>
        </w:tabs>
        <w:ind w:right="-32"/>
        <w:jc w:val="right"/>
        <w:rPr>
          <w:bCs/>
        </w:rPr>
      </w:pPr>
    </w:p>
    <w:p w:rsidR="00BC4D3C" w:rsidRPr="007D5748" w:rsidRDefault="00BC4D3C" w:rsidP="00BC4D3C">
      <w:pPr>
        <w:tabs>
          <w:tab w:val="num" w:pos="1080"/>
        </w:tabs>
        <w:ind w:right="-32"/>
        <w:jc w:val="right"/>
        <w:rPr>
          <w:bCs/>
        </w:rPr>
      </w:pPr>
      <w:r w:rsidRPr="007D5748">
        <w:rPr>
          <w:bCs/>
        </w:rPr>
        <w:t xml:space="preserve">Tabuľka č. 4 </w:t>
      </w:r>
    </w:p>
    <w:p w:rsidR="00BC4D3C" w:rsidRPr="007D5748" w:rsidRDefault="00BC4D3C" w:rsidP="00BC4D3C">
      <w:pPr>
        <w:tabs>
          <w:tab w:val="num" w:pos="1080"/>
        </w:tabs>
        <w:jc w:val="both"/>
        <w:rPr>
          <w:bCs/>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C4D3C" w:rsidRPr="007D5748" w:rsidTr="00BC4D3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BC4D3C" w:rsidRPr="007D5748" w:rsidRDefault="00BC4D3C" w:rsidP="00BC4D3C">
            <w:pPr>
              <w:jc w:val="center"/>
              <w:rPr>
                <w:b/>
                <w:bCs/>
                <w:sz w:val="20"/>
                <w:szCs w:val="20"/>
              </w:rPr>
            </w:pPr>
            <w:r w:rsidRPr="007D574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sz w:val="20"/>
                <w:szCs w:val="20"/>
              </w:rPr>
            </w:pPr>
            <w:r w:rsidRPr="007D574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C4D3C" w:rsidRPr="007D5748" w:rsidRDefault="00BC4D3C" w:rsidP="00BC4D3C">
            <w:pPr>
              <w:jc w:val="center"/>
              <w:rPr>
                <w:b/>
                <w:bCs/>
              </w:rPr>
            </w:pPr>
            <w:r w:rsidRPr="007D5748">
              <w:rPr>
                <w:b/>
                <w:bCs/>
              </w:rPr>
              <w:t>poznámka</w:t>
            </w:r>
          </w:p>
        </w:tc>
      </w:tr>
      <w:tr w:rsidR="00BC4D3C" w:rsidRPr="007D5748" w:rsidTr="00BC4D3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C4D3C" w:rsidRPr="007D5748" w:rsidRDefault="00BC4D3C" w:rsidP="00BC4D3C">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sz w:val="20"/>
                <w:szCs w:val="20"/>
              </w:rPr>
            </w:pPr>
            <w:r>
              <w:rPr>
                <w:b/>
                <w:bCs/>
                <w:sz w:val="20"/>
                <w:szCs w:val="20"/>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sz w:val="20"/>
                <w:szCs w:val="20"/>
              </w:rPr>
            </w:pPr>
            <w:r>
              <w:rPr>
                <w:b/>
                <w:bCs/>
                <w:sz w:val="20"/>
                <w:szCs w:val="20"/>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sz w:val="20"/>
                <w:szCs w:val="20"/>
              </w:rPr>
            </w:pPr>
            <w:r>
              <w:rPr>
                <w:b/>
                <w:bCs/>
                <w:sz w:val="20"/>
                <w:szCs w:val="20"/>
              </w:rPr>
              <w:t>202</w:t>
            </w:r>
            <w:r w:rsidRPr="007D5748">
              <w:rPr>
                <w:b/>
                <w:bCs/>
                <w:sz w:val="20"/>
                <w:szCs w:val="20"/>
              </w:rPr>
              <w:t>2</w:t>
            </w:r>
          </w:p>
        </w:tc>
        <w:tc>
          <w:tcPr>
            <w:tcW w:w="1540" w:type="dxa"/>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rPr>
            </w:pPr>
            <w:r>
              <w:rPr>
                <w:b/>
                <w:bCs/>
              </w:rPr>
              <w:t>202</w:t>
            </w:r>
            <w:r w:rsidRPr="007D5748">
              <w:rPr>
                <w:b/>
                <w:bCs/>
              </w:rPr>
              <w:t>3</w:t>
            </w:r>
          </w:p>
        </w:tc>
        <w:tc>
          <w:tcPr>
            <w:tcW w:w="2220" w:type="dxa"/>
            <w:vMerge/>
            <w:tcBorders>
              <w:top w:val="single" w:sz="4" w:space="0" w:color="auto"/>
              <w:left w:val="single" w:sz="4" w:space="0" w:color="auto"/>
              <w:bottom w:val="single" w:sz="4" w:space="0" w:color="auto"/>
              <w:right w:val="single" w:sz="4" w:space="0" w:color="auto"/>
            </w:tcBorders>
            <w:vAlign w:val="center"/>
          </w:tcPr>
          <w:p w:rsidR="00BC4D3C" w:rsidRPr="007D5748" w:rsidRDefault="00BC4D3C" w:rsidP="00BC4D3C">
            <w:pPr>
              <w:rPr>
                <w:b/>
                <w:bCs/>
                <w:color w:val="FFFFFF"/>
              </w:rPr>
            </w:pPr>
          </w:p>
        </w:tc>
      </w:tr>
      <w:tr w:rsidR="00BC4D3C" w:rsidRPr="007D5748" w:rsidTr="00BC4D3C">
        <w:trPr>
          <w:trHeight w:val="255"/>
        </w:trPr>
        <w:tc>
          <w:tcPr>
            <w:tcW w:w="7070" w:type="dxa"/>
            <w:tcBorders>
              <w:top w:val="nil"/>
              <w:left w:val="single" w:sz="4" w:space="0" w:color="auto"/>
              <w:bottom w:val="single" w:sz="4" w:space="0" w:color="auto"/>
              <w:right w:val="single" w:sz="4" w:space="0" w:color="auto"/>
            </w:tcBorders>
          </w:tcPr>
          <w:p w:rsidR="00BC4D3C" w:rsidRPr="007D5748" w:rsidRDefault="00BC4D3C" w:rsidP="00BC4D3C">
            <w:pPr>
              <w:rPr>
                <w:b/>
                <w:bCs/>
                <w:sz w:val="20"/>
                <w:szCs w:val="20"/>
              </w:rPr>
            </w:pPr>
            <w:r w:rsidRPr="007D5748">
              <w:rPr>
                <w:b/>
                <w:bCs/>
                <w:sz w:val="20"/>
                <w:szCs w:val="20"/>
              </w:rPr>
              <w:t>Bežné výdavky (600)</w:t>
            </w:r>
          </w:p>
        </w:tc>
        <w:tc>
          <w:tcPr>
            <w:tcW w:w="1540" w:type="dxa"/>
            <w:tcBorders>
              <w:top w:val="nil"/>
              <w:left w:val="nil"/>
              <w:bottom w:val="single" w:sz="4" w:space="0" w:color="auto"/>
              <w:right w:val="single" w:sz="4" w:space="0" w:color="auto"/>
            </w:tcBorders>
          </w:tcPr>
          <w:p w:rsidR="00BC4D3C" w:rsidRPr="009E1D84" w:rsidRDefault="00BC4D3C" w:rsidP="00BC4D3C">
            <w:pPr>
              <w:pStyle w:val="Bezriadkovania"/>
              <w:jc w:val="right"/>
              <w:rPr>
                <w:rFonts w:ascii="Times New Roman" w:hAnsi="Times New Roman" w:cs="Times New Roman"/>
                <w:b/>
              </w:rPr>
            </w:pPr>
            <w:r>
              <w:rPr>
                <w:rFonts w:ascii="Times New Roman" w:hAnsi="Times New Roman" w:cs="Times New Roman"/>
                <w:b/>
              </w:rPr>
              <w:t>3 140 000</w:t>
            </w:r>
            <w:r w:rsidRPr="009E1D84">
              <w:rPr>
                <w:rFonts w:ascii="Times New Roman" w:hAnsi="Times New Roman" w:cs="Times New Roman"/>
                <w:b/>
              </w:rPr>
              <w:t xml:space="preserve"> </w:t>
            </w:r>
          </w:p>
        </w:tc>
        <w:tc>
          <w:tcPr>
            <w:tcW w:w="1540" w:type="dxa"/>
            <w:tcBorders>
              <w:top w:val="nil"/>
              <w:left w:val="nil"/>
              <w:bottom w:val="single" w:sz="4" w:space="0" w:color="auto"/>
              <w:right w:val="single" w:sz="4" w:space="0" w:color="auto"/>
            </w:tcBorders>
          </w:tcPr>
          <w:p w:rsidR="00BC4D3C" w:rsidRPr="009E1D84" w:rsidRDefault="00BC4D3C" w:rsidP="00BC4D3C">
            <w:pPr>
              <w:pStyle w:val="Bezriadkovania"/>
              <w:jc w:val="right"/>
              <w:rPr>
                <w:rFonts w:ascii="Times New Roman" w:hAnsi="Times New Roman" w:cs="Times New Roman"/>
                <w:b/>
              </w:rPr>
            </w:pPr>
            <w:r w:rsidRPr="009E1D84">
              <w:rPr>
                <w:rFonts w:ascii="Times New Roman" w:hAnsi="Times New Roman" w:cs="Times New Roman"/>
                <w:b/>
              </w:rPr>
              <w:t>5 200 000</w:t>
            </w:r>
          </w:p>
        </w:tc>
        <w:tc>
          <w:tcPr>
            <w:tcW w:w="1540" w:type="dxa"/>
            <w:tcBorders>
              <w:top w:val="nil"/>
              <w:left w:val="nil"/>
              <w:bottom w:val="single" w:sz="4" w:space="0" w:color="auto"/>
              <w:right w:val="single" w:sz="4" w:space="0" w:color="auto"/>
            </w:tcBorders>
          </w:tcPr>
          <w:p w:rsidR="00BC4D3C" w:rsidRPr="009E1D84" w:rsidRDefault="00BC4D3C" w:rsidP="00BC4D3C">
            <w:pPr>
              <w:pStyle w:val="Bezriadkovania"/>
              <w:jc w:val="right"/>
              <w:rPr>
                <w:rFonts w:ascii="Times New Roman" w:hAnsi="Times New Roman" w:cs="Times New Roman"/>
                <w:b/>
              </w:rPr>
            </w:pPr>
            <w:r w:rsidRPr="009E1D84">
              <w:rPr>
                <w:rFonts w:ascii="Times New Roman" w:hAnsi="Times New Roman" w:cs="Times New Roman"/>
                <w:b/>
              </w:rPr>
              <w:t xml:space="preserve">5 460 000 </w:t>
            </w:r>
          </w:p>
        </w:tc>
        <w:tc>
          <w:tcPr>
            <w:tcW w:w="1540" w:type="dxa"/>
            <w:tcBorders>
              <w:top w:val="nil"/>
              <w:left w:val="nil"/>
              <w:bottom w:val="single" w:sz="4" w:space="0" w:color="auto"/>
              <w:right w:val="single" w:sz="4" w:space="0" w:color="auto"/>
            </w:tcBorders>
          </w:tcPr>
          <w:p w:rsidR="00BC4D3C" w:rsidRPr="009E1D84" w:rsidRDefault="00BC4D3C" w:rsidP="00BC4D3C">
            <w:pPr>
              <w:pStyle w:val="Bezriadkovania"/>
              <w:jc w:val="right"/>
              <w:rPr>
                <w:rFonts w:ascii="Times New Roman" w:hAnsi="Times New Roman" w:cs="Times New Roman"/>
                <w:b/>
              </w:rPr>
            </w:pPr>
            <w:r>
              <w:rPr>
                <w:rFonts w:ascii="Times New Roman" w:hAnsi="Times New Roman" w:cs="Times New Roman"/>
                <w:b/>
              </w:rPr>
              <w:t>5 720 000</w:t>
            </w:r>
          </w:p>
        </w:tc>
        <w:tc>
          <w:tcPr>
            <w:tcW w:w="222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7070" w:type="dxa"/>
            <w:tcBorders>
              <w:top w:val="nil"/>
              <w:left w:val="single" w:sz="4" w:space="0" w:color="auto"/>
              <w:bottom w:val="single" w:sz="4" w:space="0" w:color="auto"/>
              <w:right w:val="single" w:sz="4" w:space="0" w:color="auto"/>
            </w:tcBorders>
          </w:tcPr>
          <w:p w:rsidR="00BC4D3C" w:rsidRPr="007D5748" w:rsidRDefault="00BC4D3C" w:rsidP="00BC4D3C">
            <w:pPr>
              <w:rPr>
                <w:sz w:val="20"/>
                <w:szCs w:val="20"/>
              </w:rPr>
            </w:pPr>
            <w:r w:rsidRPr="007D574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pPr>
          </w:p>
        </w:tc>
        <w:tc>
          <w:tcPr>
            <w:tcW w:w="222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7070" w:type="dxa"/>
            <w:tcBorders>
              <w:top w:val="nil"/>
              <w:left w:val="single" w:sz="4" w:space="0" w:color="auto"/>
              <w:bottom w:val="single" w:sz="4" w:space="0" w:color="auto"/>
              <w:right w:val="single" w:sz="4" w:space="0" w:color="auto"/>
            </w:tcBorders>
          </w:tcPr>
          <w:p w:rsidR="00BC4D3C" w:rsidRPr="007D5748" w:rsidRDefault="00BC4D3C" w:rsidP="00BC4D3C">
            <w:pPr>
              <w:rPr>
                <w:sz w:val="20"/>
                <w:szCs w:val="20"/>
                <w:vertAlign w:val="superscript"/>
              </w:rPr>
            </w:pPr>
            <w:r w:rsidRPr="007D5748">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pPr>
          </w:p>
        </w:tc>
        <w:tc>
          <w:tcPr>
            <w:tcW w:w="222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7070" w:type="dxa"/>
            <w:tcBorders>
              <w:top w:val="nil"/>
              <w:left w:val="single" w:sz="4" w:space="0" w:color="auto"/>
              <w:bottom w:val="single" w:sz="4" w:space="0" w:color="auto"/>
              <w:right w:val="single" w:sz="4" w:space="0" w:color="auto"/>
            </w:tcBorders>
          </w:tcPr>
          <w:p w:rsidR="00BC4D3C" w:rsidRPr="007D5748" w:rsidRDefault="00BC4D3C" w:rsidP="00BC4D3C">
            <w:pPr>
              <w:rPr>
                <w:sz w:val="20"/>
                <w:szCs w:val="20"/>
                <w:vertAlign w:val="superscript"/>
              </w:rPr>
            </w:pPr>
            <w:r w:rsidRPr="007D5748">
              <w:rPr>
                <w:sz w:val="20"/>
                <w:szCs w:val="20"/>
              </w:rPr>
              <w:t xml:space="preserve">  Tovary a služby (630)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pPr>
          </w:p>
        </w:tc>
        <w:tc>
          <w:tcPr>
            <w:tcW w:w="222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7070" w:type="dxa"/>
            <w:tcBorders>
              <w:top w:val="nil"/>
              <w:left w:val="single" w:sz="4" w:space="0" w:color="auto"/>
              <w:bottom w:val="single" w:sz="4" w:space="0" w:color="auto"/>
              <w:right w:val="single" w:sz="4" w:space="0" w:color="auto"/>
            </w:tcBorders>
          </w:tcPr>
          <w:p w:rsidR="00BC4D3C" w:rsidRPr="007D5748" w:rsidRDefault="00BC4D3C" w:rsidP="00BC4D3C">
            <w:pPr>
              <w:rPr>
                <w:sz w:val="20"/>
                <w:szCs w:val="20"/>
              </w:rPr>
            </w:pPr>
            <w:r w:rsidRPr="007D5748">
              <w:rPr>
                <w:sz w:val="20"/>
                <w:szCs w:val="20"/>
              </w:rPr>
              <w:t xml:space="preserve">  Bežné transfery (640)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C4D3C" w:rsidRPr="00A878A5" w:rsidRDefault="00BC4D3C" w:rsidP="00BC4D3C">
            <w:pPr>
              <w:pStyle w:val="Bezriadkovania"/>
              <w:jc w:val="right"/>
              <w:rPr>
                <w:rFonts w:ascii="Times New Roman" w:hAnsi="Times New Roman" w:cs="Times New Roman"/>
              </w:rPr>
            </w:pPr>
            <w:r w:rsidRPr="00A878A5">
              <w:rPr>
                <w:rFonts w:ascii="Times New Roman" w:hAnsi="Times New Roman" w:cs="Times New Roman"/>
              </w:rPr>
              <w:t xml:space="preserve">3 140 000 </w:t>
            </w:r>
          </w:p>
        </w:tc>
        <w:tc>
          <w:tcPr>
            <w:tcW w:w="1540" w:type="dxa"/>
            <w:tcBorders>
              <w:top w:val="nil"/>
              <w:left w:val="nil"/>
              <w:bottom w:val="single" w:sz="4" w:space="0" w:color="auto"/>
              <w:right w:val="single" w:sz="4" w:space="0" w:color="auto"/>
            </w:tcBorders>
          </w:tcPr>
          <w:p w:rsidR="00BC4D3C" w:rsidRPr="00A878A5" w:rsidRDefault="00BC4D3C" w:rsidP="00BC4D3C">
            <w:pPr>
              <w:pStyle w:val="Bezriadkovania"/>
              <w:jc w:val="right"/>
              <w:rPr>
                <w:rFonts w:ascii="Times New Roman" w:hAnsi="Times New Roman" w:cs="Times New Roman"/>
              </w:rPr>
            </w:pPr>
            <w:r w:rsidRPr="00A878A5">
              <w:rPr>
                <w:rFonts w:ascii="Times New Roman" w:hAnsi="Times New Roman" w:cs="Times New Roman"/>
              </w:rPr>
              <w:t>5 200 000</w:t>
            </w:r>
          </w:p>
        </w:tc>
        <w:tc>
          <w:tcPr>
            <w:tcW w:w="1540" w:type="dxa"/>
            <w:tcBorders>
              <w:top w:val="nil"/>
              <w:left w:val="nil"/>
              <w:bottom w:val="single" w:sz="4" w:space="0" w:color="auto"/>
              <w:right w:val="single" w:sz="4" w:space="0" w:color="auto"/>
            </w:tcBorders>
          </w:tcPr>
          <w:p w:rsidR="00BC4D3C" w:rsidRPr="00A878A5" w:rsidRDefault="00BC4D3C" w:rsidP="00BC4D3C">
            <w:pPr>
              <w:pStyle w:val="Bezriadkovania"/>
              <w:jc w:val="right"/>
              <w:rPr>
                <w:rFonts w:ascii="Times New Roman" w:hAnsi="Times New Roman" w:cs="Times New Roman"/>
              </w:rPr>
            </w:pPr>
            <w:r w:rsidRPr="00A878A5">
              <w:rPr>
                <w:rFonts w:ascii="Times New Roman" w:hAnsi="Times New Roman" w:cs="Times New Roman"/>
              </w:rPr>
              <w:t xml:space="preserve">5 460 000 </w:t>
            </w:r>
          </w:p>
        </w:tc>
        <w:tc>
          <w:tcPr>
            <w:tcW w:w="1540" w:type="dxa"/>
            <w:tcBorders>
              <w:top w:val="nil"/>
              <w:left w:val="nil"/>
              <w:bottom w:val="single" w:sz="4" w:space="0" w:color="auto"/>
              <w:right w:val="single" w:sz="4" w:space="0" w:color="auto"/>
            </w:tcBorders>
          </w:tcPr>
          <w:p w:rsidR="00BC4D3C" w:rsidRPr="00A878A5" w:rsidRDefault="00BC4D3C" w:rsidP="00BC4D3C">
            <w:pPr>
              <w:pStyle w:val="Bezriadkovania"/>
              <w:jc w:val="right"/>
              <w:rPr>
                <w:rFonts w:ascii="Times New Roman" w:hAnsi="Times New Roman" w:cs="Times New Roman"/>
              </w:rPr>
            </w:pPr>
            <w:r w:rsidRPr="00A878A5">
              <w:rPr>
                <w:rFonts w:ascii="Times New Roman" w:hAnsi="Times New Roman" w:cs="Times New Roman"/>
              </w:rPr>
              <w:t>5 720 000</w:t>
            </w:r>
          </w:p>
        </w:tc>
        <w:tc>
          <w:tcPr>
            <w:tcW w:w="222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7070" w:type="dxa"/>
            <w:tcBorders>
              <w:top w:val="nil"/>
              <w:left w:val="single" w:sz="4" w:space="0" w:color="auto"/>
              <w:bottom w:val="single" w:sz="4" w:space="0" w:color="auto"/>
              <w:right w:val="single" w:sz="4" w:space="0" w:color="auto"/>
            </w:tcBorders>
            <w:vAlign w:val="center"/>
          </w:tcPr>
          <w:p w:rsidR="00BC4D3C" w:rsidRPr="007D5748" w:rsidRDefault="00BC4D3C" w:rsidP="00BC4D3C">
            <w:pPr>
              <w:rPr>
                <w:sz w:val="20"/>
                <w:szCs w:val="20"/>
              </w:rPr>
            </w:pPr>
            <w:r w:rsidRPr="007D5748">
              <w:rPr>
                <w:sz w:val="20"/>
                <w:szCs w:val="20"/>
              </w:rPr>
              <w:lastRenderedPageBreak/>
              <w:t xml:space="preserve">  Splácanie úrokov a ostatné platby súvisiace s </w:t>
            </w:r>
            <w:r>
              <w:t xml:space="preserve"> </w:t>
            </w:r>
            <w:r w:rsidRPr="008D339D">
              <w:rPr>
                <w:sz w:val="20"/>
                <w:szCs w:val="20"/>
              </w:rPr>
              <w:t>úverom, pôžičkou, návratnou finančnou výpomocou a finančným prenájmom</w:t>
            </w:r>
            <w:r w:rsidRPr="007D5748">
              <w:rPr>
                <w:sz w:val="20"/>
                <w:szCs w:val="20"/>
              </w:rPr>
              <w:t xml:space="preserve"> (650)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pPr>
          </w:p>
        </w:tc>
        <w:tc>
          <w:tcPr>
            <w:tcW w:w="2220" w:type="dxa"/>
            <w:tcBorders>
              <w:top w:val="nil"/>
              <w:left w:val="nil"/>
              <w:bottom w:val="single" w:sz="4" w:space="0" w:color="auto"/>
              <w:right w:val="single" w:sz="4" w:space="0" w:color="auto"/>
            </w:tcBorders>
            <w:noWrap/>
            <w:vAlign w:val="bottom"/>
          </w:tcPr>
          <w:p w:rsidR="00BC4D3C" w:rsidRPr="007D5748" w:rsidRDefault="00BC4D3C" w:rsidP="00BC4D3C"/>
        </w:tc>
      </w:tr>
      <w:tr w:rsidR="00BC4D3C" w:rsidRPr="007D5748" w:rsidTr="00BC4D3C">
        <w:trPr>
          <w:trHeight w:val="255"/>
        </w:trPr>
        <w:tc>
          <w:tcPr>
            <w:tcW w:w="7070" w:type="dxa"/>
            <w:tcBorders>
              <w:top w:val="nil"/>
              <w:left w:val="single" w:sz="4" w:space="0" w:color="auto"/>
              <w:bottom w:val="single" w:sz="4" w:space="0" w:color="auto"/>
              <w:right w:val="single" w:sz="4" w:space="0" w:color="auto"/>
            </w:tcBorders>
          </w:tcPr>
          <w:p w:rsidR="00BC4D3C" w:rsidRPr="007D5748" w:rsidRDefault="00BC4D3C" w:rsidP="00BC4D3C">
            <w:pPr>
              <w:rPr>
                <w:b/>
                <w:bCs/>
                <w:sz w:val="20"/>
                <w:szCs w:val="20"/>
              </w:rPr>
            </w:pPr>
            <w:r w:rsidRPr="007D5748">
              <w:rPr>
                <w:b/>
                <w:bCs/>
                <w:sz w:val="20"/>
                <w:szCs w:val="20"/>
              </w:rPr>
              <w:t>Kapitálové výdavky (700)</w:t>
            </w:r>
          </w:p>
        </w:tc>
        <w:tc>
          <w:tcPr>
            <w:tcW w:w="1540" w:type="dxa"/>
            <w:tcBorders>
              <w:top w:val="nil"/>
              <w:left w:val="nil"/>
              <w:bottom w:val="single" w:sz="4" w:space="0" w:color="auto"/>
              <w:right w:val="single" w:sz="4" w:space="0" w:color="auto"/>
            </w:tcBorders>
          </w:tcPr>
          <w:p w:rsidR="00BC4D3C" w:rsidRPr="007D5748" w:rsidRDefault="00BC4D3C" w:rsidP="00BC4D3C">
            <w:pPr>
              <w:jc w:val="center"/>
              <w:rPr>
                <w:b/>
                <w:bCs/>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b/>
                <w:bCs/>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b/>
                <w:bCs/>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222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7070" w:type="dxa"/>
            <w:tcBorders>
              <w:top w:val="nil"/>
              <w:left w:val="single" w:sz="4" w:space="0" w:color="auto"/>
              <w:bottom w:val="single" w:sz="4" w:space="0" w:color="auto"/>
              <w:right w:val="single" w:sz="4" w:space="0" w:color="auto"/>
            </w:tcBorders>
          </w:tcPr>
          <w:p w:rsidR="00BC4D3C" w:rsidRPr="007D5748" w:rsidRDefault="00BC4D3C" w:rsidP="00BC4D3C">
            <w:pPr>
              <w:rPr>
                <w:sz w:val="20"/>
                <w:szCs w:val="20"/>
              </w:rPr>
            </w:pPr>
            <w:r w:rsidRPr="007D5748">
              <w:rPr>
                <w:sz w:val="20"/>
                <w:szCs w:val="20"/>
              </w:rPr>
              <w:t xml:space="preserve">  Obstarávanie kapitálových aktív (710)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pPr>
          </w:p>
        </w:tc>
        <w:tc>
          <w:tcPr>
            <w:tcW w:w="222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7070" w:type="dxa"/>
            <w:tcBorders>
              <w:top w:val="nil"/>
              <w:left w:val="single" w:sz="4" w:space="0" w:color="auto"/>
              <w:bottom w:val="single" w:sz="4" w:space="0" w:color="auto"/>
              <w:right w:val="single" w:sz="4" w:space="0" w:color="auto"/>
            </w:tcBorders>
          </w:tcPr>
          <w:p w:rsidR="00BC4D3C" w:rsidRPr="007D5748" w:rsidRDefault="00BC4D3C" w:rsidP="00BC4D3C">
            <w:pPr>
              <w:rPr>
                <w:sz w:val="20"/>
                <w:szCs w:val="20"/>
              </w:rPr>
            </w:pPr>
            <w:r w:rsidRPr="007D5748">
              <w:rPr>
                <w:sz w:val="20"/>
                <w:szCs w:val="20"/>
              </w:rPr>
              <w:t xml:space="preserve">  Kapitálové transfery (720)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rPr>
                <w:sz w:val="20"/>
                <w:szCs w:val="20"/>
              </w:rPr>
            </w:pPr>
          </w:p>
        </w:tc>
        <w:tc>
          <w:tcPr>
            <w:tcW w:w="1540" w:type="dxa"/>
            <w:tcBorders>
              <w:top w:val="nil"/>
              <w:left w:val="nil"/>
              <w:bottom w:val="single" w:sz="4" w:space="0" w:color="auto"/>
              <w:right w:val="single" w:sz="4" w:space="0" w:color="auto"/>
            </w:tcBorders>
          </w:tcPr>
          <w:p w:rsidR="00BC4D3C" w:rsidRPr="007D5748" w:rsidRDefault="00BC4D3C" w:rsidP="00BC4D3C">
            <w:pPr>
              <w:jc w:val="center"/>
            </w:pPr>
          </w:p>
        </w:tc>
        <w:tc>
          <w:tcPr>
            <w:tcW w:w="222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7070" w:type="dxa"/>
            <w:tcBorders>
              <w:top w:val="nil"/>
              <w:left w:val="single" w:sz="4" w:space="0" w:color="auto"/>
              <w:bottom w:val="single" w:sz="4" w:space="0" w:color="auto"/>
              <w:right w:val="single" w:sz="4" w:space="0" w:color="auto"/>
            </w:tcBorders>
          </w:tcPr>
          <w:p w:rsidR="00BC4D3C" w:rsidRPr="007D5748" w:rsidRDefault="00BC4D3C" w:rsidP="00BC4D3C">
            <w:pPr>
              <w:rPr>
                <w:b/>
                <w:bCs/>
                <w:sz w:val="20"/>
                <w:szCs w:val="20"/>
              </w:rPr>
            </w:pPr>
            <w:r w:rsidRPr="007D574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BC4D3C" w:rsidRPr="007D5748" w:rsidRDefault="00BC4D3C" w:rsidP="00BC4D3C">
            <w:pPr>
              <w:jc w:val="center"/>
              <w:rPr>
                <w:b/>
                <w:bCs/>
              </w:rPr>
            </w:pPr>
            <w:r w:rsidRPr="007D5748">
              <w:rPr>
                <w:b/>
                <w:bCs/>
              </w:rPr>
              <w:t> </w:t>
            </w:r>
          </w:p>
        </w:tc>
        <w:tc>
          <w:tcPr>
            <w:tcW w:w="2220" w:type="dxa"/>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C4D3C" w:rsidRPr="007D5748" w:rsidRDefault="00BC4D3C" w:rsidP="00BC4D3C">
            <w:pPr>
              <w:rPr>
                <w:b/>
                <w:bCs/>
                <w:sz w:val="20"/>
                <w:szCs w:val="20"/>
              </w:rPr>
            </w:pPr>
            <w:r w:rsidRPr="007D574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C4D3C" w:rsidRPr="009E1D84" w:rsidRDefault="00BC4D3C" w:rsidP="00BC4D3C">
            <w:pPr>
              <w:pStyle w:val="Bezriadkovania"/>
              <w:jc w:val="right"/>
              <w:rPr>
                <w:rFonts w:ascii="Times New Roman" w:hAnsi="Times New Roman" w:cs="Times New Roman"/>
                <w:b/>
              </w:rPr>
            </w:pPr>
            <w:r>
              <w:rPr>
                <w:rFonts w:ascii="Times New Roman" w:hAnsi="Times New Roman" w:cs="Times New Roman"/>
                <w:b/>
              </w:rPr>
              <w:t>3 140 000</w:t>
            </w:r>
            <w:r w:rsidRPr="009E1D84">
              <w:rPr>
                <w:rFonts w:ascii="Times New Roman" w:hAnsi="Times New Roman" w:cs="Times New Roman"/>
                <w:b/>
              </w:rPr>
              <w:t xml:space="preserve">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C4D3C" w:rsidRPr="009E1D84" w:rsidRDefault="00BC4D3C" w:rsidP="00BC4D3C">
            <w:pPr>
              <w:pStyle w:val="Bezriadkovania"/>
              <w:jc w:val="right"/>
              <w:rPr>
                <w:rFonts w:ascii="Times New Roman" w:hAnsi="Times New Roman" w:cs="Times New Roman"/>
                <w:b/>
              </w:rPr>
            </w:pPr>
            <w:r w:rsidRPr="009E1D84">
              <w:rPr>
                <w:rFonts w:ascii="Times New Roman" w:hAnsi="Times New Roman" w:cs="Times New Roman"/>
                <w:b/>
              </w:rPr>
              <w:t>5 200 000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C4D3C" w:rsidRPr="009E1D84" w:rsidRDefault="00BC4D3C" w:rsidP="00BC4D3C">
            <w:pPr>
              <w:pStyle w:val="Bezriadkovania"/>
              <w:jc w:val="right"/>
              <w:rPr>
                <w:rFonts w:ascii="Times New Roman" w:hAnsi="Times New Roman" w:cs="Times New Roman"/>
                <w:b/>
              </w:rPr>
            </w:pPr>
            <w:r w:rsidRPr="009E1D84">
              <w:rPr>
                <w:rFonts w:ascii="Times New Roman" w:hAnsi="Times New Roman" w:cs="Times New Roman"/>
                <w:b/>
              </w:rPr>
              <w:t xml:space="preserve">5 460 000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C4D3C" w:rsidRPr="009E1D84" w:rsidRDefault="00BC4D3C" w:rsidP="00BC4D3C">
            <w:pPr>
              <w:pStyle w:val="Bezriadkovania"/>
              <w:jc w:val="right"/>
              <w:rPr>
                <w:rFonts w:ascii="Times New Roman" w:hAnsi="Times New Roman" w:cs="Times New Roman"/>
                <w:b/>
              </w:rPr>
            </w:pPr>
            <w:r>
              <w:rPr>
                <w:rFonts w:ascii="Times New Roman" w:hAnsi="Times New Roman" w:cs="Times New Roman"/>
                <w:b/>
              </w:rPr>
              <w:t>5 720 000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C4D3C" w:rsidRPr="007D5748" w:rsidRDefault="00BC4D3C" w:rsidP="00BC4D3C">
            <w:r w:rsidRPr="007D5748">
              <w:t> </w:t>
            </w:r>
          </w:p>
        </w:tc>
      </w:tr>
    </w:tbl>
    <w:p w:rsidR="00BC4D3C" w:rsidRPr="007D5748" w:rsidRDefault="00BC4D3C" w:rsidP="00BC4D3C">
      <w:pPr>
        <w:tabs>
          <w:tab w:val="num" w:pos="1080"/>
        </w:tabs>
        <w:ind w:left="-900"/>
        <w:jc w:val="both"/>
        <w:rPr>
          <w:bCs/>
          <w:sz w:val="20"/>
          <w:szCs w:val="20"/>
        </w:rPr>
      </w:pPr>
      <w:r w:rsidRPr="007D5748">
        <w:rPr>
          <w:bCs/>
          <w:sz w:val="20"/>
          <w:szCs w:val="20"/>
        </w:rPr>
        <w:t>2 –  výdavky rozpísať až do položiek platnej ekonomickej klasifikácie</w:t>
      </w:r>
    </w:p>
    <w:p w:rsidR="00BC4D3C" w:rsidRPr="007D5748" w:rsidRDefault="00BC4D3C" w:rsidP="00BC4D3C">
      <w:pPr>
        <w:tabs>
          <w:tab w:val="num" w:pos="1080"/>
        </w:tabs>
        <w:ind w:left="-900"/>
        <w:jc w:val="both"/>
        <w:rPr>
          <w:bCs/>
          <w:szCs w:val="20"/>
        </w:rPr>
      </w:pPr>
    </w:p>
    <w:p w:rsidR="00BC4D3C" w:rsidRPr="007D5748" w:rsidRDefault="00BC4D3C" w:rsidP="00BC4D3C">
      <w:pPr>
        <w:tabs>
          <w:tab w:val="num" w:pos="1080"/>
        </w:tabs>
        <w:ind w:left="-900"/>
        <w:jc w:val="both"/>
        <w:rPr>
          <w:b/>
          <w:bCs/>
          <w:sz w:val="20"/>
          <w:szCs w:val="20"/>
        </w:rPr>
      </w:pPr>
      <w:r w:rsidRPr="007D5748">
        <w:rPr>
          <w:b/>
          <w:bCs/>
          <w:szCs w:val="20"/>
        </w:rPr>
        <w:t>Poznámka:</w:t>
      </w:r>
    </w:p>
    <w:p w:rsidR="00BC4D3C" w:rsidRPr="007D5748" w:rsidRDefault="00BC4D3C" w:rsidP="00BC4D3C">
      <w:pPr>
        <w:tabs>
          <w:tab w:val="num" w:pos="1080"/>
        </w:tabs>
        <w:ind w:left="-900"/>
        <w:jc w:val="both"/>
        <w:rPr>
          <w:b/>
          <w:bCs/>
          <w:sz w:val="20"/>
          <w:szCs w:val="20"/>
        </w:rPr>
      </w:pPr>
    </w:p>
    <w:p w:rsidR="00BC4D3C" w:rsidRDefault="00BC4D3C" w:rsidP="007C08EC">
      <w:pPr>
        <w:tabs>
          <w:tab w:val="num" w:pos="1080"/>
        </w:tabs>
        <w:ind w:left="-900"/>
        <w:jc w:val="both"/>
        <w:rPr>
          <w:bCs/>
          <w:sz w:val="20"/>
          <w:szCs w:val="20"/>
        </w:rPr>
      </w:pPr>
      <w:r w:rsidRPr="007D5748">
        <w:rPr>
          <w:bCs/>
          <w:szCs w:val="20"/>
        </w:rPr>
        <w:t>Ak sa vplyv týka viacerých subjektov verejnej správy, vypĺňa sa samostatná tabuľka za každý subjekt.</w:t>
      </w:r>
    </w:p>
    <w:p w:rsidR="00BC4D3C" w:rsidRPr="007D5748" w:rsidRDefault="00BC4D3C" w:rsidP="007C08EC">
      <w:pPr>
        <w:tabs>
          <w:tab w:val="num" w:pos="1080"/>
        </w:tabs>
        <w:jc w:val="both"/>
        <w:rPr>
          <w:bCs/>
          <w:sz w:val="20"/>
          <w:szCs w:val="20"/>
        </w:rPr>
      </w:pPr>
    </w:p>
    <w:p w:rsidR="00BC4D3C" w:rsidRPr="007D5748" w:rsidRDefault="00BC4D3C" w:rsidP="00BC4D3C">
      <w:pPr>
        <w:tabs>
          <w:tab w:val="num" w:pos="1080"/>
        </w:tabs>
        <w:jc w:val="right"/>
        <w:rPr>
          <w:bCs/>
        </w:rPr>
      </w:pPr>
      <w:r w:rsidRPr="007D5748">
        <w:rPr>
          <w:bCs/>
        </w:rPr>
        <w:t xml:space="preserve">                 Tabuľka č. 5 </w:t>
      </w:r>
    </w:p>
    <w:p w:rsidR="00BC4D3C" w:rsidRPr="007D5748" w:rsidRDefault="00BC4D3C" w:rsidP="00BC4D3C">
      <w:pPr>
        <w:tabs>
          <w:tab w:val="num" w:pos="1080"/>
        </w:tabs>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BC4D3C" w:rsidRPr="007D5748" w:rsidTr="00BC4D3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4D3C" w:rsidRPr="007D5748" w:rsidRDefault="00BC4D3C" w:rsidP="00BC4D3C">
            <w:pPr>
              <w:jc w:val="center"/>
              <w:rPr>
                <w:b/>
                <w:bCs/>
              </w:rPr>
            </w:pPr>
            <w:r w:rsidRPr="007D5748">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rPr>
            </w:pPr>
            <w:r w:rsidRPr="007D574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C4D3C" w:rsidRPr="007D5748" w:rsidRDefault="00BC4D3C" w:rsidP="00BC4D3C">
            <w:pPr>
              <w:jc w:val="center"/>
              <w:rPr>
                <w:b/>
                <w:bCs/>
              </w:rPr>
            </w:pPr>
            <w:r w:rsidRPr="007D5748">
              <w:rPr>
                <w:b/>
                <w:bCs/>
              </w:rPr>
              <w:t>poznámka</w:t>
            </w:r>
          </w:p>
        </w:tc>
      </w:tr>
      <w:tr w:rsidR="00BC4D3C" w:rsidRPr="007D5748" w:rsidTr="00BC4D3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4D3C" w:rsidRPr="007D5748" w:rsidRDefault="00BC4D3C" w:rsidP="00BC4D3C">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rPr>
            </w:pPr>
            <w:r w:rsidRPr="007D5748">
              <w:rPr>
                <w:b/>
                <w:bCs/>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rPr>
            </w:pPr>
            <w:r w:rsidRPr="007D5748">
              <w:rPr>
                <w:b/>
                <w:bCs/>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rPr>
            </w:pPr>
            <w:r w:rsidRPr="007D5748">
              <w:rPr>
                <w:b/>
                <w:bCs/>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rPr>
            </w:pPr>
            <w:r w:rsidRPr="007D5748">
              <w:rPr>
                <w:b/>
                <w:bCs/>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4D3C" w:rsidRPr="007D5748" w:rsidRDefault="00BC4D3C" w:rsidP="00BC4D3C">
            <w:pPr>
              <w:rPr>
                <w:b/>
                <w:bCs/>
                <w:color w:val="FFFFFF"/>
              </w:rPr>
            </w:pPr>
          </w:p>
        </w:tc>
      </w:tr>
      <w:tr w:rsidR="00BC4D3C" w:rsidRPr="007D5748" w:rsidTr="00BC4D3C">
        <w:trPr>
          <w:trHeight w:val="255"/>
        </w:trPr>
        <w:tc>
          <w:tcPr>
            <w:tcW w:w="6188" w:type="dxa"/>
            <w:tcBorders>
              <w:top w:val="nil"/>
              <w:left w:val="single" w:sz="4" w:space="0" w:color="auto"/>
              <w:bottom w:val="single" w:sz="4" w:space="0" w:color="auto"/>
              <w:right w:val="single" w:sz="4" w:space="0" w:color="auto"/>
            </w:tcBorders>
          </w:tcPr>
          <w:p w:rsidR="00BC4D3C" w:rsidRPr="007D5748" w:rsidRDefault="00BC4D3C" w:rsidP="00BC4D3C">
            <w:pPr>
              <w:rPr>
                <w:b/>
                <w:bCs/>
              </w:rPr>
            </w:pPr>
            <w:r w:rsidRPr="007D5748">
              <w:rPr>
                <w:b/>
                <w:bCs/>
              </w:rPr>
              <w:t>Počet zamestnancov celkom</w:t>
            </w:r>
          </w:p>
        </w:tc>
        <w:tc>
          <w:tcPr>
            <w:tcW w:w="1698"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788"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2418" w:type="dxa"/>
            <w:gridSpan w:val="2"/>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722"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620" w:type="dxa"/>
            <w:gridSpan w:val="2"/>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6188" w:type="dxa"/>
            <w:tcBorders>
              <w:top w:val="nil"/>
              <w:left w:val="single" w:sz="4" w:space="0" w:color="auto"/>
              <w:bottom w:val="single" w:sz="4" w:space="0" w:color="auto"/>
              <w:right w:val="single" w:sz="4" w:space="0" w:color="auto"/>
            </w:tcBorders>
          </w:tcPr>
          <w:p w:rsidR="00BC4D3C" w:rsidRPr="007D5748" w:rsidRDefault="00BC4D3C" w:rsidP="00BC4D3C">
            <w:pPr>
              <w:rPr>
                <w:b/>
                <w:bCs/>
              </w:rPr>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BC4D3C" w:rsidRPr="007D5748" w:rsidRDefault="00BC4D3C" w:rsidP="00BC4D3C">
            <w:pPr>
              <w:jc w:val="center"/>
              <w:rPr>
                <w:b/>
                <w:bCs/>
              </w:rPr>
            </w:pPr>
          </w:p>
        </w:tc>
        <w:tc>
          <w:tcPr>
            <w:tcW w:w="1788" w:type="dxa"/>
            <w:tcBorders>
              <w:top w:val="single" w:sz="4" w:space="0" w:color="auto"/>
              <w:left w:val="nil"/>
              <w:bottom w:val="single" w:sz="4" w:space="0" w:color="auto"/>
              <w:right w:val="single" w:sz="4" w:space="0" w:color="auto"/>
            </w:tcBorders>
          </w:tcPr>
          <w:p w:rsidR="00BC4D3C" w:rsidRPr="007D5748" w:rsidRDefault="00BC4D3C" w:rsidP="00BC4D3C">
            <w:pPr>
              <w:jc w:val="center"/>
              <w:rPr>
                <w:b/>
                <w:bCs/>
              </w:rPr>
            </w:pPr>
          </w:p>
        </w:tc>
        <w:tc>
          <w:tcPr>
            <w:tcW w:w="2418" w:type="dxa"/>
            <w:gridSpan w:val="2"/>
            <w:tcBorders>
              <w:top w:val="single" w:sz="4" w:space="0" w:color="auto"/>
              <w:left w:val="nil"/>
              <w:bottom w:val="single" w:sz="4" w:space="0" w:color="auto"/>
              <w:right w:val="single" w:sz="4" w:space="0" w:color="auto"/>
            </w:tcBorders>
          </w:tcPr>
          <w:p w:rsidR="00BC4D3C" w:rsidRPr="007D5748" w:rsidRDefault="00BC4D3C" w:rsidP="00BC4D3C">
            <w:pPr>
              <w:jc w:val="center"/>
              <w:rPr>
                <w:b/>
                <w:bCs/>
              </w:rPr>
            </w:pPr>
          </w:p>
        </w:tc>
        <w:tc>
          <w:tcPr>
            <w:tcW w:w="1722" w:type="dxa"/>
            <w:tcBorders>
              <w:top w:val="single" w:sz="4" w:space="0" w:color="auto"/>
              <w:left w:val="nil"/>
              <w:bottom w:val="single" w:sz="4" w:space="0" w:color="auto"/>
              <w:right w:val="single" w:sz="4" w:space="0" w:color="auto"/>
            </w:tcBorders>
          </w:tcPr>
          <w:p w:rsidR="00BC4D3C" w:rsidRPr="007D5748" w:rsidRDefault="00BC4D3C" w:rsidP="00BC4D3C">
            <w:pPr>
              <w:jc w:val="center"/>
              <w:rPr>
                <w:b/>
                <w:bCs/>
              </w:rPr>
            </w:pPr>
          </w:p>
        </w:tc>
        <w:tc>
          <w:tcPr>
            <w:tcW w:w="1620" w:type="dxa"/>
            <w:gridSpan w:val="2"/>
            <w:tcBorders>
              <w:top w:val="nil"/>
              <w:left w:val="nil"/>
              <w:bottom w:val="single" w:sz="4" w:space="0" w:color="auto"/>
              <w:right w:val="single" w:sz="4" w:space="0" w:color="auto"/>
            </w:tcBorders>
            <w:noWrap/>
            <w:vAlign w:val="bottom"/>
          </w:tcPr>
          <w:p w:rsidR="00BC4D3C" w:rsidRPr="007D5748" w:rsidRDefault="00BC4D3C" w:rsidP="00BC4D3C"/>
        </w:tc>
      </w:tr>
      <w:tr w:rsidR="00BC4D3C" w:rsidRPr="007D5748" w:rsidTr="00BC4D3C">
        <w:trPr>
          <w:trHeight w:val="255"/>
        </w:trPr>
        <w:tc>
          <w:tcPr>
            <w:tcW w:w="6188" w:type="dxa"/>
            <w:tcBorders>
              <w:top w:val="nil"/>
              <w:left w:val="single" w:sz="4" w:space="0" w:color="auto"/>
              <w:bottom w:val="single" w:sz="4" w:space="0" w:color="auto"/>
              <w:right w:val="single" w:sz="4" w:space="0" w:color="auto"/>
            </w:tcBorders>
          </w:tcPr>
          <w:p w:rsidR="00BC4D3C" w:rsidRPr="007D5748" w:rsidRDefault="00BC4D3C" w:rsidP="00BC4D3C">
            <w:pPr>
              <w:rPr>
                <w:b/>
                <w:bCs/>
              </w:rPr>
            </w:pPr>
            <w:r w:rsidRPr="007D5748">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BC4D3C" w:rsidRPr="007D5748" w:rsidRDefault="00BC4D3C" w:rsidP="00BC4D3C">
            <w:pPr>
              <w:jc w:val="center"/>
              <w:rPr>
                <w:b/>
                <w:bCs/>
              </w:rPr>
            </w:pPr>
          </w:p>
        </w:tc>
        <w:tc>
          <w:tcPr>
            <w:tcW w:w="1788" w:type="dxa"/>
            <w:tcBorders>
              <w:top w:val="single" w:sz="4" w:space="0" w:color="auto"/>
              <w:left w:val="nil"/>
              <w:bottom w:val="single" w:sz="4" w:space="0" w:color="auto"/>
              <w:right w:val="single" w:sz="4" w:space="0" w:color="auto"/>
            </w:tcBorders>
          </w:tcPr>
          <w:p w:rsidR="00BC4D3C" w:rsidRPr="007D5748" w:rsidRDefault="00BC4D3C" w:rsidP="00BC4D3C">
            <w:pPr>
              <w:jc w:val="center"/>
              <w:rPr>
                <w:b/>
                <w:bCs/>
              </w:rPr>
            </w:pPr>
          </w:p>
        </w:tc>
        <w:tc>
          <w:tcPr>
            <w:tcW w:w="2418" w:type="dxa"/>
            <w:gridSpan w:val="2"/>
            <w:tcBorders>
              <w:top w:val="single" w:sz="4" w:space="0" w:color="auto"/>
              <w:left w:val="nil"/>
              <w:bottom w:val="single" w:sz="4" w:space="0" w:color="auto"/>
              <w:right w:val="single" w:sz="4" w:space="0" w:color="auto"/>
            </w:tcBorders>
          </w:tcPr>
          <w:p w:rsidR="00BC4D3C" w:rsidRPr="007D5748" w:rsidRDefault="00BC4D3C" w:rsidP="00BC4D3C">
            <w:pPr>
              <w:jc w:val="center"/>
              <w:rPr>
                <w:b/>
                <w:bCs/>
              </w:rPr>
            </w:pPr>
          </w:p>
        </w:tc>
        <w:tc>
          <w:tcPr>
            <w:tcW w:w="1722" w:type="dxa"/>
            <w:tcBorders>
              <w:top w:val="single" w:sz="4" w:space="0" w:color="auto"/>
              <w:left w:val="nil"/>
              <w:bottom w:val="single" w:sz="4" w:space="0" w:color="auto"/>
              <w:right w:val="single" w:sz="4" w:space="0" w:color="auto"/>
            </w:tcBorders>
          </w:tcPr>
          <w:p w:rsidR="00BC4D3C" w:rsidRPr="007D5748" w:rsidRDefault="00BC4D3C" w:rsidP="00BC4D3C">
            <w:pPr>
              <w:jc w:val="center"/>
              <w:rPr>
                <w:b/>
                <w:bCs/>
              </w:rPr>
            </w:pPr>
          </w:p>
        </w:tc>
        <w:tc>
          <w:tcPr>
            <w:tcW w:w="1620" w:type="dxa"/>
            <w:gridSpan w:val="2"/>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6188" w:type="dxa"/>
            <w:tcBorders>
              <w:top w:val="nil"/>
              <w:left w:val="single" w:sz="4" w:space="0" w:color="auto"/>
              <w:bottom w:val="single" w:sz="4" w:space="0" w:color="auto"/>
              <w:right w:val="single" w:sz="4" w:space="0" w:color="auto"/>
            </w:tcBorders>
          </w:tcPr>
          <w:p w:rsidR="00BC4D3C" w:rsidRPr="007D5748" w:rsidRDefault="00BC4D3C" w:rsidP="00BC4D3C">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BC4D3C" w:rsidRPr="007D5748" w:rsidRDefault="00BC4D3C" w:rsidP="00BC4D3C">
            <w:pPr>
              <w:jc w:val="center"/>
            </w:pPr>
            <w:r w:rsidRPr="007D5748">
              <w:t> </w:t>
            </w:r>
          </w:p>
        </w:tc>
        <w:tc>
          <w:tcPr>
            <w:tcW w:w="1788" w:type="dxa"/>
            <w:tcBorders>
              <w:top w:val="single" w:sz="4" w:space="0" w:color="auto"/>
              <w:left w:val="nil"/>
              <w:bottom w:val="single" w:sz="4" w:space="0" w:color="auto"/>
              <w:right w:val="single" w:sz="4" w:space="0" w:color="auto"/>
            </w:tcBorders>
          </w:tcPr>
          <w:p w:rsidR="00BC4D3C" w:rsidRPr="007D5748" w:rsidRDefault="00BC4D3C" w:rsidP="00BC4D3C">
            <w:pPr>
              <w:jc w:val="center"/>
            </w:pPr>
            <w:r w:rsidRPr="007D5748">
              <w:t> </w:t>
            </w:r>
          </w:p>
        </w:tc>
        <w:tc>
          <w:tcPr>
            <w:tcW w:w="2418" w:type="dxa"/>
            <w:gridSpan w:val="2"/>
            <w:tcBorders>
              <w:top w:val="single" w:sz="4" w:space="0" w:color="auto"/>
              <w:left w:val="nil"/>
              <w:bottom w:val="single" w:sz="4" w:space="0" w:color="auto"/>
              <w:right w:val="single" w:sz="4" w:space="0" w:color="auto"/>
            </w:tcBorders>
          </w:tcPr>
          <w:p w:rsidR="00BC4D3C" w:rsidRPr="007D5748" w:rsidRDefault="00BC4D3C" w:rsidP="00BC4D3C">
            <w:pPr>
              <w:jc w:val="center"/>
            </w:pPr>
            <w:r w:rsidRPr="007D5748">
              <w:t> </w:t>
            </w:r>
          </w:p>
        </w:tc>
        <w:tc>
          <w:tcPr>
            <w:tcW w:w="1722" w:type="dxa"/>
            <w:tcBorders>
              <w:top w:val="single" w:sz="4" w:space="0" w:color="auto"/>
              <w:left w:val="nil"/>
              <w:bottom w:val="single" w:sz="4" w:space="0" w:color="auto"/>
              <w:right w:val="single" w:sz="4" w:space="0" w:color="auto"/>
            </w:tcBorders>
          </w:tcPr>
          <w:p w:rsidR="00BC4D3C" w:rsidRPr="007D5748" w:rsidRDefault="00BC4D3C" w:rsidP="00BC4D3C">
            <w:pPr>
              <w:jc w:val="center"/>
            </w:pPr>
            <w:r w:rsidRPr="007D5748">
              <w:t> </w:t>
            </w:r>
          </w:p>
        </w:tc>
        <w:tc>
          <w:tcPr>
            <w:tcW w:w="1620" w:type="dxa"/>
            <w:gridSpan w:val="2"/>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BC4D3C" w:rsidRPr="007D5748" w:rsidRDefault="00BC4D3C" w:rsidP="00BC4D3C">
            <w:pPr>
              <w:rPr>
                <w:b/>
                <w:bCs/>
              </w:rPr>
            </w:pPr>
            <w:r w:rsidRPr="007D5748">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rPr>
            </w:pPr>
            <w:r w:rsidRPr="007D5748">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rPr>
            </w:pPr>
            <w:r w:rsidRPr="007D5748">
              <w:rPr>
                <w:b/>
                <w:bCs/>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rPr>
            </w:pPr>
            <w:r w:rsidRPr="007D5748">
              <w:rPr>
                <w:b/>
                <w:bCs/>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BC4D3C" w:rsidRPr="007D5748" w:rsidRDefault="00BC4D3C" w:rsidP="00BC4D3C">
            <w:pPr>
              <w:jc w:val="center"/>
              <w:rPr>
                <w:b/>
                <w:bCs/>
              </w:rPr>
            </w:pPr>
            <w:r w:rsidRPr="007D5748">
              <w:rPr>
                <w:b/>
                <w:bCs/>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BC4D3C" w:rsidRPr="007D5748" w:rsidRDefault="00BC4D3C" w:rsidP="00BC4D3C">
            <w:pPr>
              <w:rPr>
                <w:b/>
                <w:bCs/>
              </w:rPr>
            </w:pPr>
            <w:r w:rsidRPr="007D5748">
              <w:rPr>
                <w:b/>
                <w:bCs/>
              </w:rPr>
              <w:t> </w:t>
            </w:r>
          </w:p>
        </w:tc>
      </w:tr>
      <w:tr w:rsidR="00BC4D3C" w:rsidRPr="007D5748" w:rsidTr="00BC4D3C">
        <w:trPr>
          <w:trHeight w:val="255"/>
        </w:trPr>
        <w:tc>
          <w:tcPr>
            <w:tcW w:w="6188" w:type="dxa"/>
            <w:tcBorders>
              <w:top w:val="nil"/>
              <w:left w:val="single" w:sz="4" w:space="0" w:color="auto"/>
              <w:bottom w:val="single" w:sz="4" w:space="0" w:color="auto"/>
              <w:right w:val="single" w:sz="4" w:space="0" w:color="auto"/>
            </w:tcBorders>
          </w:tcPr>
          <w:p w:rsidR="00BC4D3C" w:rsidRPr="007D5748" w:rsidRDefault="00BC4D3C" w:rsidP="00BC4D3C">
            <w:pPr>
              <w:rPr>
                <w:b/>
                <w:bCs/>
              </w:rPr>
            </w:pPr>
            <w:r w:rsidRPr="007D5748">
              <w:rPr>
                <w:b/>
                <w:bCs/>
              </w:rPr>
              <w:t>Mzdy, platy, služobné príjmy a ostatné osobné vyrovnania (610)</w:t>
            </w:r>
          </w:p>
        </w:tc>
        <w:tc>
          <w:tcPr>
            <w:tcW w:w="1698"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788"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2418" w:type="dxa"/>
            <w:gridSpan w:val="2"/>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722"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620" w:type="dxa"/>
            <w:gridSpan w:val="2"/>
            <w:tcBorders>
              <w:top w:val="nil"/>
              <w:left w:val="nil"/>
              <w:bottom w:val="single" w:sz="4" w:space="0" w:color="auto"/>
              <w:right w:val="single" w:sz="4" w:space="0" w:color="auto"/>
            </w:tcBorders>
            <w:noWrap/>
            <w:vAlign w:val="bottom"/>
          </w:tcPr>
          <w:p w:rsidR="00BC4D3C" w:rsidRPr="007D5748" w:rsidRDefault="00BC4D3C" w:rsidP="00BC4D3C">
            <w:pPr>
              <w:rPr>
                <w:b/>
                <w:bCs/>
              </w:rPr>
            </w:pPr>
            <w:r w:rsidRPr="007D5748">
              <w:rPr>
                <w:b/>
                <w:bCs/>
              </w:rPr>
              <w:t> </w:t>
            </w:r>
          </w:p>
        </w:tc>
      </w:tr>
      <w:tr w:rsidR="00BC4D3C" w:rsidRPr="007D5748" w:rsidTr="00BC4D3C">
        <w:trPr>
          <w:trHeight w:val="255"/>
        </w:trPr>
        <w:tc>
          <w:tcPr>
            <w:tcW w:w="6188" w:type="dxa"/>
            <w:tcBorders>
              <w:top w:val="nil"/>
              <w:left w:val="single" w:sz="4" w:space="0" w:color="auto"/>
              <w:bottom w:val="single" w:sz="4" w:space="0" w:color="auto"/>
              <w:right w:val="single" w:sz="4" w:space="0" w:color="auto"/>
            </w:tcBorders>
          </w:tcPr>
          <w:p w:rsidR="00BC4D3C" w:rsidRPr="007D5748" w:rsidRDefault="00BC4D3C" w:rsidP="00BC4D3C">
            <w:r w:rsidRPr="007D5748">
              <w:rPr>
                <w:b/>
                <w:bCs/>
              </w:rPr>
              <w:t xml:space="preserve">   z toho vplyv na ŠR</w:t>
            </w:r>
          </w:p>
        </w:tc>
        <w:tc>
          <w:tcPr>
            <w:tcW w:w="1698" w:type="dxa"/>
            <w:tcBorders>
              <w:top w:val="nil"/>
              <w:left w:val="nil"/>
              <w:bottom w:val="single" w:sz="4" w:space="0" w:color="auto"/>
              <w:right w:val="single" w:sz="4" w:space="0" w:color="auto"/>
            </w:tcBorders>
          </w:tcPr>
          <w:p w:rsidR="00BC4D3C" w:rsidRPr="007D5748" w:rsidRDefault="00BC4D3C" w:rsidP="00BC4D3C">
            <w:pPr>
              <w:jc w:val="center"/>
            </w:pPr>
          </w:p>
        </w:tc>
        <w:tc>
          <w:tcPr>
            <w:tcW w:w="1788" w:type="dxa"/>
            <w:tcBorders>
              <w:top w:val="nil"/>
              <w:left w:val="nil"/>
              <w:bottom w:val="single" w:sz="4" w:space="0" w:color="auto"/>
              <w:right w:val="single" w:sz="4" w:space="0" w:color="auto"/>
            </w:tcBorders>
          </w:tcPr>
          <w:p w:rsidR="00BC4D3C" w:rsidRPr="007D5748" w:rsidRDefault="00BC4D3C" w:rsidP="00BC4D3C">
            <w:pPr>
              <w:jc w:val="center"/>
            </w:pPr>
          </w:p>
        </w:tc>
        <w:tc>
          <w:tcPr>
            <w:tcW w:w="2418" w:type="dxa"/>
            <w:gridSpan w:val="2"/>
            <w:tcBorders>
              <w:top w:val="nil"/>
              <w:left w:val="nil"/>
              <w:bottom w:val="single" w:sz="4" w:space="0" w:color="auto"/>
              <w:right w:val="single" w:sz="4" w:space="0" w:color="auto"/>
            </w:tcBorders>
          </w:tcPr>
          <w:p w:rsidR="00BC4D3C" w:rsidRPr="007D5748" w:rsidRDefault="00BC4D3C" w:rsidP="00BC4D3C">
            <w:pPr>
              <w:jc w:val="center"/>
            </w:pPr>
          </w:p>
        </w:tc>
        <w:tc>
          <w:tcPr>
            <w:tcW w:w="1722" w:type="dxa"/>
            <w:tcBorders>
              <w:top w:val="nil"/>
              <w:left w:val="nil"/>
              <w:bottom w:val="single" w:sz="4" w:space="0" w:color="auto"/>
              <w:right w:val="single" w:sz="4" w:space="0" w:color="auto"/>
            </w:tcBorders>
          </w:tcPr>
          <w:p w:rsidR="00BC4D3C" w:rsidRPr="007D5748" w:rsidRDefault="00BC4D3C" w:rsidP="00BC4D3C">
            <w:pPr>
              <w:jc w:val="center"/>
            </w:pPr>
          </w:p>
        </w:tc>
        <w:tc>
          <w:tcPr>
            <w:tcW w:w="1620" w:type="dxa"/>
            <w:gridSpan w:val="2"/>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6188" w:type="dxa"/>
            <w:tcBorders>
              <w:top w:val="nil"/>
              <w:left w:val="single" w:sz="4" w:space="0" w:color="auto"/>
              <w:bottom w:val="single" w:sz="4" w:space="0" w:color="auto"/>
              <w:right w:val="single" w:sz="4" w:space="0" w:color="auto"/>
            </w:tcBorders>
          </w:tcPr>
          <w:p w:rsidR="00BC4D3C" w:rsidRPr="007D5748" w:rsidRDefault="00BC4D3C" w:rsidP="00BC4D3C">
            <w:pPr>
              <w:rPr>
                <w:b/>
                <w:bCs/>
              </w:rPr>
            </w:pPr>
            <w:r w:rsidRPr="007D5748">
              <w:rPr>
                <w:b/>
                <w:bCs/>
              </w:rPr>
              <w:t>Poistné a príspevok do poisťovní (620)</w:t>
            </w:r>
          </w:p>
        </w:tc>
        <w:tc>
          <w:tcPr>
            <w:tcW w:w="1698"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788"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2418" w:type="dxa"/>
            <w:gridSpan w:val="2"/>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722" w:type="dxa"/>
            <w:tcBorders>
              <w:top w:val="nil"/>
              <w:left w:val="nil"/>
              <w:bottom w:val="single" w:sz="4" w:space="0" w:color="auto"/>
              <w:right w:val="single" w:sz="4" w:space="0" w:color="auto"/>
            </w:tcBorders>
          </w:tcPr>
          <w:p w:rsidR="00BC4D3C" w:rsidRPr="007D5748" w:rsidRDefault="00BC4D3C" w:rsidP="00BC4D3C">
            <w:pPr>
              <w:jc w:val="center"/>
              <w:rPr>
                <w:b/>
                <w:bCs/>
              </w:rPr>
            </w:pPr>
          </w:p>
        </w:tc>
        <w:tc>
          <w:tcPr>
            <w:tcW w:w="1620" w:type="dxa"/>
            <w:gridSpan w:val="2"/>
            <w:tcBorders>
              <w:top w:val="nil"/>
              <w:left w:val="nil"/>
              <w:bottom w:val="single" w:sz="4" w:space="0" w:color="auto"/>
              <w:right w:val="single" w:sz="4" w:space="0" w:color="auto"/>
            </w:tcBorders>
            <w:noWrap/>
            <w:vAlign w:val="bottom"/>
          </w:tcPr>
          <w:p w:rsidR="00BC4D3C" w:rsidRPr="007D5748" w:rsidRDefault="00BC4D3C" w:rsidP="00BC4D3C">
            <w:pPr>
              <w:rPr>
                <w:b/>
                <w:bCs/>
              </w:rPr>
            </w:pPr>
            <w:r w:rsidRPr="007D5748">
              <w:rPr>
                <w:b/>
                <w:bCs/>
              </w:rPr>
              <w:t> </w:t>
            </w:r>
          </w:p>
        </w:tc>
      </w:tr>
      <w:tr w:rsidR="00BC4D3C" w:rsidRPr="007D5748" w:rsidTr="00BC4D3C">
        <w:trPr>
          <w:trHeight w:val="255"/>
        </w:trPr>
        <w:tc>
          <w:tcPr>
            <w:tcW w:w="6188" w:type="dxa"/>
            <w:tcBorders>
              <w:top w:val="nil"/>
              <w:left w:val="single" w:sz="4" w:space="0" w:color="auto"/>
              <w:bottom w:val="single" w:sz="4" w:space="0" w:color="auto"/>
              <w:right w:val="single" w:sz="4" w:space="0" w:color="auto"/>
            </w:tcBorders>
          </w:tcPr>
          <w:p w:rsidR="00BC4D3C" w:rsidRPr="007D5748" w:rsidRDefault="00BC4D3C" w:rsidP="00BC4D3C">
            <w:r w:rsidRPr="007D5748">
              <w:rPr>
                <w:b/>
                <w:bCs/>
              </w:rPr>
              <w:t xml:space="preserve">   z toho vplyv na ŠR</w:t>
            </w:r>
          </w:p>
        </w:tc>
        <w:tc>
          <w:tcPr>
            <w:tcW w:w="1698" w:type="dxa"/>
            <w:tcBorders>
              <w:top w:val="nil"/>
              <w:left w:val="nil"/>
              <w:bottom w:val="single" w:sz="4" w:space="0" w:color="auto"/>
              <w:right w:val="single" w:sz="4" w:space="0" w:color="auto"/>
            </w:tcBorders>
          </w:tcPr>
          <w:p w:rsidR="00BC4D3C" w:rsidRPr="007D5748" w:rsidRDefault="00BC4D3C" w:rsidP="00BC4D3C">
            <w:pPr>
              <w:jc w:val="center"/>
            </w:pPr>
          </w:p>
        </w:tc>
        <w:tc>
          <w:tcPr>
            <w:tcW w:w="1788" w:type="dxa"/>
            <w:tcBorders>
              <w:top w:val="nil"/>
              <w:left w:val="nil"/>
              <w:bottom w:val="single" w:sz="4" w:space="0" w:color="auto"/>
              <w:right w:val="single" w:sz="4" w:space="0" w:color="auto"/>
            </w:tcBorders>
          </w:tcPr>
          <w:p w:rsidR="00BC4D3C" w:rsidRPr="007D5748" w:rsidRDefault="00BC4D3C" w:rsidP="00BC4D3C">
            <w:pPr>
              <w:jc w:val="center"/>
            </w:pPr>
          </w:p>
        </w:tc>
        <w:tc>
          <w:tcPr>
            <w:tcW w:w="2418" w:type="dxa"/>
            <w:gridSpan w:val="2"/>
            <w:tcBorders>
              <w:top w:val="nil"/>
              <w:left w:val="nil"/>
              <w:bottom w:val="single" w:sz="4" w:space="0" w:color="auto"/>
              <w:right w:val="single" w:sz="4" w:space="0" w:color="auto"/>
            </w:tcBorders>
          </w:tcPr>
          <w:p w:rsidR="00BC4D3C" w:rsidRPr="007D5748" w:rsidRDefault="00BC4D3C" w:rsidP="00BC4D3C">
            <w:pPr>
              <w:jc w:val="center"/>
            </w:pPr>
          </w:p>
        </w:tc>
        <w:tc>
          <w:tcPr>
            <w:tcW w:w="1722" w:type="dxa"/>
            <w:tcBorders>
              <w:top w:val="nil"/>
              <w:left w:val="nil"/>
              <w:bottom w:val="single" w:sz="4" w:space="0" w:color="auto"/>
              <w:right w:val="single" w:sz="4" w:space="0" w:color="auto"/>
            </w:tcBorders>
          </w:tcPr>
          <w:p w:rsidR="00BC4D3C" w:rsidRPr="007D5748" w:rsidRDefault="00BC4D3C" w:rsidP="00BC4D3C">
            <w:pPr>
              <w:jc w:val="center"/>
            </w:pPr>
          </w:p>
        </w:tc>
        <w:tc>
          <w:tcPr>
            <w:tcW w:w="1620" w:type="dxa"/>
            <w:gridSpan w:val="2"/>
            <w:tcBorders>
              <w:top w:val="nil"/>
              <w:left w:val="nil"/>
              <w:bottom w:val="single" w:sz="4" w:space="0" w:color="auto"/>
              <w:right w:val="single" w:sz="4" w:space="0" w:color="auto"/>
            </w:tcBorders>
            <w:noWrap/>
            <w:vAlign w:val="bottom"/>
          </w:tcPr>
          <w:p w:rsidR="00BC4D3C" w:rsidRPr="007D5748" w:rsidRDefault="00BC4D3C" w:rsidP="00BC4D3C">
            <w:r w:rsidRPr="007D5748">
              <w:t> </w:t>
            </w:r>
          </w:p>
        </w:tc>
      </w:tr>
      <w:tr w:rsidR="00BC4D3C" w:rsidRPr="007D5748" w:rsidTr="00BC4D3C">
        <w:trPr>
          <w:trHeight w:val="255"/>
        </w:trPr>
        <w:tc>
          <w:tcPr>
            <w:tcW w:w="6188" w:type="dxa"/>
            <w:tcBorders>
              <w:top w:val="nil"/>
              <w:left w:val="nil"/>
              <w:bottom w:val="nil"/>
              <w:right w:val="nil"/>
            </w:tcBorders>
            <w:noWrap/>
            <w:vAlign w:val="bottom"/>
          </w:tcPr>
          <w:p w:rsidR="00BC4D3C" w:rsidRPr="007D5748" w:rsidRDefault="00BC4D3C" w:rsidP="00BC4D3C"/>
        </w:tc>
        <w:tc>
          <w:tcPr>
            <w:tcW w:w="1698" w:type="dxa"/>
            <w:tcBorders>
              <w:top w:val="nil"/>
              <w:left w:val="nil"/>
              <w:bottom w:val="nil"/>
              <w:right w:val="nil"/>
            </w:tcBorders>
            <w:noWrap/>
            <w:vAlign w:val="bottom"/>
          </w:tcPr>
          <w:p w:rsidR="00BC4D3C" w:rsidRPr="007D5748" w:rsidRDefault="00BC4D3C" w:rsidP="00BC4D3C"/>
        </w:tc>
        <w:tc>
          <w:tcPr>
            <w:tcW w:w="1788" w:type="dxa"/>
            <w:tcBorders>
              <w:top w:val="nil"/>
              <w:left w:val="nil"/>
              <w:bottom w:val="nil"/>
              <w:right w:val="nil"/>
            </w:tcBorders>
            <w:noWrap/>
            <w:vAlign w:val="bottom"/>
          </w:tcPr>
          <w:p w:rsidR="00BC4D3C" w:rsidRPr="007D5748" w:rsidRDefault="00BC4D3C" w:rsidP="00BC4D3C"/>
        </w:tc>
        <w:tc>
          <w:tcPr>
            <w:tcW w:w="2418" w:type="dxa"/>
            <w:gridSpan w:val="2"/>
            <w:tcBorders>
              <w:top w:val="nil"/>
              <w:left w:val="nil"/>
              <w:bottom w:val="nil"/>
              <w:right w:val="nil"/>
            </w:tcBorders>
            <w:noWrap/>
            <w:vAlign w:val="bottom"/>
          </w:tcPr>
          <w:p w:rsidR="00BC4D3C" w:rsidRPr="007D5748" w:rsidRDefault="00BC4D3C" w:rsidP="00BC4D3C"/>
        </w:tc>
        <w:tc>
          <w:tcPr>
            <w:tcW w:w="1722" w:type="dxa"/>
            <w:tcBorders>
              <w:top w:val="nil"/>
              <w:left w:val="nil"/>
              <w:bottom w:val="nil"/>
              <w:right w:val="nil"/>
            </w:tcBorders>
            <w:noWrap/>
            <w:vAlign w:val="bottom"/>
          </w:tcPr>
          <w:p w:rsidR="00BC4D3C" w:rsidRPr="007D5748" w:rsidRDefault="00BC4D3C" w:rsidP="00BC4D3C"/>
        </w:tc>
        <w:tc>
          <w:tcPr>
            <w:tcW w:w="1620" w:type="dxa"/>
            <w:gridSpan w:val="2"/>
            <w:tcBorders>
              <w:top w:val="nil"/>
              <w:left w:val="nil"/>
              <w:bottom w:val="nil"/>
              <w:right w:val="nil"/>
            </w:tcBorders>
            <w:noWrap/>
            <w:vAlign w:val="bottom"/>
          </w:tcPr>
          <w:p w:rsidR="00BC4D3C" w:rsidRPr="007D5748" w:rsidRDefault="00BC4D3C" w:rsidP="00BC4D3C"/>
        </w:tc>
      </w:tr>
      <w:tr w:rsidR="00BC4D3C" w:rsidRPr="007D5748" w:rsidTr="00BC4D3C">
        <w:trPr>
          <w:trHeight w:val="255"/>
        </w:trPr>
        <w:tc>
          <w:tcPr>
            <w:tcW w:w="6188" w:type="dxa"/>
            <w:tcBorders>
              <w:top w:val="nil"/>
              <w:left w:val="nil"/>
              <w:bottom w:val="nil"/>
              <w:right w:val="nil"/>
            </w:tcBorders>
          </w:tcPr>
          <w:p w:rsidR="00BC4D3C" w:rsidRPr="007D5748" w:rsidRDefault="00BC4D3C" w:rsidP="00BC4D3C">
            <w:pPr>
              <w:rPr>
                <w:b/>
                <w:bCs/>
              </w:rPr>
            </w:pPr>
            <w:r w:rsidRPr="007D5748">
              <w:rPr>
                <w:b/>
                <w:bCs/>
              </w:rPr>
              <w:t>Poznámky:</w:t>
            </w:r>
          </w:p>
        </w:tc>
        <w:tc>
          <w:tcPr>
            <w:tcW w:w="1698" w:type="dxa"/>
            <w:tcBorders>
              <w:top w:val="nil"/>
              <w:left w:val="nil"/>
              <w:bottom w:val="nil"/>
              <w:right w:val="nil"/>
            </w:tcBorders>
            <w:noWrap/>
            <w:vAlign w:val="bottom"/>
          </w:tcPr>
          <w:p w:rsidR="00BC4D3C" w:rsidRPr="007D5748" w:rsidRDefault="00BC4D3C" w:rsidP="00BC4D3C"/>
        </w:tc>
        <w:tc>
          <w:tcPr>
            <w:tcW w:w="1788" w:type="dxa"/>
            <w:tcBorders>
              <w:top w:val="nil"/>
              <w:left w:val="nil"/>
              <w:bottom w:val="nil"/>
              <w:right w:val="nil"/>
            </w:tcBorders>
            <w:noWrap/>
            <w:vAlign w:val="bottom"/>
          </w:tcPr>
          <w:p w:rsidR="00BC4D3C" w:rsidRPr="007D5748" w:rsidRDefault="00BC4D3C" w:rsidP="00BC4D3C"/>
        </w:tc>
        <w:tc>
          <w:tcPr>
            <w:tcW w:w="2418" w:type="dxa"/>
            <w:gridSpan w:val="2"/>
            <w:tcBorders>
              <w:top w:val="nil"/>
              <w:left w:val="nil"/>
              <w:bottom w:val="nil"/>
              <w:right w:val="nil"/>
            </w:tcBorders>
            <w:noWrap/>
            <w:vAlign w:val="bottom"/>
          </w:tcPr>
          <w:p w:rsidR="00BC4D3C" w:rsidRPr="007D5748" w:rsidRDefault="00BC4D3C" w:rsidP="00BC4D3C"/>
        </w:tc>
        <w:tc>
          <w:tcPr>
            <w:tcW w:w="1722" w:type="dxa"/>
            <w:tcBorders>
              <w:top w:val="nil"/>
              <w:left w:val="nil"/>
              <w:bottom w:val="nil"/>
              <w:right w:val="nil"/>
            </w:tcBorders>
            <w:noWrap/>
            <w:vAlign w:val="bottom"/>
          </w:tcPr>
          <w:p w:rsidR="00BC4D3C" w:rsidRPr="007D5748" w:rsidRDefault="00BC4D3C" w:rsidP="00BC4D3C"/>
        </w:tc>
        <w:tc>
          <w:tcPr>
            <w:tcW w:w="1620" w:type="dxa"/>
            <w:gridSpan w:val="2"/>
            <w:tcBorders>
              <w:top w:val="nil"/>
              <w:left w:val="nil"/>
              <w:bottom w:val="nil"/>
              <w:right w:val="nil"/>
            </w:tcBorders>
            <w:noWrap/>
            <w:vAlign w:val="bottom"/>
          </w:tcPr>
          <w:p w:rsidR="00BC4D3C" w:rsidRPr="007D5748" w:rsidRDefault="00BC4D3C" w:rsidP="00BC4D3C"/>
        </w:tc>
      </w:tr>
      <w:tr w:rsidR="00BC4D3C" w:rsidRPr="007D5748" w:rsidTr="00BC4D3C">
        <w:trPr>
          <w:trHeight w:val="255"/>
        </w:trPr>
        <w:tc>
          <w:tcPr>
            <w:tcW w:w="13814" w:type="dxa"/>
            <w:gridSpan w:val="6"/>
            <w:tcBorders>
              <w:top w:val="nil"/>
              <w:left w:val="nil"/>
              <w:bottom w:val="nil"/>
              <w:right w:val="nil"/>
            </w:tcBorders>
            <w:noWrap/>
          </w:tcPr>
          <w:p w:rsidR="00BC4D3C" w:rsidRPr="007D5748" w:rsidRDefault="00BC4D3C" w:rsidP="00BC4D3C">
            <w:pPr>
              <w:tabs>
                <w:tab w:val="num" w:pos="1080"/>
              </w:tabs>
              <w:jc w:val="both"/>
              <w:rPr>
                <w:bCs/>
                <w:szCs w:val="20"/>
              </w:rPr>
            </w:pPr>
            <w:r w:rsidRPr="007D5748">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BC4D3C" w:rsidRPr="007D5748" w:rsidRDefault="00BC4D3C" w:rsidP="00BC4D3C">
            <w:r w:rsidRPr="007D5748">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BC4D3C" w:rsidRPr="007D5748" w:rsidRDefault="00BC4D3C" w:rsidP="00BC4D3C"/>
        </w:tc>
      </w:tr>
      <w:tr w:rsidR="00BC4D3C" w:rsidRPr="007D5748" w:rsidTr="00BC4D3C">
        <w:trPr>
          <w:trHeight w:val="255"/>
        </w:trPr>
        <w:tc>
          <w:tcPr>
            <w:tcW w:w="10394" w:type="dxa"/>
            <w:gridSpan w:val="4"/>
            <w:tcBorders>
              <w:top w:val="nil"/>
              <w:left w:val="nil"/>
              <w:bottom w:val="nil"/>
              <w:right w:val="nil"/>
            </w:tcBorders>
            <w:noWrap/>
            <w:vAlign w:val="bottom"/>
          </w:tcPr>
          <w:p w:rsidR="00BC4D3C" w:rsidRPr="007D5748" w:rsidRDefault="00BC4D3C" w:rsidP="00BC4D3C">
            <w:r w:rsidRPr="007D5748">
              <w:t>Kategórie 610 a 620 sú z tejto prílohy prenášané do príslušných kategórií prílohy „výdavky“.</w:t>
            </w:r>
          </w:p>
        </w:tc>
        <w:tc>
          <w:tcPr>
            <w:tcW w:w="1698" w:type="dxa"/>
            <w:tcBorders>
              <w:top w:val="nil"/>
              <w:left w:val="nil"/>
              <w:bottom w:val="nil"/>
              <w:right w:val="nil"/>
            </w:tcBorders>
            <w:noWrap/>
            <w:vAlign w:val="bottom"/>
          </w:tcPr>
          <w:p w:rsidR="00BC4D3C" w:rsidRPr="007D5748" w:rsidRDefault="00BC4D3C" w:rsidP="00BC4D3C"/>
        </w:tc>
        <w:tc>
          <w:tcPr>
            <w:tcW w:w="2352" w:type="dxa"/>
            <w:gridSpan w:val="2"/>
            <w:tcBorders>
              <w:top w:val="nil"/>
              <w:left w:val="nil"/>
              <w:bottom w:val="nil"/>
              <w:right w:val="nil"/>
            </w:tcBorders>
            <w:noWrap/>
            <w:vAlign w:val="bottom"/>
          </w:tcPr>
          <w:p w:rsidR="00BC4D3C" w:rsidRPr="007D5748" w:rsidRDefault="00BC4D3C" w:rsidP="00BC4D3C"/>
        </w:tc>
        <w:tc>
          <w:tcPr>
            <w:tcW w:w="990" w:type="dxa"/>
            <w:tcBorders>
              <w:top w:val="nil"/>
              <w:left w:val="nil"/>
              <w:bottom w:val="nil"/>
              <w:right w:val="nil"/>
            </w:tcBorders>
            <w:noWrap/>
            <w:vAlign w:val="bottom"/>
          </w:tcPr>
          <w:p w:rsidR="00BC4D3C" w:rsidRPr="007D5748" w:rsidRDefault="00BC4D3C" w:rsidP="00BC4D3C"/>
        </w:tc>
      </w:tr>
    </w:tbl>
    <w:p w:rsidR="00BC4D3C" w:rsidRPr="007D5748" w:rsidRDefault="00BC4D3C" w:rsidP="00BC4D3C">
      <w:pPr>
        <w:rPr>
          <w:b/>
          <w:bCs/>
        </w:rPr>
        <w:sectPr w:rsidR="00BC4D3C" w:rsidRPr="007D5748">
          <w:pgSz w:w="16838" w:h="11906" w:orient="landscape"/>
          <w:pgMar w:top="1418" w:right="1418" w:bottom="1418" w:left="1418" w:header="709" w:footer="709" w:gutter="0"/>
          <w:cols w:space="708"/>
          <w:docGrid w:linePitch="360"/>
        </w:sectPr>
      </w:pPr>
    </w:p>
    <w:p w:rsidR="00BC4D3C" w:rsidRDefault="00BC4D3C" w:rsidP="00BC4D3C"/>
    <w:tbl>
      <w:tblPr>
        <w:tblStyle w:val="Mriekatabuky"/>
        <w:tblW w:w="0" w:type="auto"/>
        <w:tblLook w:val="04A0" w:firstRow="1" w:lastRow="0" w:firstColumn="1" w:lastColumn="0" w:noHBand="0" w:noVBand="1"/>
      </w:tblPr>
      <w:tblGrid>
        <w:gridCol w:w="9212"/>
      </w:tblGrid>
      <w:tr w:rsidR="00BC4D3C" w:rsidRPr="00F04CCD" w:rsidTr="00BC4D3C">
        <w:trPr>
          <w:trHeight w:val="567"/>
        </w:trPr>
        <w:tc>
          <w:tcPr>
            <w:tcW w:w="9212" w:type="dxa"/>
            <w:shd w:val="clear" w:color="auto" w:fill="D9D9D9" w:themeFill="background1" w:themeFillShade="D9"/>
          </w:tcPr>
          <w:p w:rsidR="00BC4D3C" w:rsidRPr="00042C66" w:rsidRDefault="00BC4D3C" w:rsidP="00BC4D3C">
            <w:pPr>
              <w:jc w:val="center"/>
              <w:rPr>
                <w:b/>
              </w:rPr>
            </w:pPr>
            <w:r w:rsidRPr="008A1252">
              <w:rPr>
                <w:b/>
                <w:sz w:val="28"/>
              </w:rPr>
              <w:t xml:space="preserve">Analýza </w:t>
            </w:r>
            <w:r>
              <w:rPr>
                <w:b/>
                <w:sz w:val="28"/>
              </w:rPr>
              <w:t>v</w:t>
            </w:r>
            <w:r w:rsidRPr="00042C66">
              <w:rPr>
                <w:b/>
                <w:sz w:val="28"/>
              </w:rPr>
              <w:t>plyv</w:t>
            </w:r>
            <w:r>
              <w:rPr>
                <w:b/>
                <w:sz w:val="28"/>
              </w:rPr>
              <w:t>ov</w:t>
            </w:r>
            <w:r w:rsidRPr="00042C66">
              <w:rPr>
                <w:b/>
                <w:sz w:val="28"/>
              </w:rPr>
              <w:t xml:space="preserve"> na podnikateľské prostredie </w:t>
            </w:r>
          </w:p>
          <w:p w:rsidR="00BC4D3C" w:rsidRPr="00F04CCD" w:rsidRDefault="00BC4D3C" w:rsidP="00BC4D3C">
            <w:pPr>
              <w:jc w:val="center"/>
              <w:rPr>
                <w:b/>
              </w:rPr>
            </w:pPr>
            <w:r w:rsidRPr="00042C66">
              <w:rPr>
                <w:b/>
              </w:rPr>
              <w:t xml:space="preserve">(vrátane </w:t>
            </w:r>
            <w:r>
              <w:rPr>
                <w:b/>
              </w:rPr>
              <w:t xml:space="preserve">testu </w:t>
            </w:r>
            <w:r w:rsidRPr="00042C66">
              <w:rPr>
                <w:b/>
              </w:rPr>
              <w:t>MSP)</w:t>
            </w:r>
          </w:p>
        </w:tc>
      </w:tr>
      <w:tr w:rsidR="00BC4D3C" w:rsidRPr="00F04CCD" w:rsidTr="00BC4D3C">
        <w:trPr>
          <w:trHeight w:val="567"/>
        </w:trPr>
        <w:tc>
          <w:tcPr>
            <w:tcW w:w="9212" w:type="dxa"/>
            <w:shd w:val="clear" w:color="auto" w:fill="D9D9D9" w:themeFill="background1" w:themeFillShade="D9"/>
          </w:tcPr>
          <w:p w:rsidR="00BC4D3C" w:rsidRPr="00042C66" w:rsidRDefault="00BC4D3C" w:rsidP="00BC4D3C">
            <w:pPr>
              <w:rPr>
                <w:b/>
              </w:rPr>
            </w:pPr>
            <w:r w:rsidRPr="00042C66">
              <w:rPr>
                <w:b/>
              </w:rPr>
              <w:t>Materiál bude mať vplyv s ohľadom na veľkostnú kategóriu podnikov:</w:t>
            </w:r>
          </w:p>
        </w:tc>
      </w:tr>
      <w:tr w:rsidR="00BC4D3C" w:rsidRPr="00F04CCD" w:rsidTr="00BC4D3C">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40"/>
            </w:tblGrid>
            <w:tr w:rsidR="00BC4D3C" w:rsidRPr="00F04CCD" w:rsidTr="00BC4D3C">
              <w:sdt>
                <w:sdtPr>
                  <w:id w:val="43339831"/>
                  <w14:checkbox>
                    <w14:checked w14:val="0"/>
                    <w14:checkedState w14:val="2612" w14:font="MS Gothic"/>
                    <w14:uncheckedState w14:val="2610" w14:font="MS Gothic"/>
                  </w14:checkbox>
                </w:sdtPr>
                <w:sdtContent>
                  <w:tc>
                    <w:tcPr>
                      <w:tcW w:w="436" w:type="dxa"/>
                    </w:tcPr>
                    <w:p w:rsidR="00BC4D3C" w:rsidRPr="00F04CCD" w:rsidRDefault="00BC4D3C" w:rsidP="00BC4D3C">
                      <w:pPr>
                        <w:jc w:val="center"/>
                      </w:pPr>
                      <w:r>
                        <w:rPr>
                          <w:rFonts w:ascii="MS Gothic" w:eastAsia="MS Gothic" w:hAnsi="MS Gothic" w:hint="eastAsia"/>
                        </w:rPr>
                        <w:t>☐</w:t>
                      </w:r>
                    </w:p>
                  </w:tc>
                </w:sdtContent>
              </w:sdt>
              <w:tc>
                <w:tcPr>
                  <w:tcW w:w="8545" w:type="dxa"/>
                </w:tcPr>
                <w:p w:rsidR="00BC4D3C" w:rsidRPr="00F04CCD" w:rsidRDefault="00BC4D3C" w:rsidP="00BC4D3C">
                  <w:pPr>
                    <w:rPr>
                      <w:b/>
                    </w:rPr>
                  </w:pPr>
                  <w:r w:rsidRPr="00F04CCD">
                    <w:rPr>
                      <w:b/>
                    </w:rPr>
                    <w:t xml:space="preserve">iba na MSP (0 - 249 zamestnancov) </w:t>
                  </w:r>
                </w:p>
              </w:tc>
            </w:tr>
            <w:tr w:rsidR="00BC4D3C" w:rsidRPr="00F04CCD" w:rsidTr="00BC4D3C">
              <w:sdt>
                <w:sdtPr>
                  <w:id w:val="-79453833"/>
                  <w14:checkbox>
                    <w14:checked w14:val="0"/>
                    <w14:checkedState w14:val="2612" w14:font="MS Gothic"/>
                    <w14:uncheckedState w14:val="2610" w14:font="MS Gothic"/>
                  </w14:checkbox>
                </w:sdtPr>
                <w:sdtContent>
                  <w:tc>
                    <w:tcPr>
                      <w:tcW w:w="436" w:type="dxa"/>
                    </w:tcPr>
                    <w:p w:rsidR="00BC4D3C" w:rsidRPr="00F04CCD" w:rsidRDefault="00BC4D3C" w:rsidP="00BC4D3C">
                      <w:pPr>
                        <w:jc w:val="center"/>
                      </w:pPr>
                      <w:r w:rsidRPr="00F04CCD">
                        <w:rPr>
                          <w:rFonts w:ascii="MS Mincho" w:eastAsia="MS Mincho" w:hAnsi="MS Mincho" w:cs="MS Mincho" w:hint="eastAsia"/>
                        </w:rPr>
                        <w:t>☐</w:t>
                      </w:r>
                    </w:p>
                  </w:tc>
                </w:sdtContent>
              </w:sdt>
              <w:tc>
                <w:tcPr>
                  <w:tcW w:w="8545" w:type="dxa"/>
                </w:tcPr>
                <w:p w:rsidR="00BC4D3C" w:rsidRPr="00F04CCD" w:rsidRDefault="00BC4D3C" w:rsidP="00BC4D3C">
                  <w:pPr>
                    <w:rPr>
                      <w:b/>
                    </w:rPr>
                  </w:pPr>
                  <w:r w:rsidRPr="00F04CCD">
                    <w:rPr>
                      <w:b/>
                    </w:rPr>
                    <w:t>iba na veľké podniky (250 a viac zamestnancov)</w:t>
                  </w:r>
                </w:p>
              </w:tc>
            </w:tr>
            <w:tr w:rsidR="00BC4D3C" w:rsidRPr="00F04CCD" w:rsidTr="00BC4D3C">
              <w:sdt>
                <w:sdtPr>
                  <w:id w:val="1290634502"/>
                  <w14:checkbox>
                    <w14:checked w14:val="1"/>
                    <w14:checkedState w14:val="2612" w14:font="MS Gothic"/>
                    <w14:uncheckedState w14:val="2610" w14:font="MS Gothic"/>
                  </w14:checkbox>
                </w:sdtPr>
                <w:sdtContent>
                  <w:tc>
                    <w:tcPr>
                      <w:tcW w:w="436" w:type="dxa"/>
                    </w:tcPr>
                    <w:p w:rsidR="00BC4D3C" w:rsidRPr="00F04CCD" w:rsidRDefault="00BC4D3C" w:rsidP="00BC4D3C">
                      <w:pPr>
                        <w:jc w:val="center"/>
                      </w:pPr>
                      <w:r>
                        <w:rPr>
                          <w:rFonts w:ascii="MS Gothic" w:eastAsia="MS Gothic" w:hAnsi="MS Gothic" w:hint="eastAsia"/>
                        </w:rPr>
                        <w:t>☒</w:t>
                      </w:r>
                    </w:p>
                  </w:tc>
                </w:sdtContent>
              </w:sdt>
              <w:tc>
                <w:tcPr>
                  <w:tcW w:w="8545" w:type="dxa"/>
                </w:tcPr>
                <w:p w:rsidR="00BC4D3C" w:rsidRPr="00F04CCD" w:rsidRDefault="00BC4D3C" w:rsidP="00BC4D3C">
                  <w:r w:rsidRPr="00F04CCD">
                    <w:rPr>
                      <w:b/>
                    </w:rPr>
                    <w:t xml:space="preserve">na všetky </w:t>
                  </w:r>
                  <w:r>
                    <w:rPr>
                      <w:b/>
                    </w:rPr>
                    <w:t>kategórie</w:t>
                  </w:r>
                  <w:r w:rsidRPr="00F04CCD">
                    <w:rPr>
                      <w:b/>
                    </w:rPr>
                    <w:t xml:space="preserve"> podnikov</w:t>
                  </w:r>
                </w:p>
              </w:tc>
            </w:tr>
          </w:tbl>
          <w:p w:rsidR="00BC4D3C" w:rsidRPr="00F04CCD" w:rsidRDefault="00BC4D3C" w:rsidP="00BC4D3C">
            <w:pPr>
              <w:rPr>
                <w:b/>
              </w:rPr>
            </w:pPr>
          </w:p>
        </w:tc>
      </w:tr>
      <w:tr w:rsidR="00BC4D3C" w:rsidRPr="00F04CCD" w:rsidTr="00BC4D3C">
        <w:tc>
          <w:tcPr>
            <w:tcW w:w="9212" w:type="dxa"/>
            <w:shd w:val="clear" w:color="auto" w:fill="D9D9D9" w:themeFill="background1" w:themeFillShade="D9"/>
          </w:tcPr>
          <w:p w:rsidR="00BC4D3C" w:rsidRPr="00042C66" w:rsidRDefault="00BC4D3C" w:rsidP="00BC4D3C">
            <w:pPr>
              <w:rPr>
                <w:b/>
              </w:rPr>
            </w:pPr>
            <w:r>
              <w:rPr>
                <w:b/>
              </w:rPr>
              <w:t>3</w:t>
            </w:r>
            <w:r w:rsidRPr="00042C66">
              <w:rPr>
                <w:b/>
              </w:rPr>
              <w:t>.1 Dotknuté podnikateľské subjekty</w:t>
            </w:r>
          </w:p>
          <w:p w:rsidR="00BC4D3C" w:rsidRPr="00F04CCD" w:rsidRDefault="00BC4D3C" w:rsidP="00BC4D3C">
            <w:pPr>
              <w:ind w:left="284"/>
              <w:rPr>
                <w:b/>
              </w:rPr>
            </w:pPr>
            <w:r w:rsidRPr="00042C66">
              <w:t xml:space="preserve"> - </w:t>
            </w:r>
            <w:r w:rsidRPr="00042C66">
              <w:rPr>
                <w:b/>
              </w:rPr>
              <w:t>z toho MSP</w:t>
            </w:r>
          </w:p>
        </w:tc>
      </w:tr>
      <w:tr w:rsidR="00BC4D3C" w:rsidRPr="00F04CCD" w:rsidTr="00BC4D3C">
        <w:tc>
          <w:tcPr>
            <w:tcW w:w="9212" w:type="dxa"/>
            <w:tcBorders>
              <w:bottom w:val="single" w:sz="4" w:space="0" w:color="auto"/>
            </w:tcBorders>
          </w:tcPr>
          <w:p w:rsidR="00BC4D3C" w:rsidRPr="00F04CCD" w:rsidRDefault="00BC4D3C" w:rsidP="00BC4D3C">
            <w:pPr>
              <w:rPr>
                <w:i/>
              </w:rPr>
            </w:pPr>
            <w:r w:rsidRPr="00F04CCD">
              <w:rPr>
                <w:i/>
              </w:rPr>
              <w:t>Uveďte, aké podnikateľské subjekty budú predkladaným návrhom ovplyvnené.</w:t>
            </w:r>
          </w:p>
          <w:p w:rsidR="00BC4D3C" w:rsidRPr="00F04CCD" w:rsidRDefault="00BC4D3C" w:rsidP="00BC4D3C">
            <w:pPr>
              <w:rPr>
                <w:i/>
              </w:rPr>
            </w:pPr>
            <w:r w:rsidRPr="00F04CCD">
              <w:rPr>
                <w:i/>
              </w:rPr>
              <w:t>Aký je ich počet?</w:t>
            </w:r>
          </w:p>
        </w:tc>
      </w:tr>
      <w:tr w:rsidR="00BC4D3C" w:rsidRPr="00F04CCD" w:rsidTr="00BC4D3C">
        <w:trPr>
          <w:trHeight w:val="1440"/>
        </w:trPr>
        <w:tc>
          <w:tcPr>
            <w:tcW w:w="9212" w:type="dxa"/>
            <w:tcBorders>
              <w:bottom w:val="single" w:sz="4" w:space="0" w:color="auto"/>
            </w:tcBorders>
          </w:tcPr>
          <w:p w:rsidR="00BC4D3C" w:rsidRDefault="00BC4D3C" w:rsidP="00BC4D3C">
            <w:pPr>
              <w:jc w:val="both"/>
            </w:pPr>
          </w:p>
          <w:p w:rsidR="00BC4D3C" w:rsidRDefault="00BC4D3C" w:rsidP="00BC4D3C">
            <w:pPr>
              <w:jc w:val="both"/>
            </w:pPr>
            <w:r>
              <w:t xml:space="preserve">Navrhovaná úprava sa dotýka primárne podnikateľských subjektov v oblasti audiovizuálneho priemyslu, ktoré sa venujú produkcii filmov a televíznych programov. Títo môžu pri realizácii projektu a za splnenia stanovených kritérií žiadať o spätné preplatenie 33 % (doteraz len 20 %) oprávnených výdavkov. Vychádzajúc z klasifikácie NACE ide o podnikateľské  subjekty v kategórii 59.11 - Výroba filmov, videozáznamov a televíznych programov. Podľa databázy </w:t>
            </w:r>
            <w:proofErr w:type="spellStart"/>
            <w:r>
              <w:t>FinStat</w:t>
            </w:r>
            <w:proofErr w:type="spellEnd"/>
            <w:r>
              <w:t xml:space="preserve"> je v tejto kategórii 563 firiem a organizácií: 97 % tvoria s.r.o. a žiadna z nich nemá viac ako 250 zamestnancov. K nim sa pridáva 569 živnostníkov. Otázne je, koľko z týchto subjektov má reálny potenciál viesť väčšiu filmovú či televíznu produkciu. Nástroj spätného preplácania oprávnených výdavkov je nastavený tak, že minimum oprávnených výdavkov minutých počas realizácie projektu na území SR je 150 000 €. Súčasne táto suma musí tvoriť maximálne 50 % celkových nákladov </w:t>
            </w:r>
            <w:r>
              <w:br/>
              <w:t xml:space="preserve">na filmový/televízny projekt; rozpočet na projekt teda musí byť najmenej 300 000 €. Podľa záznamov Audiovizuálneho fondu  sa vo všetkých podporných programoch prihlásilo doposiaľ 105 uchádzačov, u ktorých plánované náklady na projekt presahovali 300 000 €. Toto číslo je preto reálnejším odhadom podnikateľských subjektov, ktoré môžu z opatrenia bezprostredne </w:t>
            </w:r>
            <w:proofErr w:type="spellStart"/>
            <w:r>
              <w:t>benefitovať</w:t>
            </w:r>
            <w:proofErr w:type="spellEnd"/>
            <w:r>
              <w:t>. Zároveň navrhovaná úprava predstavuje navýšenie podpory audiovizuálneho priemyslu, preto môžeme predpokladať postupné zvýšenie počtu relevantných podnikateľských subjektov v tejto oblasti.</w:t>
            </w:r>
          </w:p>
          <w:p w:rsidR="00BC4D3C" w:rsidRDefault="00BC4D3C" w:rsidP="00BC4D3C">
            <w:pPr>
              <w:jc w:val="both"/>
            </w:pPr>
          </w:p>
          <w:p w:rsidR="00BC4D3C" w:rsidRDefault="00BC4D3C" w:rsidP="00BC4D3C">
            <w:pPr>
              <w:jc w:val="both"/>
            </w:pPr>
            <w:r>
              <w:t xml:space="preserve">Na druhom mieste sa opatrenie týka osôb a spoločností, ktoré vykonávajú podporné činnosti ako strih, počítačová grafika, animácie a špeciálne efekty, spracovanie a vyvolanie filmového materiálu, a podobne. Hoci nebudú priamo žiadateľmi </w:t>
            </w:r>
            <w:proofErr w:type="spellStart"/>
            <w:r>
              <w:t>vratiek</w:t>
            </w:r>
            <w:proofErr w:type="spellEnd"/>
            <w:r>
              <w:t xml:space="preserve">, navrhovaným opatrením sa vytvoria možnosti pre dopyt po ich službách, čo im prinesie nové pracovné príležitosti a profesionálny rozvoj. V klasifikácii NACE sa takíto podnikatelia zaraďujú do kategórie 59.12 - Podporné činnosti súvisiace s výrobou filmov, videozáznamov a televíznych programov. V tejto kategórii je podľa </w:t>
            </w:r>
            <w:proofErr w:type="spellStart"/>
            <w:r>
              <w:t>FinStat</w:t>
            </w:r>
            <w:proofErr w:type="spellEnd"/>
            <w:r>
              <w:t xml:space="preserve"> 851 firiem a organizácií (98 % s.r.o., všetky do 10 zamestnancov)  a 1211 živnostníkov.</w:t>
            </w:r>
          </w:p>
          <w:p w:rsidR="00BC4D3C" w:rsidRDefault="00BC4D3C" w:rsidP="00BC4D3C">
            <w:pPr>
              <w:jc w:val="both"/>
            </w:pPr>
          </w:p>
          <w:p w:rsidR="00BC4D3C" w:rsidRDefault="00BC4D3C" w:rsidP="00BC4D3C">
            <w:pPr>
              <w:jc w:val="both"/>
            </w:pPr>
            <w:r>
              <w:t>V súčasnosti teda dotknuté subjekty tvoria výlučne malí a strední podnikatelia, hoci úprava sa potenciálne týka všetkých kategórií podnikov.</w:t>
            </w:r>
          </w:p>
          <w:p w:rsidR="00BC4D3C" w:rsidRDefault="00BC4D3C" w:rsidP="00BC4D3C">
            <w:pPr>
              <w:jc w:val="both"/>
            </w:pPr>
          </w:p>
          <w:p w:rsidR="00BC4D3C" w:rsidRPr="00A8499D" w:rsidRDefault="00BC4D3C" w:rsidP="00BC4D3C">
            <w:pPr>
              <w:jc w:val="both"/>
            </w:pPr>
            <w:r>
              <w:t>Nepriamo sa predložený návrh dotkne aj ďalších subjektov potrebných pri výrobe filmov a televíznych programov: šoférov, kuchárov, poskytovateľov ubytovania a ďalších poskytovateľov tovarov a</w:t>
            </w:r>
            <w:r w:rsidR="007C08EC">
              <w:t> </w:t>
            </w:r>
            <w:r>
              <w:t>služieb</w:t>
            </w:r>
            <w:r w:rsidR="007C08EC">
              <w:t xml:space="preserve"> </w:t>
            </w:r>
            <w:r>
              <w:t>pre účely produkcie. Počet týchto podnikateľských subjektov v súčasnosti nie je možné bližšie kvantifikovať.</w:t>
            </w:r>
          </w:p>
        </w:tc>
      </w:tr>
      <w:tr w:rsidR="00BC4D3C" w:rsidRPr="00F04CCD" w:rsidTr="00BC4D3C">
        <w:trPr>
          <w:trHeight w:val="339"/>
        </w:trPr>
        <w:tc>
          <w:tcPr>
            <w:tcW w:w="9212" w:type="dxa"/>
            <w:tcBorders>
              <w:bottom w:val="single" w:sz="4" w:space="0" w:color="auto"/>
            </w:tcBorders>
            <w:shd w:val="clear" w:color="auto" w:fill="D9D9D9" w:themeFill="background1" w:themeFillShade="D9"/>
          </w:tcPr>
          <w:p w:rsidR="00BC4D3C" w:rsidRPr="00042C66" w:rsidRDefault="00BC4D3C" w:rsidP="00BC4D3C">
            <w:pPr>
              <w:rPr>
                <w:b/>
              </w:rPr>
            </w:pPr>
            <w:r>
              <w:rPr>
                <w:b/>
              </w:rPr>
              <w:t>3</w:t>
            </w:r>
            <w:r w:rsidRPr="00042C66">
              <w:rPr>
                <w:b/>
              </w:rPr>
              <w:t>.2 Vyhodnotenie konzultácií</w:t>
            </w:r>
          </w:p>
          <w:p w:rsidR="00BC4D3C" w:rsidRPr="00F04CCD" w:rsidRDefault="00BC4D3C" w:rsidP="00BC4D3C">
            <w:pPr>
              <w:rPr>
                <w:b/>
              </w:rPr>
            </w:pPr>
            <w:r w:rsidRPr="00042C66">
              <w:lastRenderedPageBreak/>
              <w:t xml:space="preserve">       - </w:t>
            </w:r>
            <w:r w:rsidRPr="00042C66">
              <w:rPr>
                <w:b/>
              </w:rPr>
              <w:t>z toho MSP</w:t>
            </w:r>
          </w:p>
        </w:tc>
      </w:tr>
      <w:tr w:rsidR="00BC4D3C" w:rsidRPr="00F04CCD" w:rsidTr="00BC4D3C">
        <w:trPr>
          <w:trHeight w:val="557"/>
        </w:trPr>
        <w:tc>
          <w:tcPr>
            <w:tcW w:w="9212" w:type="dxa"/>
            <w:tcBorders>
              <w:bottom w:val="single" w:sz="4" w:space="0" w:color="auto"/>
            </w:tcBorders>
          </w:tcPr>
          <w:p w:rsidR="00BC4D3C" w:rsidRPr="00F04CCD" w:rsidRDefault="00BC4D3C" w:rsidP="00BC4D3C">
            <w:pPr>
              <w:rPr>
                <w:i/>
              </w:rPr>
            </w:pPr>
            <w:r w:rsidRPr="00F04CCD">
              <w:rPr>
                <w:i/>
              </w:rPr>
              <w:lastRenderedPageBreak/>
              <w:t>Uveďte, akou formou (verejné alebo cielené konzultácie a prečo)</w:t>
            </w:r>
            <w:r>
              <w:rPr>
                <w:i/>
              </w:rPr>
              <w:t xml:space="preserve"> a </w:t>
            </w:r>
            <w:r w:rsidRPr="00F04CCD">
              <w:rPr>
                <w:i/>
              </w:rPr>
              <w:t>s kým bol návrh konzultovaný.</w:t>
            </w:r>
          </w:p>
          <w:p w:rsidR="00BC4D3C" w:rsidRPr="00F04CCD" w:rsidRDefault="00BC4D3C" w:rsidP="00BC4D3C">
            <w:pPr>
              <w:rPr>
                <w:i/>
              </w:rPr>
            </w:pPr>
            <w:r w:rsidRPr="00F04CCD">
              <w:rPr>
                <w:i/>
              </w:rPr>
              <w:t>Ako dlho trvali konzultácie?</w:t>
            </w:r>
          </w:p>
          <w:p w:rsidR="00BC4D3C" w:rsidRPr="000D2622" w:rsidRDefault="00BC4D3C" w:rsidP="00BC4D3C">
            <w:pPr>
              <w:rPr>
                <w:i/>
              </w:rPr>
            </w:pPr>
            <w:r w:rsidRPr="00F04CCD">
              <w:rPr>
                <w:i/>
              </w:rPr>
              <w:t xml:space="preserve">Uveďte hlavné body konzultácií a výsledky konzultácií. </w:t>
            </w:r>
          </w:p>
        </w:tc>
      </w:tr>
      <w:tr w:rsidR="00BC4D3C" w:rsidRPr="00F04CCD" w:rsidTr="00BC4D3C">
        <w:trPr>
          <w:trHeight w:val="1440"/>
        </w:trPr>
        <w:tc>
          <w:tcPr>
            <w:tcW w:w="9212" w:type="dxa"/>
            <w:tcBorders>
              <w:bottom w:val="single" w:sz="4" w:space="0" w:color="auto"/>
            </w:tcBorders>
          </w:tcPr>
          <w:p w:rsidR="00BC4D3C" w:rsidRPr="00F04CCD" w:rsidRDefault="00BC4D3C" w:rsidP="00BC4D3C">
            <w:pPr>
              <w:rPr>
                <w:i/>
              </w:rPr>
            </w:pPr>
          </w:p>
        </w:tc>
      </w:tr>
      <w:tr w:rsidR="00BC4D3C" w:rsidRPr="00F04CCD" w:rsidTr="00BC4D3C">
        <w:tc>
          <w:tcPr>
            <w:tcW w:w="9212" w:type="dxa"/>
            <w:shd w:val="clear" w:color="auto" w:fill="D9D9D9" w:themeFill="background1" w:themeFillShade="D9"/>
          </w:tcPr>
          <w:p w:rsidR="00BC4D3C" w:rsidRPr="00042C66" w:rsidRDefault="00BC4D3C" w:rsidP="00BC4D3C">
            <w:pPr>
              <w:rPr>
                <w:b/>
              </w:rPr>
            </w:pPr>
            <w:r>
              <w:rPr>
                <w:b/>
              </w:rPr>
              <w:t>3</w:t>
            </w:r>
            <w:r w:rsidRPr="00042C66">
              <w:rPr>
                <w:b/>
              </w:rPr>
              <w:t>.3 Náklady regulácie</w:t>
            </w:r>
          </w:p>
          <w:p w:rsidR="00BC4D3C" w:rsidRPr="00F04CCD" w:rsidRDefault="00BC4D3C" w:rsidP="00BC4D3C">
            <w:pPr>
              <w:rPr>
                <w:b/>
              </w:rPr>
            </w:pPr>
            <w:r w:rsidRPr="00042C66">
              <w:t xml:space="preserve">      - </w:t>
            </w:r>
            <w:r w:rsidRPr="00042C66">
              <w:rPr>
                <w:b/>
              </w:rPr>
              <w:t>z toho MSP</w:t>
            </w:r>
          </w:p>
        </w:tc>
      </w:tr>
      <w:tr w:rsidR="00BC4D3C" w:rsidRPr="00F04CCD" w:rsidTr="00BC4D3C">
        <w:tc>
          <w:tcPr>
            <w:tcW w:w="9212" w:type="dxa"/>
            <w:tcBorders>
              <w:bottom w:val="single" w:sz="4" w:space="0" w:color="auto"/>
            </w:tcBorders>
          </w:tcPr>
          <w:p w:rsidR="00BC4D3C" w:rsidRPr="00F04CCD" w:rsidRDefault="00BC4D3C" w:rsidP="00BC4D3C">
            <w:pPr>
              <w:rPr>
                <w:b/>
                <w:i/>
              </w:rPr>
            </w:pPr>
            <w:r>
              <w:rPr>
                <w:b/>
                <w:i/>
              </w:rPr>
              <w:t>3</w:t>
            </w:r>
            <w:r w:rsidRPr="00F04CCD">
              <w:rPr>
                <w:b/>
                <w:i/>
              </w:rPr>
              <w:t>.3.1 Priame finančné náklady</w:t>
            </w:r>
          </w:p>
          <w:p w:rsidR="00BC4D3C" w:rsidRPr="00F04CCD" w:rsidRDefault="00BC4D3C" w:rsidP="00BC4D3C">
            <w:pPr>
              <w:rPr>
                <w:i/>
              </w:rPr>
            </w:pPr>
            <w:r w:rsidRPr="00F04CCD">
              <w:rPr>
                <w:i/>
              </w:rPr>
              <w:t xml:space="preserve">Dochádza k zvýšeniu/zníženiu priamych finančných nákladov (poplatky, odvody, dane clá...)? Ak áno, popíšte a vyčíslite ich. Uveďte tiež spôsob ich výpočtu. </w:t>
            </w:r>
          </w:p>
        </w:tc>
      </w:tr>
      <w:tr w:rsidR="00BC4D3C" w:rsidRPr="00F04CCD" w:rsidTr="00BC4D3C">
        <w:tc>
          <w:tcPr>
            <w:tcW w:w="9212" w:type="dxa"/>
            <w:tcBorders>
              <w:bottom w:val="single" w:sz="4" w:space="0" w:color="auto"/>
            </w:tcBorders>
          </w:tcPr>
          <w:p w:rsidR="00BC4D3C" w:rsidRPr="00D9481A" w:rsidRDefault="00BC4D3C" w:rsidP="00BC4D3C">
            <w:pPr>
              <w:rPr>
                <w:b/>
              </w:rPr>
            </w:pPr>
          </w:p>
          <w:p w:rsidR="00BC4D3C" w:rsidRPr="00D9481A" w:rsidRDefault="00BC4D3C" w:rsidP="00BC4D3C">
            <w:pPr>
              <w:jc w:val="both"/>
            </w:pPr>
            <w:r>
              <w:t xml:space="preserve">Navrhovaná úprava prináša zníženie priamych finančných nákladov pre tvorcu filmu alebo televízneho programu, ktorý splní zákonom stanovené kritériá. Z oprávnených výdavkov vynaložených na území SR sa im podľa novej úpravy spätne vyplatí 33 %, doteraz to bolo 20 %. </w:t>
            </w:r>
          </w:p>
          <w:p w:rsidR="00BC4D3C" w:rsidRPr="00F04CCD" w:rsidRDefault="00BC4D3C" w:rsidP="00BC4D3C">
            <w:pPr>
              <w:jc w:val="both"/>
              <w:rPr>
                <w:b/>
                <w:i/>
              </w:rPr>
            </w:pPr>
          </w:p>
          <w:p w:rsidR="00BC4D3C" w:rsidRPr="00F04CCD" w:rsidRDefault="00BC4D3C" w:rsidP="00BC4D3C">
            <w:pPr>
              <w:rPr>
                <w:b/>
                <w:i/>
              </w:rPr>
            </w:pPr>
          </w:p>
          <w:p w:rsidR="00BC4D3C" w:rsidRPr="00F04CCD" w:rsidRDefault="00BC4D3C" w:rsidP="00BC4D3C">
            <w:pPr>
              <w:rPr>
                <w:b/>
                <w:i/>
              </w:rPr>
            </w:pPr>
          </w:p>
        </w:tc>
      </w:tr>
      <w:tr w:rsidR="00BC4D3C" w:rsidRPr="00F04CCD" w:rsidTr="00BC4D3C">
        <w:tc>
          <w:tcPr>
            <w:tcW w:w="9212" w:type="dxa"/>
            <w:tcBorders>
              <w:bottom w:val="single" w:sz="4" w:space="0" w:color="auto"/>
            </w:tcBorders>
          </w:tcPr>
          <w:p w:rsidR="00BC4D3C" w:rsidRPr="00F04CCD" w:rsidRDefault="00BC4D3C" w:rsidP="00BC4D3C">
            <w:pPr>
              <w:rPr>
                <w:b/>
                <w:i/>
              </w:rPr>
            </w:pPr>
            <w:r>
              <w:rPr>
                <w:b/>
                <w:i/>
              </w:rPr>
              <w:t>3</w:t>
            </w:r>
            <w:r w:rsidRPr="00F04CCD">
              <w:rPr>
                <w:b/>
                <w:i/>
              </w:rPr>
              <w:t>.3.2 Nepriame finančné náklady</w:t>
            </w:r>
          </w:p>
          <w:p w:rsidR="00BC4D3C" w:rsidRPr="00F04CCD" w:rsidRDefault="00BC4D3C" w:rsidP="00BC4D3C">
            <w:pPr>
              <w:rPr>
                <w:i/>
              </w:rPr>
            </w:pPr>
            <w:r w:rsidRPr="00F04CCD">
              <w:rPr>
                <w:i/>
              </w:rPr>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BC4D3C" w:rsidRPr="00F04CCD" w:rsidTr="00BC4D3C">
        <w:tc>
          <w:tcPr>
            <w:tcW w:w="9212" w:type="dxa"/>
            <w:tcBorders>
              <w:bottom w:val="single" w:sz="4" w:space="0" w:color="auto"/>
            </w:tcBorders>
          </w:tcPr>
          <w:p w:rsidR="00BC4D3C" w:rsidRPr="00F04CCD" w:rsidRDefault="00BC4D3C" w:rsidP="00BC4D3C">
            <w:pPr>
              <w:rPr>
                <w:b/>
                <w:i/>
              </w:rPr>
            </w:pPr>
          </w:p>
          <w:p w:rsidR="00BC4D3C" w:rsidRPr="00F04CCD" w:rsidRDefault="00BC4D3C" w:rsidP="00BC4D3C">
            <w:pPr>
              <w:rPr>
                <w:b/>
                <w:i/>
              </w:rPr>
            </w:pPr>
          </w:p>
          <w:p w:rsidR="00BC4D3C" w:rsidRPr="00F04CCD" w:rsidRDefault="00BC4D3C" w:rsidP="00BC4D3C">
            <w:pPr>
              <w:rPr>
                <w:b/>
                <w:i/>
              </w:rPr>
            </w:pPr>
          </w:p>
          <w:p w:rsidR="00BC4D3C" w:rsidRPr="00F04CCD" w:rsidRDefault="00BC4D3C" w:rsidP="00BC4D3C">
            <w:pPr>
              <w:rPr>
                <w:b/>
                <w:i/>
              </w:rPr>
            </w:pPr>
          </w:p>
          <w:p w:rsidR="00BC4D3C" w:rsidRPr="00F04CCD" w:rsidRDefault="00BC4D3C" w:rsidP="00BC4D3C">
            <w:pPr>
              <w:rPr>
                <w:b/>
                <w:i/>
              </w:rPr>
            </w:pPr>
          </w:p>
        </w:tc>
      </w:tr>
      <w:tr w:rsidR="00BC4D3C" w:rsidRPr="00F04CCD" w:rsidTr="00BC4D3C">
        <w:tc>
          <w:tcPr>
            <w:tcW w:w="9212" w:type="dxa"/>
            <w:tcBorders>
              <w:bottom w:val="single" w:sz="4" w:space="0" w:color="auto"/>
            </w:tcBorders>
          </w:tcPr>
          <w:p w:rsidR="00BC4D3C" w:rsidRPr="00F04CCD" w:rsidRDefault="00BC4D3C" w:rsidP="00BC4D3C">
            <w:pPr>
              <w:rPr>
                <w:b/>
                <w:i/>
              </w:rPr>
            </w:pPr>
            <w:r>
              <w:rPr>
                <w:b/>
                <w:i/>
              </w:rPr>
              <w:t>3</w:t>
            </w:r>
            <w:r w:rsidRPr="00F04CCD">
              <w:rPr>
                <w:b/>
                <w:i/>
              </w:rPr>
              <w:t>.3.3 Administratívne náklady</w:t>
            </w:r>
          </w:p>
          <w:p w:rsidR="00BC4D3C" w:rsidRPr="00F04CCD" w:rsidRDefault="00BC4D3C" w:rsidP="00BC4D3C">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BC4D3C" w:rsidRPr="00F04CCD" w:rsidTr="00BC4D3C">
        <w:tc>
          <w:tcPr>
            <w:tcW w:w="9212" w:type="dxa"/>
            <w:tcBorders>
              <w:bottom w:val="single" w:sz="4" w:space="0" w:color="auto"/>
            </w:tcBorders>
          </w:tcPr>
          <w:p w:rsidR="00BC4D3C" w:rsidRPr="00F04CCD" w:rsidRDefault="00BC4D3C" w:rsidP="00BC4D3C">
            <w:pPr>
              <w:rPr>
                <w:b/>
                <w:i/>
              </w:rPr>
            </w:pPr>
          </w:p>
          <w:p w:rsidR="00BC4D3C" w:rsidRPr="00031842" w:rsidRDefault="00BC4D3C" w:rsidP="00BC4D3C">
            <w:pPr>
              <w:jc w:val="both"/>
            </w:pPr>
            <w:r>
              <w:t>Vzhľadom na to, že predložený návrh nezavádza nový nástroj, iba zvyšuje sadzbu spätného preplácania oprávnených výdavkov na výrobu filmov a televíznych programov z 20 % na 33 %, sa administratívna záťaž nezvyšuje ani neznižuje.</w:t>
            </w:r>
          </w:p>
          <w:p w:rsidR="00BC4D3C" w:rsidRPr="00F04CCD" w:rsidRDefault="00BC4D3C" w:rsidP="00BC4D3C">
            <w:pPr>
              <w:jc w:val="both"/>
              <w:rPr>
                <w:b/>
                <w:i/>
              </w:rPr>
            </w:pPr>
          </w:p>
          <w:p w:rsidR="00BC4D3C" w:rsidRPr="00F04CCD" w:rsidRDefault="00BC4D3C" w:rsidP="00BC4D3C">
            <w:pPr>
              <w:jc w:val="both"/>
              <w:rPr>
                <w:b/>
                <w:i/>
              </w:rPr>
            </w:pPr>
          </w:p>
          <w:p w:rsidR="00BC4D3C" w:rsidRPr="00F04CCD" w:rsidRDefault="00BC4D3C" w:rsidP="00BC4D3C">
            <w:pPr>
              <w:rPr>
                <w:b/>
                <w:i/>
              </w:rPr>
            </w:pPr>
          </w:p>
        </w:tc>
      </w:tr>
      <w:tr w:rsidR="00BC4D3C" w:rsidRPr="00F04CCD" w:rsidTr="00BC4D3C">
        <w:trPr>
          <w:trHeight w:val="2318"/>
        </w:trPr>
        <w:tc>
          <w:tcPr>
            <w:tcW w:w="9212" w:type="dxa"/>
            <w:tcBorders>
              <w:bottom w:val="single" w:sz="4" w:space="0" w:color="auto"/>
            </w:tcBorders>
          </w:tcPr>
          <w:p w:rsidR="00BC4D3C" w:rsidRPr="00F04CCD" w:rsidRDefault="00BC4D3C" w:rsidP="00BC4D3C">
            <w:pPr>
              <w:rPr>
                <w:i/>
              </w:rPr>
            </w:pPr>
            <w:r>
              <w:rPr>
                <w:b/>
                <w:i/>
              </w:rPr>
              <w:lastRenderedPageBreak/>
              <w:t>3</w:t>
            </w:r>
            <w:r w:rsidRPr="00F04CCD">
              <w:rPr>
                <w:b/>
                <w:i/>
              </w:rPr>
              <w:t>.3.4 Súhrnná tabuľka nákladov regulácie</w:t>
            </w:r>
          </w:p>
          <w:p w:rsidR="00BC4D3C" w:rsidRPr="00F04CCD" w:rsidRDefault="00BC4D3C" w:rsidP="00BC4D3C">
            <w:pPr>
              <w:rPr>
                <w:i/>
              </w:rPr>
            </w:pPr>
          </w:p>
          <w:tbl>
            <w:tblPr>
              <w:tblStyle w:val="Mriekatabuky"/>
              <w:tblW w:w="0" w:type="auto"/>
              <w:tblLook w:val="04A0" w:firstRow="1" w:lastRow="0" w:firstColumn="1" w:lastColumn="0" w:noHBand="0" w:noVBand="1"/>
            </w:tblPr>
            <w:tblGrid>
              <w:gridCol w:w="2993"/>
              <w:gridCol w:w="2994"/>
              <w:gridCol w:w="2994"/>
            </w:tblGrid>
            <w:tr w:rsidR="00BC4D3C" w:rsidRPr="00F04CCD" w:rsidTr="00BC4D3C">
              <w:tc>
                <w:tcPr>
                  <w:tcW w:w="2993" w:type="dxa"/>
                </w:tcPr>
                <w:p w:rsidR="00BC4D3C" w:rsidRPr="00F04CCD" w:rsidRDefault="00BC4D3C" w:rsidP="00BC4D3C">
                  <w:pPr>
                    <w:rPr>
                      <w:i/>
                    </w:rPr>
                  </w:pPr>
                </w:p>
              </w:tc>
              <w:tc>
                <w:tcPr>
                  <w:tcW w:w="2994" w:type="dxa"/>
                </w:tcPr>
                <w:p w:rsidR="00BC4D3C" w:rsidRPr="00F04CCD" w:rsidRDefault="00BC4D3C" w:rsidP="00BC4D3C">
                  <w:pPr>
                    <w:jc w:val="center"/>
                    <w:rPr>
                      <w:i/>
                    </w:rPr>
                  </w:pPr>
                  <w:r w:rsidRPr="00F04CCD">
                    <w:rPr>
                      <w:i/>
                    </w:rPr>
                    <w:t>Náklady na 1 podnikateľa</w:t>
                  </w:r>
                </w:p>
              </w:tc>
              <w:tc>
                <w:tcPr>
                  <w:tcW w:w="2994" w:type="dxa"/>
                </w:tcPr>
                <w:p w:rsidR="00BC4D3C" w:rsidRPr="00F04CCD" w:rsidRDefault="00BC4D3C" w:rsidP="00BC4D3C">
                  <w:pPr>
                    <w:jc w:val="center"/>
                    <w:rPr>
                      <w:i/>
                    </w:rPr>
                  </w:pPr>
                  <w:r w:rsidRPr="00F04CCD">
                    <w:rPr>
                      <w:i/>
                    </w:rPr>
                    <w:t>Náklady na celé podnikateľské prostredie</w:t>
                  </w:r>
                </w:p>
              </w:tc>
            </w:tr>
            <w:tr w:rsidR="00BC4D3C" w:rsidRPr="00F04CCD" w:rsidTr="00BC4D3C">
              <w:tc>
                <w:tcPr>
                  <w:tcW w:w="2993" w:type="dxa"/>
                </w:tcPr>
                <w:p w:rsidR="00BC4D3C" w:rsidRPr="00F04CCD" w:rsidRDefault="00BC4D3C" w:rsidP="00BC4D3C">
                  <w:pPr>
                    <w:rPr>
                      <w:i/>
                    </w:rPr>
                  </w:pPr>
                  <w:r w:rsidRPr="00F04CCD">
                    <w:rPr>
                      <w:i/>
                    </w:rPr>
                    <w:t>Priame finančné náklady</w:t>
                  </w:r>
                </w:p>
              </w:tc>
              <w:tc>
                <w:tcPr>
                  <w:tcW w:w="2994" w:type="dxa"/>
                </w:tcPr>
                <w:p w:rsidR="00BC4D3C" w:rsidRPr="00F04CCD" w:rsidRDefault="00BC4D3C" w:rsidP="00BC4D3C">
                  <w:pPr>
                    <w:jc w:val="center"/>
                    <w:rPr>
                      <w:i/>
                    </w:rPr>
                  </w:pPr>
                  <w:r w:rsidRPr="00F04CCD">
                    <w:rPr>
                      <w:i/>
                    </w:rPr>
                    <w:t>0</w:t>
                  </w:r>
                </w:p>
              </w:tc>
              <w:tc>
                <w:tcPr>
                  <w:tcW w:w="2994" w:type="dxa"/>
                </w:tcPr>
                <w:p w:rsidR="00BC4D3C" w:rsidRPr="00F04CCD" w:rsidRDefault="00BC4D3C" w:rsidP="00BC4D3C">
                  <w:pPr>
                    <w:jc w:val="center"/>
                    <w:rPr>
                      <w:i/>
                    </w:rPr>
                  </w:pPr>
                  <w:r w:rsidRPr="00F04CCD">
                    <w:rPr>
                      <w:i/>
                    </w:rPr>
                    <w:t>0</w:t>
                  </w:r>
                </w:p>
              </w:tc>
            </w:tr>
            <w:tr w:rsidR="00BC4D3C" w:rsidRPr="00F04CCD" w:rsidTr="00BC4D3C">
              <w:tc>
                <w:tcPr>
                  <w:tcW w:w="2993" w:type="dxa"/>
                </w:tcPr>
                <w:p w:rsidR="00BC4D3C" w:rsidRPr="00F04CCD" w:rsidRDefault="00BC4D3C" w:rsidP="00BC4D3C">
                  <w:pPr>
                    <w:rPr>
                      <w:i/>
                    </w:rPr>
                  </w:pPr>
                  <w:r w:rsidRPr="00F04CCD">
                    <w:rPr>
                      <w:i/>
                    </w:rPr>
                    <w:t>Nepriame finančné náklady</w:t>
                  </w:r>
                </w:p>
              </w:tc>
              <w:tc>
                <w:tcPr>
                  <w:tcW w:w="2994" w:type="dxa"/>
                </w:tcPr>
                <w:p w:rsidR="00BC4D3C" w:rsidRPr="00F04CCD" w:rsidRDefault="00BC4D3C" w:rsidP="00BC4D3C">
                  <w:pPr>
                    <w:jc w:val="center"/>
                    <w:rPr>
                      <w:i/>
                    </w:rPr>
                  </w:pPr>
                  <w:r w:rsidRPr="00F04CCD">
                    <w:rPr>
                      <w:i/>
                    </w:rPr>
                    <w:t>0</w:t>
                  </w:r>
                </w:p>
              </w:tc>
              <w:tc>
                <w:tcPr>
                  <w:tcW w:w="2994" w:type="dxa"/>
                </w:tcPr>
                <w:p w:rsidR="00BC4D3C" w:rsidRPr="00F04CCD" w:rsidRDefault="00BC4D3C" w:rsidP="00BC4D3C">
                  <w:pPr>
                    <w:jc w:val="center"/>
                    <w:rPr>
                      <w:i/>
                    </w:rPr>
                  </w:pPr>
                  <w:r w:rsidRPr="00F04CCD">
                    <w:rPr>
                      <w:i/>
                    </w:rPr>
                    <w:t>0</w:t>
                  </w:r>
                </w:p>
              </w:tc>
            </w:tr>
            <w:tr w:rsidR="00BC4D3C" w:rsidRPr="00F04CCD" w:rsidTr="00BC4D3C">
              <w:tc>
                <w:tcPr>
                  <w:tcW w:w="2993" w:type="dxa"/>
                </w:tcPr>
                <w:p w:rsidR="00BC4D3C" w:rsidRPr="00F04CCD" w:rsidRDefault="00BC4D3C" w:rsidP="00BC4D3C">
                  <w:pPr>
                    <w:rPr>
                      <w:i/>
                    </w:rPr>
                  </w:pPr>
                  <w:r w:rsidRPr="00F04CCD">
                    <w:rPr>
                      <w:i/>
                    </w:rPr>
                    <w:t>Administratívne náklady</w:t>
                  </w:r>
                </w:p>
              </w:tc>
              <w:tc>
                <w:tcPr>
                  <w:tcW w:w="2994" w:type="dxa"/>
                </w:tcPr>
                <w:p w:rsidR="00BC4D3C" w:rsidRPr="00F04CCD" w:rsidRDefault="00BC4D3C" w:rsidP="00BC4D3C">
                  <w:pPr>
                    <w:jc w:val="center"/>
                    <w:rPr>
                      <w:i/>
                    </w:rPr>
                  </w:pPr>
                  <w:r w:rsidRPr="00F04CCD">
                    <w:rPr>
                      <w:i/>
                    </w:rPr>
                    <w:t>0</w:t>
                  </w:r>
                </w:p>
              </w:tc>
              <w:tc>
                <w:tcPr>
                  <w:tcW w:w="2994" w:type="dxa"/>
                </w:tcPr>
                <w:p w:rsidR="00BC4D3C" w:rsidRPr="00F04CCD" w:rsidRDefault="00BC4D3C" w:rsidP="00BC4D3C">
                  <w:pPr>
                    <w:jc w:val="center"/>
                    <w:rPr>
                      <w:i/>
                    </w:rPr>
                  </w:pPr>
                  <w:r w:rsidRPr="00F04CCD">
                    <w:rPr>
                      <w:i/>
                    </w:rPr>
                    <w:t>0</w:t>
                  </w:r>
                </w:p>
              </w:tc>
            </w:tr>
            <w:tr w:rsidR="00BC4D3C" w:rsidRPr="00F04CCD" w:rsidTr="00BC4D3C">
              <w:tc>
                <w:tcPr>
                  <w:tcW w:w="2993" w:type="dxa"/>
                </w:tcPr>
                <w:p w:rsidR="00BC4D3C" w:rsidRPr="00F04CCD" w:rsidRDefault="00BC4D3C" w:rsidP="00BC4D3C">
                  <w:pPr>
                    <w:rPr>
                      <w:b/>
                      <w:i/>
                    </w:rPr>
                  </w:pPr>
                  <w:r w:rsidRPr="00F04CCD">
                    <w:rPr>
                      <w:b/>
                      <w:i/>
                    </w:rPr>
                    <w:t>Celkové náklady regulácie</w:t>
                  </w:r>
                </w:p>
              </w:tc>
              <w:tc>
                <w:tcPr>
                  <w:tcW w:w="2994" w:type="dxa"/>
                </w:tcPr>
                <w:p w:rsidR="00BC4D3C" w:rsidRPr="00F04CCD" w:rsidRDefault="00BC4D3C" w:rsidP="00BC4D3C">
                  <w:pPr>
                    <w:jc w:val="center"/>
                    <w:rPr>
                      <w:b/>
                      <w:i/>
                    </w:rPr>
                  </w:pPr>
                  <w:r w:rsidRPr="00F04CCD">
                    <w:rPr>
                      <w:b/>
                      <w:i/>
                    </w:rPr>
                    <w:t>0</w:t>
                  </w:r>
                </w:p>
              </w:tc>
              <w:tc>
                <w:tcPr>
                  <w:tcW w:w="2994" w:type="dxa"/>
                </w:tcPr>
                <w:p w:rsidR="00BC4D3C" w:rsidRPr="00F04CCD" w:rsidRDefault="00BC4D3C" w:rsidP="00BC4D3C">
                  <w:pPr>
                    <w:jc w:val="center"/>
                    <w:rPr>
                      <w:b/>
                      <w:i/>
                    </w:rPr>
                  </w:pPr>
                  <w:r w:rsidRPr="00F04CCD">
                    <w:rPr>
                      <w:b/>
                      <w:i/>
                    </w:rPr>
                    <w:t>0</w:t>
                  </w:r>
                </w:p>
              </w:tc>
            </w:tr>
          </w:tbl>
          <w:p w:rsidR="00BC4D3C" w:rsidRPr="00F04CCD" w:rsidRDefault="00BC4D3C" w:rsidP="00BC4D3C">
            <w:pPr>
              <w:rPr>
                <w:i/>
              </w:rPr>
            </w:pPr>
          </w:p>
        </w:tc>
      </w:tr>
      <w:tr w:rsidR="00BC4D3C" w:rsidRPr="00F04CCD" w:rsidTr="00BC4D3C">
        <w:tc>
          <w:tcPr>
            <w:tcW w:w="9212" w:type="dxa"/>
            <w:shd w:val="clear" w:color="auto" w:fill="D9D9D9" w:themeFill="background1" w:themeFillShade="D9"/>
          </w:tcPr>
          <w:p w:rsidR="00BC4D3C" w:rsidRPr="00042C66" w:rsidRDefault="00BC4D3C" w:rsidP="00BC4D3C">
            <w:pPr>
              <w:rPr>
                <w:b/>
              </w:rPr>
            </w:pPr>
            <w:r>
              <w:rPr>
                <w:b/>
              </w:rPr>
              <w:t>3</w:t>
            </w:r>
            <w:r w:rsidRPr="00042C66">
              <w:rPr>
                <w:b/>
              </w:rPr>
              <w:t>.4 Konkurencieschopnosť a správanie sa podnikov na trhu</w:t>
            </w:r>
          </w:p>
          <w:p w:rsidR="00BC4D3C" w:rsidRPr="00F04CCD" w:rsidRDefault="00BC4D3C" w:rsidP="00BC4D3C">
            <w:r w:rsidRPr="00042C66">
              <w:rPr>
                <w:b/>
              </w:rPr>
              <w:t xml:space="preserve">       </w:t>
            </w:r>
            <w:r w:rsidRPr="00042C66">
              <w:t xml:space="preserve">- </w:t>
            </w:r>
            <w:r w:rsidRPr="00042C66">
              <w:rPr>
                <w:b/>
              </w:rPr>
              <w:t>z toho MSP</w:t>
            </w:r>
          </w:p>
        </w:tc>
      </w:tr>
      <w:tr w:rsidR="00BC4D3C" w:rsidRPr="00F04CCD" w:rsidTr="00BC4D3C">
        <w:tc>
          <w:tcPr>
            <w:tcW w:w="9212" w:type="dxa"/>
            <w:tcBorders>
              <w:bottom w:val="single" w:sz="4" w:space="0" w:color="auto"/>
            </w:tcBorders>
          </w:tcPr>
          <w:p w:rsidR="00BC4D3C" w:rsidRPr="00F04CCD" w:rsidRDefault="00BC4D3C" w:rsidP="00BC4D3C">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 xml:space="preserve">prísnejšiu reguláciu správania sa niektorých podnikov? Bude sa s niektorými podnikmi alebo produktmi zaobchádzať v porovnateľnej situácii rôzne (špeciálne režimy pre </w:t>
            </w:r>
            <w:proofErr w:type="spellStart"/>
            <w:r w:rsidRPr="00F04CCD">
              <w:rPr>
                <w:i/>
              </w:rPr>
              <w:t>mikro</w:t>
            </w:r>
            <w:proofErr w:type="spellEnd"/>
            <w:r w:rsidRPr="00F04CCD">
              <w:rPr>
                <w:i/>
              </w:rPr>
              <w:t>, malé a stredné podniky tzv. MSP)? Ak áno, popíšte.</w:t>
            </w:r>
          </w:p>
          <w:p w:rsidR="00BC4D3C" w:rsidRPr="00F04CCD" w:rsidRDefault="00BC4D3C" w:rsidP="00BC4D3C">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BC4D3C" w:rsidRPr="00F04CCD" w:rsidRDefault="00BC4D3C" w:rsidP="00BC4D3C">
            <w:pPr>
              <w:rPr>
                <w:i/>
              </w:rPr>
            </w:pPr>
            <w:r w:rsidRPr="00F04CCD">
              <w:rPr>
                <w:i/>
              </w:rPr>
              <w:t>Ako ovplyvní cenu alebo dostupnosť základných zdrojov (suroviny, mechanizmy, pracovná sila, energie atď.)?</w:t>
            </w:r>
          </w:p>
          <w:p w:rsidR="00BC4D3C" w:rsidRPr="00F04CCD" w:rsidRDefault="00BC4D3C" w:rsidP="00BC4D3C">
            <w:pPr>
              <w:rPr>
                <w:i/>
              </w:rPr>
            </w:pPr>
            <w:r w:rsidRPr="00F04CCD">
              <w:rPr>
                <w:i/>
              </w:rPr>
              <w:t>Ovplyvňuje prístup k financiám? Ak áno, ako?</w:t>
            </w:r>
          </w:p>
        </w:tc>
      </w:tr>
      <w:tr w:rsidR="00BC4D3C" w:rsidRPr="00F04CCD" w:rsidTr="00BC4D3C">
        <w:trPr>
          <w:trHeight w:val="1282"/>
        </w:trPr>
        <w:tc>
          <w:tcPr>
            <w:tcW w:w="9212" w:type="dxa"/>
            <w:tcBorders>
              <w:bottom w:val="single" w:sz="4" w:space="0" w:color="auto"/>
            </w:tcBorders>
          </w:tcPr>
          <w:p w:rsidR="00BC4D3C" w:rsidRDefault="00BC4D3C" w:rsidP="00BC4D3C"/>
          <w:p w:rsidR="00BC4D3C" w:rsidRDefault="00BC4D3C" w:rsidP="00BC4D3C">
            <w:pPr>
              <w:jc w:val="both"/>
            </w:pPr>
            <w:r>
              <w:t>Očakávaným výsledkom opatrenia  je zvýšenie konkurencieschopnosti slovenského audiovizuálneho priemyslu a prilákanie väčšieho množstva zahraničných filmových koprodukcií. To znamená príliv investícií v zmysle, že filmári strávia viac času aj financií natáčaním na území SR so zapojením  domácich partnerov a dodávateľov tovarov a služieb. Pri takejto spolupráci dochádza súčasne k transferu poznatkov a skúseností, ktoré zvyšujú konkurencieschopnosť domácich filmárov vo svetovom meradle.</w:t>
            </w:r>
          </w:p>
          <w:p w:rsidR="00BC4D3C" w:rsidRPr="004C0A3F" w:rsidRDefault="00BC4D3C" w:rsidP="00BC4D3C"/>
        </w:tc>
      </w:tr>
      <w:tr w:rsidR="00BC4D3C" w:rsidRPr="00F04CCD" w:rsidTr="00BC4D3C">
        <w:tc>
          <w:tcPr>
            <w:tcW w:w="9212" w:type="dxa"/>
            <w:shd w:val="clear" w:color="auto" w:fill="D9D9D9" w:themeFill="background1" w:themeFillShade="D9"/>
          </w:tcPr>
          <w:p w:rsidR="00BC4D3C" w:rsidRPr="00042C66" w:rsidRDefault="00BC4D3C" w:rsidP="00BC4D3C">
            <w:pPr>
              <w:rPr>
                <w:b/>
              </w:rPr>
            </w:pPr>
            <w:r>
              <w:rPr>
                <w:b/>
              </w:rPr>
              <w:t>3</w:t>
            </w:r>
            <w:r w:rsidRPr="00042C66">
              <w:rPr>
                <w:b/>
              </w:rPr>
              <w:t xml:space="preserve">.5 Inovácie </w:t>
            </w:r>
          </w:p>
          <w:p w:rsidR="00BC4D3C" w:rsidRPr="00F04CCD" w:rsidRDefault="00BC4D3C" w:rsidP="00BC4D3C">
            <w:pPr>
              <w:rPr>
                <w:b/>
              </w:rPr>
            </w:pPr>
            <w:r w:rsidRPr="00042C66">
              <w:t xml:space="preserve">       - </w:t>
            </w:r>
            <w:r w:rsidRPr="00042C66">
              <w:rPr>
                <w:b/>
              </w:rPr>
              <w:t>z toho MSP</w:t>
            </w:r>
          </w:p>
        </w:tc>
      </w:tr>
      <w:tr w:rsidR="00BC4D3C" w:rsidRPr="00F04CCD" w:rsidTr="00BC4D3C">
        <w:tc>
          <w:tcPr>
            <w:tcW w:w="9212" w:type="dxa"/>
          </w:tcPr>
          <w:p w:rsidR="00BC4D3C" w:rsidRPr="00F04CCD" w:rsidRDefault="00BC4D3C" w:rsidP="00BC4D3C">
            <w:pPr>
              <w:rPr>
                <w:i/>
              </w:rPr>
            </w:pPr>
            <w:r w:rsidRPr="00F04CCD">
              <w:rPr>
                <w:i/>
              </w:rPr>
              <w:t>Uveďte, ako podporuje navrhovaná zmena inovácie.</w:t>
            </w:r>
          </w:p>
          <w:p w:rsidR="00BC4D3C" w:rsidRPr="00F04CCD" w:rsidRDefault="00BC4D3C" w:rsidP="00BC4D3C">
            <w:pPr>
              <w:rPr>
                <w:i/>
              </w:rPr>
            </w:pPr>
            <w:r w:rsidRPr="00F04CCD">
              <w:rPr>
                <w:i/>
              </w:rPr>
              <w:t>Zjednodušuje uvedenie alebo rozšírenie nových výrobných metód, technológií a výrobkov na trh?</w:t>
            </w:r>
          </w:p>
          <w:p w:rsidR="00BC4D3C" w:rsidRPr="00F04CCD" w:rsidRDefault="00BC4D3C" w:rsidP="00BC4D3C">
            <w:pPr>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xml:space="preserve">, vlastníctvo </w:t>
            </w:r>
            <w:proofErr w:type="spellStart"/>
            <w:r w:rsidRPr="00F04CCD">
              <w:rPr>
                <w:i/>
              </w:rPr>
              <w:t>know-how</w:t>
            </w:r>
            <w:proofErr w:type="spellEnd"/>
            <w:r w:rsidRPr="00F04CCD">
              <w:rPr>
                <w:i/>
              </w:rPr>
              <w:t>).</w:t>
            </w:r>
          </w:p>
          <w:p w:rsidR="00BC4D3C" w:rsidRDefault="00BC4D3C" w:rsidP="00BC4D3C">
            <w:pPr>
              <w:rPr>
                <w:i/>
              </w:rPr>
            </w:pPr>
            <w:r w:rsidRPr="00F04CCD">
              <w:rPr>
                <w:i/>
              </w:rPr>
              <w:t>Podporuje vyššiu efektivitu výroby/využívania zdrojov? Ak áno, ako?</w:t>
            </w:r>
          </w:p>
          <w:p w:rsidR="00BC4D3C" w:rsidRPr="00F04CCD" w:rsidRDefault="00BC4D3C" w:rsidP="00BC4D3C">
            <w:r w:rsidRPr="00154881">
              <w:rPr>
                <w:i/>
              </w:rPr>
              <w:t>Vytvorí zmena nové pracovné miesta pre zamestnancov výskumu a vývoja v</w:t>
            </w:r>
            <w:r>
              <w:rPr>
                <w:i/>
              </w:rPr>
              <w:t> </w:t>
            </w:r>
            <w:r w:rsidRPr="00154881">
              <w:rPr>
                <w:i/>
              </w:rPr>
              <w:t>SR</w:t>
            </w:r>
            <w:r>
              <w:rPr>
                <w:i/>
              </w:rPr>
              <w:t>?</w:t>
            </w:r>
          </w:p>
        </w:tc>
      </w:tr>
      <w:tr w:rsidR="00BC4D3C" w:rsidRPr="00F04CCD" w:rsidTr="00BC4D3C">
        <w:trPr>
          <w:trHeight w:val="1747"/>
        </w:trPr>
        <w:tc>
          <w:tcPr>
            <w:tcW w:w="9212" w:type="dxa"/>
          </w:tcPr>
          <w:p w:rsidR="00BC4D3C" w:rsidRPr="00F04CCD" w:rsidRDefault="00BC4D3C" w:rsidP="00BC4D3C">
            <w:pPr>
              <w:rPr>
                <w:i/>
              </w:rPr>
            </w:pPr>
          </w:p>
        </w:tc>
      </w:tr>
    </w:tbl>
    <w:p w:rsidR="00BC4D3C" w:rsidRPr="00F04CCD" w:rsidRDefault="00BC4D3C" w:rsidP="00BC4D3C"/>
    <w:p w:rsidR="00BC4D3C" w:rsidRDefault="00BC4D3C" w:rsidP="00BC4D3C"/>
    <w:p w:rsidR="00BC4D3C" w:rsidRDefault="00BC4D3C" w:rsidP="00BC4D3C"/>
    <w:p w:rsidR="00BC4D3C" w:rsidRDefault="00BC4D3C" w:rsidP="00BC4D3C"/>
    <w:p w:rsidR="00BC4D3C" w:rsidRDefault="00BC4D3C" w:rsidP="00BC4D3C"/>
    <w:p w:rsidR="007C08EC" w:rsidRPr="00117A7E" w:rsidRDefault="007C08EC" w:rsidP="007C08EC">
      <w:pPr>
        <w:jc w:val="center"/>
        <w:rPr>
          <w:b/>
          <w:caps/>
          <w:spacing w:val="30"/>
          <w:sz w:val="25"/>
          <w:szCs w:val="25"/>
        </w:rPr>
      </w:pPr>
      <w:r w:rsidRPr="00117A7E">
        <w:rPr>
          <w:b/>
          <w:caps/>
          <w:spacing w:val="30"/>
          <w:sz w:val="25"/>
          <w:szCs w:val="25"/>
        </w:rPr>
        <w:lastRenderedPageBreak/>
        <w:t>Doložka zlučiteľnosti</w:t>
      </w:r>
    </w:p>
    <w:p w:rsidR="007C08EC" w:rsidRPr="00117A7E" w:rsidRDefault="007C08EC" w:rsidP="007C08EC">
      <w:pPr>
        <w:jc w:val="center"/>
        <w:rPr>
          <w:b/>
          <w:sz w:val="25"/>
          <w:szCs w:val="25"/>
        </w:rPr>
      </w:pPr>
      <w:r>
        <w:rPr>
          <w:b/>
          <w:sz w:val="25"/>
          <w:szCs w:val="25"/>
        </w:rPr>
        <w:t xml:space="preserve">návrhu </w:t>
      </w:r>
      <w:r w:rsidRPr="00117A7E">
        <w:rPr>
          <w:b/>
          <w:sz w:val="25"/>
          <w:szCs w:val="25"/>
        </w:rPr>
        <w:t>právneho predpisu s právom Európskej únie</w:t>
      </w:r>
    </w:p>
    <w:p w:rsidR="007C08EC" w:rsidRPr="00117A7E" w:rsidRDefault="007C08EC" w:rsidP="007C08EC">
      <w:pPr>
        <w:jc w:val="center"/>
        <w:rPr>
          <w:b/>
          <w:sz w:val="25"/>
          <w:szCs w:val="25"/>
        </w:rPr>
      </w:pPr>
    </w:p>
    <w:p w:rsidR="007C08EC" w:rsidRPr="00117A7E" w:rsidRDefault="007C08EC" w:rsidP="007C08EC">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7C08EC" w:rsidRPr="00117A7E" w:rsidTr="0008166B">
        <w:tc>
          <w:tcPr>
            <w:tcW w:w="404" w:type="dxa"/>
          </w:tcPr>
          <w:p w:rsidR="007C08EC" w:rsidRPr="00117A7E" w:rsidRDefault="007C08EC" w:rsidP="0008166B">
            <w:pPr>
              <w:tabs>
                <w:tab w:val="left" w:pos="360"/>
              </w:tabs>
              <w:jc w:val="both"/>
              <w:rPr>
                <w:b/>
                <w:sz w:val="25"/>
                <w:szCs w:val="25"/>
              </w:rPr>
            </w:pPr>
            <w:r w:rsidRPr="00117A7E">
              <w:rPr>
                <w:b/>
                <w:sz w:val="25"/>
                <w:szCs w:val="25"/>
              </w:rPr>
              <w:t>1.</w:t>
            </w:r>
          </w:p>
        </w:tc>
        <w:tc>
          <w:tcPr>
            <w:tcW w:w="9627" w:type="dxa"/>
          </w:tcPr>
          <w:p w:rsidR="007C08EC" w:rsidRPr="00117A7E" w:rsidRDefault="007C08EC" w:rsidP="0008166B">
            <w:pPr>
              <w:tabs>
                <w:tab w:val="left" w:pos="360"/>
              </w:tabs>
              <w:jc w:val="both"/>
              <w:rPr>
                <w:sz w:val="25"/>
                <w:szCs w:val="25"/>
              </w:rPr>
            </w:pPr>
            <w:r w:rsidRPr="00117A7E">
              <w:rPr>
                <w:b/>
                <w:sz w:val="25"/>
                <w:szCs w:val="25"/>
              </w:rPr>
              <w:t xml:space="preserve">Predkladateľ </w:t>
            </w:r>
            <w:r>
              <w:rPr>
                <w:b/>
                <w:sz w:val="25"/>
                <w:szCs w:val="25"/>
              </w:rPr>
              <w:t xml:space="preserve">návrhu </w:t>
            </w:r>
            <w:r w:rsidRPr="00117A7E">
              <w:rPr>
                <w:b/>
                <w:sz w:val="25"/>
                <w:szCs w:val="25"/>
              </w:rPr>
              <w:t>právneho predpisu:</w:t>
            </w:r>
            <w:r w:rsidRPr="00117A7E">
              <w:rPr>
                <w:sz w:val="25"/>
                <w:szCs w:val="25"/>
              </w:rPr>
              <w:t xml:space="preserve"> </w:t>
            </w:r>
            <w:r w:rsidRPr="00117A7E">
              <w:rPr>
                <w:sz w:val="25"/>
                <w:szCs w:val="25"/>
              </w:rPr>
              <w:fldChar w:fldCharType="begin"/>
            </w:r>
            <w:r w:rsidRPr="00117A7E">
              <w:rPr>
                <w:sz w:val="25"/>
                <w:szCs w:val="25"/>
              </w:rPr>
              <w:instrText xml:space="preserve"> DOCPROPERTY  FSC#SKEDITIONSLOVLEX@103.510:zodpinstitucia  \* MERGEFORMAT </w:instrText>
            </w:r>
            <w:r w:rsidRPr="00117A7E">
              <w:rPr>
                <w:sz w:val="25"/>
                <w:szCs w:val="25"/>
              </w:rPr>
              <w:fldChar w:fldCharType="separate"/>
            </w:r>
            <w:r>
              <w:rPr>
                <w:sz w:val="25"/>
                <w:szCs w:val="25"/>
              </w:rPr>
              <w:t>Ministerstvo kultúry Slovenskej republiky</w:t>
            </w:r>
            <w:r w:rsidRPr="00117A7E">
              <w:rPr>
                <w:sz w:val="25"/>
                <w:szCs w:val="25"/>
              </w:rPr>
              <w:fldChar w:fldCharType="end"/>
            </w:r>
          </w:p>
        </w:tc>
      </w:tr>
      <w:tr w:rsidR="007C08EC" w:rsidRPr="00117A7E" w:rsidTr="0008166B">
        <w:tc>
          <w:tcPr>
            <w:tcW w:w="404" w:type="dxa"/>
          </w:tcPr>
          <w:p w:rsidR="007C08EC" w:rsidRPr="00117A7E" w:rsidRDefault="007C08EC" w:rsidP="0008166B">
            <w:pPr>
              <w:tabs>
                <w:tab w:val="left" w:pos="360"/>
              </w:tabs>
              <w:jc w:val="both"/>
              <w:rPr>
                <w:sz w:val="25"/>
                <w:szCs w:val="25"/>
              </w:rPr>
            </w:pPr>
          </w:p>
        </w:tc>
        <w:tc>
          <w:tcPr>
            <w:tcW w:w="9627" w:type="dxa"/>
          </w:tcPr>
          <w:p w:rsidR="007C08EC" w:rsidRPr="00117A7E" w:rsidRDefault="007C08EC" w:rsidP="0008166B">
            <w:pPr>
              <w:tabs>
                <w:tab w:val="left" w:pos="360"/>
              </w:tabs>
              <w:jc w:val="both"/>
              <w:rPr>
                <w:sz w:val="25"/>
                <w:szCs w:val="25"/>
              </w:rPr>
            </w:pPr>
          </w:p>
        </w:tc>
      </w:tr>
      <w:tr w:rsidR="007C08EC" w:rsidRPr="00117A7E" w:rsidTr="0008166B">
        <w:tc>
          <w:tcPr>
            <w:tcW w:w="404" w:type="dxa"/>
          </w:tcPr>
          <w:p w:rsidR="007C08EC" w:rsidRPr="00117A7E" w:rsidRDefault="007C08EC" w:rsidP="0008166B">
            <w:pPr>
              <w:tabs>
                <w:tab w:val="left" w:pos="360"/>
              </w:tabs>
              <w:jc w:val="both"/>
              <w:rPr>
                <w:b/>
                <w:sz w:val="25"/>
                <w:szCs w:val="25"/>
              </w:rPr>
            </w:pPr>
            <w:r w:rsidRPr="00117A7E">
              <w:rPr>
                <w:b/>
                <w:sz w:val="25"/>
                <w:szCs w:val="25"/>
              </w:rPr>
              <w:t>2.</w:t>
            </w:r>
          </w:p>
        </w:tc>
        <w:tc>
          <w:tcPr>
            <w:tcW w:w="9627" w:type="dxa"/>
          </w:tcPr>
          <w:p w:rsidR="007C08EC" w:rsidRPr="00117A7E" w:rsidRDefault="007C08EC" w:rsidP="0008166B">
            <w:pPr>
              <w:tabs>
                <w:tab w:val="left" w:pos="360"/>
              </w:tabs>
              <w:jc w:val="both"/>
              <w:rPr>
                <w:sz w:val="25"/>
                <w:szCs w:val="25"/>
              </w:rPr>
            </w:pPr>
            <w:r w:rsidRPr="00117A7E">
              <w:rPr>
                <w:b/>
                <w:sz w:val="25"/>
                <w:szCs w:val="25"/>
              </w:rPr>
              <w:t>Názov návrhu právneho predpisu:</w:t>
            </w:r>
            <w:r w:rsidRPr="00117A7E">
              <w:rPr>
                <w:sz w:val="25"/>
                <w:szCs w:val="25"/>
              </w:rPr>
              <w:t xml:space="preserve"> </w:t>
            </w:r>
            <w:r w:rsidRPr="00117A7E">
              <w:rPr>
                <w:sz w:val="25"/>
                <w:szCs w:val="25"/>
              </w:rPr>
              <w:fldChar w:fldCharType="begin"/>
            </w:r>
            <w:r w:rsidRPr="00117A7E">
              <w:rPr>
                <w:sz w:val="25"/>
                <w:szCs w:val="25"/>
              </w:rPr>
              <w:instrText xml:space="preserve"> DOCPROPERTY  FSC#SKEDITIONSLOVLEX@103.510:plnynazovpredpis  \* MERGEFORMAT </w:instrText>
            </w:r>
            <w:r w:rsidRPr="00117A7E">
              <w:rPr>
                <w:sz w:val="25"/>
                <w:szCs w:val="25"/>
              </w:rPr>
              <w:fldChar w:fldCharType="separate"/>
            </w:r>
            <w:r>
              <w:rPr>
                <w:sz w:val="25"/>
                <w:szCs w:val="25"/>
              </w:rPr>
              <w:t xml:space="preserve"> Zákon, ktorým sa mení a dopĺňa zákon č. 516/2008 Z. z. o Audiovizuálnom fonde a o zmene a doplnení niektorých zákonov v znení neskorších predpisov </w:t>
            </w:r>
            <w:r w:rsidRPr="00117A7E">
              <w:rPr>
                <w:sz w:val="25"/>
                <w:szCs w:val="25"/>
              </w:rPr>
              <w:fldChar w:fldCharType="end"/>
            </w:r>
            <w:r w:rsidRPr="00454D2B">
              <w:rPr>
                <w:sz w:val="25"/>
                <w:szCs w:val="25"/>
              </w:rPr>
              <w:t xml:space="preserve">a ktorým sa </w:t>
            </w:r>
            <w:r w:rsidRPr="001312A4">
              <w:rPr>
                <w:sz w:val="25"/>
                <w:szCs w:val="25"/>
              </w:rPr>
              <w:t>dopĺňa</w:t>
            </w:r>
            <w:r w:rsidRPr="00454D2B">
              <w:rPr>
                <w:sz w:val="25"/>
                <w:szCs w:val="25"/>
              </w:rPr>
              <w:t xml:space="preserve"> zákon č. 40/2015 Z. z. o audiovízii a o zmene a doplnení niektorých zákonov v znení neskorších predpisov </w:t>
            </w:r>
            <w:r w:rsidRPr="00117A7E">
              <w:rPr>
                <w:sz w:val="25"/>
                <w:szCs w:val="25"/>
              </w:rPr>
              <w:fldChar w:fldCharType="begin"/>
            </w:r>
            <w:r w:rsidRPr="00117A7E">
              <w:rPr>
                <w:sz w:val="25"/>
                <w:szCs w:val="25"/>
              </w:rPr>
              <w:instrText xml:space="preserve"> DOCPROPERTY  FSC#SKEDITIONSLOVLEX@103.510:plnynazovpredpis1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FSC#SKEDITIONSLOVLEX@103.510:plnynazovpredpis2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FSC#SKEDITIONSLOVLEX@103.510:plnynazovpredpis3  \* MERGEFORMAT </w:instrText>
            </w:r>
            <w:r w:rsidRPr="00117A7E">
              <w:rPr>
                <w:sz w:val="25"/>
                <w:szCs w:val="25"/>
              </w:rPr>
              <w:fldChar w:fldCharType="end"/>
            </w:r>
          </w:p>
        </w:tc>
      </w:tr>
      <w:tr w:rsidR="007C08EC" w:rsidRPr="00117A7E" w:rsidTr="0008166B">
        <w:tc>
          <w:tcPr>
            <w:tcW w:w="404" w:type="dxa"/>
          </w:tcPr>
          <w:p w:rsidR="007C08EC" w:rsidRPr="00117A7E" w:rsidRDefault="007C08EC" w:rsidP="0008166B">
            <w:pPr>
              <w:tabs>
                <w:tab w:val="left" w:pos="360"/>
              </w:tabs>
              <w:jc w:val="both"/>
              <w:rPr>
                <w:sz w:val="25"/>
                <w:szCs w:val="25"/>
              </w:rPr>
            </w:pPr>
          </w:p>
        </w:tc>
        <w:tc>
          <w:tcPr>
            <w:tcW w:w="9627" w:type="dxa"/>
          </w:tcPr>
          <w:p w:rsidR="007C08EC" w:rsidRPr="00117A7E" w:rsidRDefault="007C08EC" w:rsidP="0008166B">
            <w:pPr>
              <w:tabs>
                <w:tab w:val="left" w:pos="360"/>
              </w:tabs>
              <w:jc w:val="both"/>
              <w:rPr>
                <w:sz w:val="25"/>
                <w:szCs w:val="25"/>
              </w:rPr>
            </w:pPr>
          </w:p>
        </w:tc>
      </w:tr>
      <w:tr w:rsidR="007C08EC" w:rsidRPr="00117A7E" w:rsidTr="0008166B">
        <w:tc>
          <w:tcPr>
            <w:tcW w:w="404" w:type="dxa"/>
          </w:tcPr>
          <w:p w:rsidR="007C08EC" w:rsidRPr="00117A7E" w:rsidRDefault="007C08EC" w:rsidP="0008166B">
            <w:pPr>
              <w:tabs>
                <w:tab w:val="left" w:pos="360"/>
              </w:tabs>
              <w:jc w:val="both"/>
              <w:rPr>
                <w:b/>
                <w:sz w:val="25"/>
                <w:szCs w:val="25"/>
              </w:rPr>
            </w:pPr>
            <w:r w:rsidRPr="00117A7E">
              <w:rPr>
                <w:b/>
                <w:sz w:val="25"/>
                <w:szCs w:val="25"/>
              </w:rPr>
              <w:t>3.</w:t>
            </w:r>
          </w:p>
        </w:tc>
        <w:tc>
          <w:tcPr>
            <w:tcW w:w="9627" w:type="dxa"/>
          </w:tcPr>
          <w:p w:rsidR="007C08EC" w:rsidRPr="00117A7E" w:rsidRDefault="007C08EC" w:rsidP="0008166B">
            <w:pPr>
              <w:tabs>
                <w:tab w:val="left" w:pos="360"/>
              </w:tabs>
              <w:jc w:val="both"/>
              <w:rPr>
                <w:b/>
                <w:sz w:val="25"/>
                <w:szCs w:val="25"/>
              </w:rPr>
            </w:pPr>
            <w:r w:rsidRPr="00117A7E">
              <w:rPr>
                <w:b/>
                <w:sz w:val="25"/>
                <w:szCs w:val="25"/>
              </w:rPr>
              <w:t>Problematika návrhu právneho predpisu:</w:t>
            </w:r>
          </w:p>
          <w:p w:rsidR="007C08EC" w:rsidRPr="00117A7E" w:rsidRDefault="007C08EC" w:rsidP="0008166B">
            <w:pPr>
              <w:tabs>
                <w:tab w:val="left" w:pos="360"/>
              </w:tabs>
              <w:jc w:val="both"/>
              <w:rPr>
                <w:sz w:val="25"/>
                <w:szCs w:val="25"/>
              </w:rPr>
            </w:pPr>
          </w:p>
        </w:tc>
      </w:tr>
      <w:tr w:rsidR="007C08EC" w:rsidRPr="00117A7E" w:rsidTr="0008166B">
        <w:tc>
          <w:tcPr>
            <w:tcW w:w="404" w:type="dxa"/>
          </w:tcPr>
          <w:p w:rsidR="007C08EC" w:rsidRPr="00117A7E" w:rsidRDefault="007C08EC" w:rsidP="0008166B">
            <w:pPr>
              <w:tabs>
                <w:tab w:val="left" w:pos="360"/>
              </w:tabs>
              <w:jc w:val="both"/>
            </w:pPr>
          </w:p>
        </w:tc>
        <w:tc>
          <w:tcPr>
            <w:tcW w:w="9627" w:type="dxa"/>
          </w:tcPr>
          <w:p w:rsidR="007C08EC" w:rsidRPr="00117A7E" w:rsidRDefault="007C08EC" w:rsidP="0008166B">
            <w:pPr>
              <w:tabs>
                <w:tab w:val="left" w:pos="360"/>
              </w:tabs>
              <w:jc w:val="both"/>
            </w:pPr>
            <w:r w:rsidRPr="00983A3C">
              <w:rPr>
                <w:rFonts w:ascii="Times" w:hAnsi="Times" w:cs="Times"/>
                <w:sz w:val="25"/>
                <w:szCs w:val="25"/>
              </w:rPr>
              <w:t>je upravený v práve Európskej únie</w:t>
            </w:r>
          </w:p>
          <w:p w:rsidR="007C08EC" w:rsidRDefault="007C08EC" w:rsidP="0008166B">
            <w:pPr>
              <w:jc w:val="both"/>
              <w:rPr>
                <w:rFonts w:ascii="Times" w:hAnsi="Times" w:cs="Times"/>
                <w:sz w:val="25"/>
                <w:szCs w:val="25"/>
              </w:rPr>
            </w:pPr>
            <w:r>
              <w:rPr>
                <w:rFonts w:ascii="Times" w:hAnsi="Times" w:cs="Times"/>
                <w:sz w:val="25"/>
                <w:szCs w:val="25"/>
              </w:rPr>
              <w:br/>
            </w:r>
            <w:r>
              <w:rPr>
                <w:rFonts w:ascii="Times" w:hAnsi="Times" w:cs="Times"/>
                <w:i/>
                <w:iCs/>
                <w:sz w:val="25"/>
                <w:szCs w:val="25"/>
              </w:rPr>
              <w:t>a)</w:t>
            </w:r>
            <w:r>
              <w:rPr>
                <w:rFonts w:ascii="Times" w:hAnsi="Times" w:cs="Times"/>
                <w:i/>
                <w:iCs/>
                <w:sz w:val="25"/>
                <w:szCs w:val="25"/>
              </w:rPr>
              <w:t xml:space="preserve">primárnom </w:t>
            </w:r>
            <w:r>
              <w:rPr>
                <w:rFonts w:ascii="Times" w:hAnsi="Times" w:cs="Times"/>
                <w:sz w:val="25"/>
                <w:szCs w:val="25"/>
              </w:rPr>
              <w:br/>
            </w:r>
            <w:r>
              <w:rPr>
                <w:rFonts w:ascii="Times" w:hAnsi="Times" w:cs="Times"/>
                <w:sz w:val="25"/>
                <w:szCs w:val="25"/>
              </w:rPr>
              <w:br/>
              <w:t>Čl. 107, 108 a 109 Zmluvy o fungovaní Európskej únie</w:t>
            </w:r>
          </w:p>
          <w:p w:rsidR="007C08EC" w:rsidRPr="00117A7E" w:rsidRDefault="007C08EC" w:rsidP="0008166B">
            <w:pPr>
              <w:pStyle w:val="Odsekzoznamu"/>
              <w:tabs>
                <w:tab w:val="left" w:pos="360"/>
              </w:tabs>
              <w:ind w:left="360"/>
              <w:jc w:val="both"/>
            </w:pPr>
          </w:p>
          <w:p w:rsidR="007C08EC" w:rsidRDefault="007C08EC" w:rsidP="0008166B">
            <w:pPr>
              <w:jc w:val="both"/>
              <w:rPr>
                <w:rFonts w:ascii="Times" w:hAnsi="Times" w:cs="Times"/>
                <w:sz w:val="25"/>
                <w:szCs w:val="25"/>
              </w:rPr>
            </w:pPr>
            <w:r>
              <w:rPr>
                <w:rFonts w:ascii="Times" w:hAnsi="Times" w:cs="Times"/>
                <w:i/>
                <w:iCs/>
                <w:sz w:val="25"/>
                <w:szCs w:val="25"/>
              </w:rPr>
              <w:t>b)</w:t>
            </w:r>
            <w:r>
              <w:rPr>
                <w:rFonts w:ascii="Times" w:hAnsi="Times" w:cs="Times"/>
                <w:i/>
                <w:iCs/>
                <w:sz w:val="25"/>
                <w:szCs w:val="25"/>
              </w:rPr>
              <w:t xml:space="preserve">sekundárnom </w:t>
            </w:r>
            <w:r>
              <w:rPr>
                <w:rFonts w:ascii="Times" w:hAnsi="Times" w:cs="Times"/>
                <w:sz w:val="25"/>
                <w:szCs w:val="25"/>
              </w:rPr>
              <w:br/>
            </w:r>
            <w:r>
              <w:rPr>
                <w:rFonts w:ascii="Times" w:hAnsi="Times" w:cs="Times"/>
                <w:sz w:val="25"/>
                <w:szCs w:val="25"/>
              </w:rPr>
              <w:br/>
              <w:t>Nariadenie Komisie (EÚ) č. 651/2014 zo 17. júna 2014 o vyhlásení určitých kategórií pomoci za zlučiteľné s vnútorným trhom podľa článkov 107 a 108 zmluvy v platnom znení (</w:t>
            </w:r>
            <w:r w:rsidRPr="00AB04E4">
              <w:rPr>
                <w:rFonts w:ascii="Times" w:hAnsi="Times" w:cs="Times"/>
                <w:sz w:val="25"/>
                <w:szCs w:val="25"/>
              </w:rPr>
              <w:t>Ú. v. EÚ L 187, 26.6.2014</w:t>
            </w:r>
            <w:r>
              <w:rPr>
                <w:rFonts w:ascii="Times" w:hAnsi="Times" w:cs="Times"/>
                <w:sz w:val="25"/>
                <w:szCs w:val="25"/>
              </w:rPr>
              <w:t>)</w:t>
            </w:r>
          </w:p>
          <w:p w:rsidR="007C08EC" w:rsidRDefault="007C08EC" w:rsidP="0008166B">
            <w:pPr>
              <w:jc w:val="both"/>
              <w:rPr>
                <w:rFonts w:ascii="Times" w:hAnsi="Times" w:cs="Times"/>
                <w:sz w:val="25"/>
                <w:szCs w:val="25"/>
              </w:rPr>
            </w:pPr>
            <w:r w:rsidRPr="00D87216">
              <w:rPr>
                <w:rFonts w:ascii="Times" w:hAnsi="Times" w:cs="Times"/>
                <w:sz w:val="25"/>
                <w:szCs w:val="25"/>
              </w:rPr>
              <w:t>Gestor: Protimonopolný úrad SR</w:t>
            </w:r>
          </w:p>
          <w:p w:rsidR="007C08EC" w:rsidRPr="00117A7E" w:rsidRDefault="007C08EC" w:rsidP="0008166B">
            <w:pPr>
              <w:tabs>
                <w:tab w:val="left" w:pos="360"/>
              </w:tabs>
              <w:jc w:val="both"/>
            </w:pPr>
          </w:p>
          <w:p w:rsidR="007C08EC" w:rsidRPr="00117A7E" w:rsidRDefault="007C08EC" w:rsidP="0008166B">
            <w:pPr>
              <w:tabs>
                <w:tab w:val="left" w:pos="360"/>
              </w:tabs>
              <w:jc w:val="both"/>
            </w:pPr>
            <w:r>
              <w:rPr>
                <w:rFonts w:ascii="Times" w:hAnsi="Times" w:cs="Times"/>
                <w:i/>
                <w:iCs/>
                <w:sz w:val="25"/>
                <w:szCs w:val="25"/>
              </w:rPr>
              <w:t xml:space="preserve">c) </w:t>
            </w:r>
            <w:r w:rsidRPr="00983A3C">
              <w:rPr>
                <w:rFonts w:ascii="Times" w:hAnsi="Times" w:cs="Times"/>
                <w:i/>
                <w:iCs/>
                <w:sz w:val="25"/>
                <w:szCs w:val="25"/>
              </w:rPr>
              <w:t>v judikatúre Súdneho dvora Európskej únie</w:t>
            </w:r>
          </w:p>
          <w:p w:rsidR="007C08EC" w:rsidRPr="00117A7E" w:rsidRDefault="007C08EC" w:rsidP="0008166B">
            <w:pPr>
              <w:pStyle w:val="Odsekzoznamu"/>
              <w:tabs>
                <w:tab w:val="left" w:pos="360"/>
              </w:tabs>
              <w:ind w:left="360"/>
              <w:jc w:val="both"/>
            </w:pPr>
          </w:p>
        </w:tc>
      </w:tr>
      <w:tr w:rsidR="007C08EC" w:rsidRPr="00117A7E" w:rsidTr="0008166B">
        <w:tc>
          <w:tcPr>
            <w:tcW w:w="404" w:type="dxa"/>
          </w:tcPr>
          <w:p w:rsidR="007C08EC" w:rsidRPr="00117A7E" w:rsidRDefault="007C08EC" w:rsidP="0008166B">
            <w:pPr>
              <w:tabs>
                <w:tab w:val="left" w:pos="360"/>
              </w:tabs>
              <w:jc w:val="both"/>
            </w:pPr>
          </w:p>
        </w:tc>
        <w:tc>
          <w:tcPr>
            <w:tcW w:w="9627" w:type="dxa"/>
          </w:tcPr>
          <w:p w:rsidR="007C08EC" w:rsidRDefault="007C08EC" w:rsidP="0008166B">
            <w:pPr>
              <w:jc w:val="both"/>
              <w:rPr>
                <w:rFonts w:ascii="Times" w:hAnsi="Times" w:cs="Times"/>
                <w:sz w:val="25"/>
                <w:szCs w:val="25"/>
              </w:rPr>
            </w:pPr>
            <w:r>
              <w:rPr>
                <w:rFonts w:ascii="Times" w:hAnsi="Times" w:cs="Times"/>
                <w:sz w:val="25"/>
                <w:szCs w:val="25"/>
              </w:rPr>
              <w:t>nie je obsiahnutá v judikatúre Súdneho dvora Európskej únie.</w:t>
            </w:r>
          </w:p>
          <w:p w:rsidR="007C08EC" w:rsidRPr="00117A7E" w:rsidRDefault="007C08EC" w:rsidP="0008166B">
            <w:pPr>
              <w:pStyle w:val="Odsekzoznamu"/>
              <w:tabs>
                <w:tab w:val="left" w:pos="360"/>
              </w:tabs>
              <w:ind w:left="360"/>
              <w:jc w:val="both"/>
            </w:pPr>
          </w:p>
        </w:tc>
      </w:tr>
      <w:tr w:rsidR="007C08EC" w:rsidRPr="00117A7E" w:rsidTr="0008166B">
        <w:tc>
          <w:tcPr>
            <w:tcW w:w="404" w:type="dxa"/>
          </w:tcPr>
          <w:p w:rsidR="007C08EC" w:rsidRPr="00117A7E" w:rsidRDefault="007C08EC" w:rsidP="0008166B">
            <w:pPr>
              <w:tabs>
                <w:tab w:val="left" w:pos="360"/>
              </w:tabs>
              <w:jc w:val="both"/>
              <w:rPr>
                <w:b/>
              </w:rPr>
            </w:pPr>
          </w:p>
        </w:tc>
        <w:tc>
          <w:tcPr>
            <w:tcW w:w="9627" w:type="dxa"/>
          </w:tcPr>
          <w:p w:rsidR="007C08EC" w:rsidRPr="00117A7E" w:rsidRDefault="007C08EC" w:rsidP="0008166B">
            <w:pPr>
              <w:tabs>
                <w:tab w:val="left" w:pos="360"/>
              </w:tabs>
              <w:jc w:val="both"/>
            </w:pPr>
          </w:p>
        </w:tc>
      </w:tr>
    </w:tbl>
    <w:p w:rsidR="007C08EC" w:rsidRDefault="007C08EC" w:rsidP="007C08EC">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7C08EC" w:rsidTr="0008166B">
        <w:trPr>
          <w:jc w:val="center"/>
        </w:trPr>
        <w:tc>
          <w:tcPr>
            <w:tcW w:w="250" w:type="pct"/>
            <w:tcBorders>
              <w:top w:val="nil"/>
              <w:left w:val="nil"/>
              <w:bottom w:val="nil"/>
              <w:right w:val="nil"/>
            </w:tcBorders>
            <w:hideMark/>
          </w:tcPr>
          <w:p w:rsidR="007C08EC" w:rsidRDefault="007C08EC" w:rsidP="0008166B">
            <w:pPr>
              <w:jc w:val="both"/>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vAlign w:val="center"/>
            <w:hideMark/>
          </w:tcPr>
          <w:p w:rsidR="007C08EC" w:rsidRDefault="007C08EC" w:rsidP="0008166B">
            <w:pPr>
              <w:spacing w:after="250"/>
              <w:jc w:val="both"/>
              <w:rPr>
                <w:rFonts w:ascii="Times" w:hAnsi="Times" w:cs="Times"/>
                <w:b/>
                <w:bCs/>
                <w:sz w:val="25"/>
                <w:szCs w:val="25"/>
              </w:rPr>
            </w:pPr>
            <w:r>
              <w:rPr>
                <w:rFonts w:ascii="Times" w:hAnsi="Times" w:cs="Times"/>
                <w:b/>
                <w:bCs/>
                <w:sz w:val="25"/>
                <w:szCs w:val="25"/>
              </w:rPr>
              <w:t>Záväzky Slovenskej republiky vo vzťahu k Európskej únii:</w:t>
            </w:r>
          </w:p>
        </w:tc>
      </w:tr>
      <w:tr w:rsidR="007C08EC" w:rsidTr="0008166B">
        <w:trPr>
          <w:jc w:val="center"/>
        </w:trPr>
        <w:tc>
          <w:tcPr>
            <w:tcW w:w="0" w:type="auto"/>
            <w:tcBorders>
              <w:top w:val="nil"/>
              <w:left w:val="nil"/>
              <w:bottom w:val="nil"/>
              <w:right w:val="nil"/>
            </w:tcBorders>
            <w:hideMark/>
          </w:tcPr>
          <w:p w:rsidR="007C08EC" w:rsidRDefault="007C08EC" w:rsidP="0008166B">
            <w:pPr>
              <w:spacing w:after="250"/>
              <w:jc w:val="both"/>
              <w:rPr>
                <w:rFonts w:ascii="Times" w:hAnsi="Times" w:cs="Times"/>
                <w:b/>
                <w:bCs/>
                <w:sz w:val="25"/>
                <w:szCs w:val="25"/>
              </w:rPr>
            </w:pPr>
          </w:p>
        </w:tc>
        <w:tc>
          <w:tcPr>
            <w:tcW w:w="150" w:type="pct"/>
            <w:tcBorders>
              <w:top w:val="nil"/>
              <w:left w:val="nil"/>
              <w:bottom w:val="nil"/>
              <w:right w:val="nil"/>
            </w:tcBorders>
            <w:hideMark/>
          </w:tcPr>
          <w:p w:rsidR="007C08EC" w:rsidRDefault="007C08EC" w:rsidP="0008166B">
            <w:pPr>
              <w:jc w:val="both"/>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vAlign w:val="center"/>
            <w:hideMark/>
          </w:tcPr>
          <w:p w:rsidR="007C08EC" w:rsidRDefault="007C08EC" w:rsidP="0008166B">
            <w:pPr>
              <w:spacing w:after="250"/>
              <w:jc w:val="both"/>
              <w:rPr>
                <w:rFonts w:ascii="Times" w:hAnsi="Times" w:cs="Times"/>
                <w:sz w:val="25"/>
                <w:szCs w:val="25"/>
              </w:rPr>
            </w:pPr>
            <w:r>
              <w:rPr>
                <w:rFonts w:ascii="Times" w:hAnsi="Times" w:cs="Times"/>
                <w:sz w:val="25"/>
                <w:szCs w:val="25"/>
              </w:rPr>
              <w:t>lehota na prebratie smernice alebo lehota na implementáciu nariadenia alebo rozhodnutia</w:t>
            </w:r>
          </w:p>
        </w:tc>
      </w:tr>
      <w:tr w:rsidR="007C08EC" w:rsidTr="0008166B">
        <w:trPr>
          <w:jc w:val="center"/>
        </w:trPr>
        <w:tc>
          <w:tcPr>
            <w:tcW w:w="0" w:type="auto"/>
            <w:tcBorders>
              <w:top w:val="nil"/>
              <w:left w:val="nil"/>
              <w:bottom w:val="nil"/>
              <w:right w:val="nil"/>
            </w:tcBorders>
            <w:hideMark/>
          </w:tcPr>
          <w:p w:rsidR="007C08EC" w:rsidRDefault="007C08EC" w:rsidP="0008166B">
            <w:pPr>
              <w:spacing w:after="250"/>
              <w:jc w:val="both"/>
              <w:rPr>
                <w:rFonts w:ascii="Times" w:hAnsi="Times" w:cs="Times"/>
                <w:sz w:val="25"/>
                <w:szCs w:val="25"/>
              </w:rPr>
            </w:pPr>
          </w:p>
        </w:tc>
        <w:tc>
          <w:tcPr>
            <w:tcW w:w="0" w:type="auto"/>
            <w:tcBorders>
              <w:top w:val="nil"/>
              <w:left w:val="nil"/>
              <w:bottom w:val="nil"/>
              <w:right w:val="nil"/>
            </w:tcBorders>
            <w:hideMark/>
          </w:tcPr>
          <w:p w:rsidR="007C08EC" w:rsidRDefault="007C08EC" w:rsidP="0008166B">
            <w:pPr>
              <w:jc w:val="both"/>
              <w:rPr>
                <w:sz w:val="20"/>
                <w:szCs w:val="20"/>
              </w:rPr>
            </w:pPr>
          </w:p>
        </w:tc>
        <w:tc>
          <w:tcPr>
            <w:tcW w:w="0" w:type="auto"/>
            <w:tcBorders>
              <w:top w:val="nil"/>
              <w:left w:val="nil"/>
              <w:bottom w:val="nil"/>
              <w:right w:val="nil"/>
            </w:tcBorders>
            <w:vAlign w:val="center"/>
            <w:hideMark/>
          </w:tcPr>
          <w:p w:rsidR="007C08EC" w:rsidRDefault="007C08EC" w:rsidP="0008166B">
            <w:pPr>
              <w:spacing w:after="250"/>
              <w:jc w:val="both"/>
              <w:rPr>
                <w:rFonts w:ascii="Times" w:hAnsi="Times" w:cs="Times"/>
                <w:sz w:val="25"/>
                <w:szCs w:val="25"/>
              </w:rPr>
            </w:pPr>
            <w:r>
              <w:rPr>
                <w:rFonts w:ascii="Times" w:hAnsi="Times" w:cs="Times"/>
                <w:sz w:val="25"/>
                <w:szCs w:val="25"/>
              </w:rPr>
              <w:t>bezpredmetné</w:t>
            </w:r>
          </w:p>
        </w:tc>
      </w:tr>
      <w:tr w:rsidR="007C08EC" w:rsidTr="0008166B">
        <w:trPr>
          <w:jc w:val="center"/>
        </w:trPr>
        <w:tc>
          <w:tcPr>
            <w:tcW w:w="0" w:type="auto"/>
            <w:tcBorders>
              <w:top w:val="nil"/>
              <w:left w:val="nil"/>
              <w:bottom w:val="nil"/>
              <w:right w:val="nil"/>
            </w:tcBorders>
            <w:hideMark/>
          </w:tcPr>
          <w:p w:rsidR="007C08EC" w:rsidRDefault="007C08EC" w:rsidP="0008166B">
            <w:pPr>
              <w:spacing w:after="250"/>
              <w:jc w:val="both"/>
              <w:rPr>
                <w:rFonts w:ascii="Times" w:hAnsi="Times" w:cs="Times"/>
                <w:sz w:val="25"/>
                <w:szCs w:val="25"/>
              </w:rPr>
            </w:pPr>
          </w:p>
        </w:tc>
        <w:tc>
          <w:tcPr>
            <w:tcW w:w="0" w:type="auto"/>
            <w:tcBorders>
              <w:top w:val="nil"/>
              <w:left w:val="nil"/>
              <w:bottom w:val="nil"/>
              <w:right w:val="nil"/>
            </w:tcBorders>
            <w:hideMark/>
          </w:tcPr>
          <w:p w:rsidR="007C08EC" w:rsidRDefault="007C08EC" w:rsidP="0008166B">
            <w:pPr>
              <w:jc w:val="both"/>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vAlign w:val="center"/>
            <w:hideMark/>
          </w:tcPr>
          <w:p w:rsidR="007C08EC" w:rsidRDefault="007C08EC" w:rsidP="007C08EC">
            <w:pPr>
              <w:spacing w:after="250"/>
              <w:jc w:val="both"/>
              <w:rPr>
                <w:rFonts w:ascii="Times" w:hAnsi="Times" w:cs="Times"/>
                <w:sz w:val="25"/>
                <w:szCs w:val="25"/>
              </w:rPr>
            </w:pPr>
            <w:r>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w:t>
            </w:r>
            <w:r>
              <w:rPr>
                <w:rFonts w:ascii="Times" w:hAnsi="Times" w:cs="Times"/>
                <w:sz w:val="25"/>
                <w:szCs w:val="25"/>
              </w:rPr>
              <w:br/>
              <w:t>s uvedením konkrétnych vytýkaných nedostatkov a požiadaviek na zabezpečenie nápravy so zreteľom na nariadenie Európskeho parlamentu a Rady (ES) č. 1049/2001 z 30. mája 2001 o prístupe verejnosti k dokume</w:t>
            </w:r>
            <w:r>
              <w:rPr>
                <w:rFonts w:ascii="Times" w:hAnsi="Times" w:cs="Times"/>
                <w:sz w:val="25"/>
                <w:szCs w:val="25"/>
              </w:rPr>
              <w:t>ntom Európskeho parlamentu, Rady</w:t>
            </w:r>
            <w:r>
              <w:rPr>
                <w:rFonts w:ascii="Times" w:hAnsi="Times" w:cs="Times"/>
                <w:sz w:val="25"/>
                <w:szCs w:val="25"/>
              </w:rPr>
              <w:t xml:space="preserve"> a Komisie </w:t>
            </w:r>
          </w:p>
        </w:tc>
      </w:tr>
      <w:tr w:rsidR="007C08EC" w:rsidTr="0008166B">
        <w:trPr>
          <w:jc w:val="center"/>
        </w:trPr>
        <w:tc>
          <w:tcPr>
            <w:tcW w:w="0" w:type="auto"/>
            <w:tcBorders>
              <w:top w:val="nil"/>
              <w:left w:val="nil"/>
              <w:bottom w:val="nil"/>
              <w:right w:val="nil"/>
            </w:tcBorders>
            <w:hideMark/>
          </w:tcPr>
          <w:p w:rsidR="007C08EC" w:rsidRDefault="007C08EC" w:rsidP="0008166B">
            <w:pPr>
              <w:spacing w:after="250"/>
              <w:jc w:val="both"/>
              <w:rPr>
                <w:rFonts w:ascii="Times" w:hAnsi="Times" w:cs="Times"/>
                <w:sz w:val="25"/>
                <w:szCs w:val="25"/>
              </w:rPr>
            </w:pPr>
          </w:p>
        </w:tc>
        <w:tc>
          <w:tcPr>
            <w:tcW w:w="0" w:type="auto"/>
            <w:tcBorders>
              <w:top w:val="nil"/>
              <w:left w:val="nil"/>
              <w:bottom w:val="nil"/>
              <w:right w:val="nil"/>
            </w:tcBorders>
            <w:hideMark/>
          </w:tcPr>
          <w:p w:rsidR="007C08EC" w:rsidRDefault="007C08EC" w:rsidP="0008166B">
            <w:pPr>
              <w:jc w:val="both"/>
              <w:rPr>
                <w:sz w:val="20"/>
                <w:szCs w:val="20"/>
              </w:rPr>
            </w:pPr>
          </w:p>
        </w:tc>
        <w:tc>
          <w:tcPr>
            <w:tcW w:w="0" w:type="auto"/>
            <w:tcBorders>
              <w:top w:val="nil"/>
              <w:left w:val="nil"/>
              <w:bottom w:val="nil"/>
              <w:right w:val="nil"/>
            </w:tcBorders>
            <w:vAlign w:val="center"/>
            <w:hideMark/>
          </w:tcPr>
          <w:p w:rsidR="007C08EC" w:rsidRDefault="007C08EC" w:rsidP="0008166B">
            <w:pPr>
              <w:spacing w:after="250"/>
              <w:jc w:val="both"/>
              <w:rPr>
                <w:rFonts w:ascii="Times" w:hAnsi="Times" w:cs="Times"/>
                <w:sz w:val="25"/>
                <w:szCs w:val="25"/>
              </w:rPr>
            </w:pPr>
            <w:r>
              <w:rPr>
                <w:rFonts w:ascii="Times" w:hAnsi="Times" w:cs="Times"/>
                <w:sz w:val="25"/>
                <w:szCs w:val="25"/>
              </w:rPr>
              <w:t>bezpredmetné</w:t>
            </w:r>
          </w:p>
        </w:tc>
      </w:tr>
      <w:tr w:rsidR="007C08EC" w:rsidTr="0008166B">
        <w:trPr>
          <w:jc w:val="center"/>
        </w:trPr>
        <w:tc>
          <w:tcPr>
            <w:tcW w:w="0" w:type="auto"/>
            <w:tcBorders>
              <w:top w:val="nil"/>
              <w:left w:val="nil"/>
              <w:bottom w:val="nil"/>
              <w:right w:val="nil"/>
            </w:tcBorders>
            <w:hideMark/>
          </w:tcPr>
          <w:p w:rsidR="007C08EC" w:rsidRDefault="007C08EC" w:rsidP="0008166B">
            <w:pPr>
              <w:spacing w:after="250"/>
              <w:jc w:val="both"/>
              <w:rPr>
                <w:rFonts w:ascii="Times" w:hAnsi="Times" w:cs="Times"/>
                <w:sz w:val="25"/>
                <w:szCs w:val="25"/>
              </w:rPr>
            </w:pPr>
          </w:p>
        </w:tc>
        <w:tc>
          <w:tcPr>
            <w:tcW w:w="0" w:type="auto"/>
            <w:tcBorders>
              <w:top w:val="nil"/>
              <w:left w:val="nil"/>
              <w:bottom w:val="nil"/>
              <w:right w:val="nil"/>
            </w:tcBorders>
            <w:hideMark/>
          </w:tcPr>
          <w:p w:rsidR="007C08EC" w:rsidRDefault="007C08EC" w:rsidP="0008166B">
            <w:pPr>
              <w:jc w:val="both"/>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vAlign w:val="center"/>
            <w:hideMark/>
          </w:tcPr>
          <w:p w:rsidR="007C08EC" w:rsidRDefault="007C08EC" w:rsidP="0008166B">
            <w:pPr>
              <w:spacing w:after="250"/>
              <w:jc w:val="both"/>
              <w:rPr>
                <w:rFonts w:ascii="Times" w:hAnsi="Times" w:cs="Times"/>
                <w:sz w:val="25"/>
                <w:szCs w:val="25"/>
              </w:rPr>
            </w:pPr>
            <w:r>
              <w:rPr>
                <w:rFonts w:ascii="Times" w:hAnsi="Times" w:cs="Times"/>
                <w:sz w:val="25"/>
                <w:szCs w:val="25"/>
              </w:rPr>
              <w:t>informácia o právnych predpisoch, v ktorých sú preberané smernice už prebraté spolu s uvedením rozsahu tohto prebratia</w:t>
            </w:r>
          </w:p>
        </w:tc>
      </w:tr>
      <w:tr w:rsidR="007C08EC" w:rsidTr="0008166B">
        <w:trPr>
          <w:jc w:val="center"/>
        </w:trPr>
        <w:tc>
          <w:tcPr>
            <w:tcW w:w="0" w:type="auto"/>
            <w:tcBorders>
              <w:top w:val="nil"/>
              <w:left w:val="nil"/>
              <w:bottom w:val="nil"/>
              <w:right w:val="nil"/>
            </w:tcBorders>
            <w:hideMark/>
          </w:tcPr>
          <w:p w:rsidR="007C08EC" w:rsidRDefault="007C08EC" w:rsidP="0008166B">
            <w:pPr>
              <w:spacing w:after="250"/>
              <w:jc w:val="both"/>
              <w:rPr>
                <w:rFonts w:ascii="Times" w:hAnsi="Times" w:cs="Times"/>
                <w:sz w:val="25"/>
                <w:szCs w:val="25"/>
              </w:rPr>
            </w:pPr>
          </w:p>
        </w:tc>
        <w:tc>
          <w:tcPr>
            <w:tcW w:w="0" w:type="auto"/>
            <w:tcBorders>
              <w:top w:val="nil"/>
              <w:left w:val="nil"/>
              <w:bottom w:val="nil"/>
              <w:right w:val="nil"/>
            </w:tcBorders>
            <w:hideMark/>
          </w:tcPr>
          <w:p w:rsidR="007C08EC" w:rsidRDefault="007C08EC" w:rsidP="0008166B">
            <w:pPr>
              <w:jc w:val="both"/>
              <w:rPr>
                <w:sz w:val="20"/>
                <w:szCs w:val="20"/>
              </w:rPr>
            </w:pPr>
          </w:p>
        </w:tc>
        <w:tc>
          <w:tcPr>
            <w:tcW w:w="0" w:type="auto"/>
            <w:tcBorders>
              <w:top w:val="nil"/>
              <w:left w:val="nil"/>
              <w:bottom w:val="nil"/>
              <w:right w:val="nil"/>
            </w:tcBorders>
            <w:vAlign w:val="center"/>
            <w:hideMark/>
          </w:tcPr>
          <w:p w:rsidR="007C08EC" w:rsidRDefault="007C08EC" w:rsidP="0008166B">
            <w:pPr>
              <w:spacing w:after="250"/>
              <w:jc w:val="both"/>
              <w:rPr>
                <w:rFonts w:ascii="Times" w:hAnsi="Times" w:cs="Times"/>
                <w:sz w:val="25"/>
                <w:szCs w:val="25"/>
              </w:rPr>
            </w:pPr>
            <w:r>
              <w:rPr>
                <w:rFonts w:ascii="Times" w:hAnsi="Times" w:cs="Times"/>
                <w:sz w:val="25"/>
                <w:szCs w:val="25"/>
              </w:rPr>
              <w:t>bezpredmetné</w:t>
            </w:r>
            <w:r>
              <w:rPr>
                <w:rFonts w:ascii="Times" w:hAnsi="Times" w:cs="Times"/>
                <w:sz w:val="25"/>
                <w:szCs w:val="25"/>
              </w:rPr>
              <w:br/>
            </w:r>
          </w:p>
        </w:tc>
      </w:tr>
      <w:tr w:rsidR="007C08EC" w:rsidTr="0008166B">
        <w:trPr>
          <w:jc w:val="center"/>
        </w:trPr>
        <w:tc>
          <w:tcPr>
            <w:tcW w:w="0" w:type="auto"/>
            <w:tcBorders>
              <w:top w:val="nil"/>
              <w:left w:val="nil"/>
              <w:bottom w:val="nil"/>
              <w:right w:val="nil"/>
            </w:tcBorders>
            <w:hideMark/>
          </w:tcPr>
          <w:p w:rsidR="007C08EC" w:rsidRDefault="007C08EC" w:rsidP="0008166B">
            <w:pPr>
              <w:jc w:val="both"/>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hideMark/>
          </w:tcPr>
          <w:p w:rsidR="007C08EC" w:rsidRDefault="007C08EC" w:rsidP="0008166B">
            <w:pPr>
              <w:spacing w:after="250"/>
              <w:jc w:val="both"/>
              <w:rPr>
                <w:rFonts w:ascii="Times" w:hAnsi="Times" w:cs="Times"/>
                <w:b/>
                <w:bCs/>
                <w:sz w:val="25"/>
                <w:szCs w:val="25"/>
              </w:rPr>
            </w:pPr>
            <w:r>
              <w:rPr>
                <w:rFonts w:ascii="Times" w:hAnsi="Times" w:cs="Times"/>
                <w:b/>
                <w:bCs/>
                <w:sz w:val="25"/>
                <w:szCs w:val="25"/>
              </w:rPr>
              <w:t>Stupeň zlučiteľnosti návrhu právneho predpisu s právom Európskej únie:</w:t>
            </w:r>
          </w:p>
        </w:tc>
      </w:tr>
      <w:tr w:rsidR="007C08EC" w:rsidTr="0008166B">
        <w:trPr>
          <w:jc w:val="center"/>
        </w:trPr>
        <w:tc>
          <w:tcPr>
            <w:tcW w:w="0" w:type="auto"/>
            <w:tcBorders>
              <w:top w:val="nil"/>
              <w:left w:val="nil"/>
              <w:bottom w:val="nil"/>
              <w:right w:val="nil"/>
            </w:tcBorders>
            <w:hideMark/>
          </w:tcPr>
          <w:p w:rsidR="007C08EC" w:rsidRDefault="007C08EC" w:rsidP="0008166B">
            <w:pPr>
              <w:spacing w:after="250"/>
              <w:jc w:val="both"/>
              <w:rPr>
                <w:rFonts w:ascii="Times" w:hAnsi="Times" w:cs="Times"/>
                <w:b/>
                <w:bCs/>
                <w:sz w:val="25"/>
                <w:szCs w:val="25"/>
              </w:rPr>
            </w:pPr>
          </w:p>
        </w:tc>
        <w:tc>
          <w:tcPr>
            <w:tcW w:w="0" w:type="auto"/>
            <w:tcBorders>
              <w:top w:val="nil"/>
              <w:left w:val="nil"/>
              <w:bottom w:val="nil"/>
              <w:right w:val="nil"/>
            </w:tcBorders>
            <w:hideMark/>
          </w:tcPr>
          <w:p w:rsidR="007C08EC" w:rsidRDefault="007C08EC" w:rsidP="0008166B">
            <w:pPr>
              <w:jc w:val="both"/>
              <w:rPr>
                <w:sz w:val="20"/>
                <w:szCs w:val="20"/>
              </w:rPr>
            </w:pPr>
          </w:p>
        </w:tc>
        <w:tc>
          <w:tcPr>
            <w:tcW w:w="0" w:type="auto"/>
            <w:tcBorders>
              <w:top w:val="nil"/>
              <w:left w:val="nil"/>
              <w:bottom w:val="nil"/>
              <w:right w:val="nil"/>
            </w:tcBorders>
            <w:vAlign w:val="center"/>
            <w:hideMark/>
          </w:tcPr>
          <w:p w:rsidR="007C08EC" w:rsidRDefault="007C08EC" w:rsidP="0008166B">
            <w:pPr>
              <w:spacing w:after="250"/>
              <w:jc w:val="both"/>
              <w:rPr>
                <w:rFonts w:ascii="Times" w:hAnsi="Times" w:cs="Times"/>
                <w:sz w:val="25"/>
                <w:szCs w:val="25"/>
              </w:rPr>
            </w:pPr>
            <w:r>
              <w:rPr>
                <w:rFonts w:ascii="Times" w:hAnsi="Times" w:cs="Times"/>
                <w:sz w:val="25"/>
                <w:szCs w:val="25"/>
              </w:rPr>
              <w:t>úplne</w:t>
            </w:r>
          </w:p>
        </w:tc>
      </w:tr>
    </w:tbl>
    <w:p w:rsidR="007C08EC" w:rsidRPr="00117A7E" w:rsidRDefault="007C08EC" w:rsidP="007C08EC">
      <w:pPr>
        <w:tabs>
          <w:tab w:val="left" w:pos="360"/>
        </w:tabs>
        <w:jc w:val="both"/>
      </w:pPr>
    </w:p>
    <w:p w:rsidR="00BC4D3C" w:rsidRDefault="00BC4D3C" w:rsidP="00BC4D3C"/>
    <w:p w:rsidR="00BC4D3C" w:rsidRDefault="00BC4D3C" w:rsidP="00BC4D3C"/>
    <w:p w:rsidR="00BC4D3C" w:rsidRDefault="00BC4D3C" w:rsidP="00BC4D3C"/>
    <w:p w:rsidR="00BC4D3C" w:rsidRDefault="00BC4D3C" w:rsidP="00BC4D3C">
      <w:pPr>
        <w:rPr>
          <w:b/>
        </w:rPr>
      </w:pPr>
    </w:p>
    <w:p w:rsidR="007C08EC" w:rsidRDefault="007C08EC" w:rsidP="00BC4D3C">
      <w:pPr>
        <w:ind w:firstLine="708"/>
      </w:pPr>
    </w:p>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Pr="007C08EC" w:rsidRDefault="007C08EC" w:rsidP="007C08EC"/>
    <w:p w:rsidR="007C08EC" w:rsidRDefault="007C08EC" w:rsidP="007C08EC"/>
    <w:p w:rsidR="00BC4D3C" w:rsidRDefault="007C08EC" w:rsidP="007C08EC">
      <w:pPr>
        <w:tabs>
          <w:tab w:val="left" w:pos="895"/>
        </w:tabs>
      </w:pPr>
      <w:r>
        <w:tab/>
      </w: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Default="007C08EC" w:rsidP="007C08EC">
      <w:pPr>
        <w:tabs>
          <w:tab w:val="left" w:pos="895"/>
        </w:tabs>
      </w:pPr>
    </w:p>
    <w:p w:rsidR="007C08EC" w:rsidRPr="006361C1" w:rsidRDefault="007C08EC" w:rsidP="007C08EC">
      <w:pPr>
        <w:jc w:val="center"/>
        <w:rPr>
          <w:b/>
        </w:rPr>
      </w:pPr>
      <w:r w:rsidRPr="006361C1">
        <w:rPr>
          <w:b/>
        </w:rPr>
        <w:lastRenderedPageBreak/>
        <w:t>D</w:t>
      </w:r>
      <w:r w:rsidRPr="00E4564B">
        <w:rPr>
          <w:b/>
          <w:caps/>
          <w:color w:val="000000"/>
          <w:spacing w:val="30"/>
        </w:rPr>
        <w:t>ô</w:t>
      </w:r>
      <w:r>
        <w:rPr>
          <w:b/>
        </w:rPr>
        <w:t>VODOVÁ SPRÁVA</w:t>
      </w:r>
    </w:p>
    <w:p w:rsidR="007C08EC" w:rsidRPr="006361C1" w:rsidRDefault="007C08EC" w:rsidP="007C08EC">
      <w:pPr>
        <w:jc w:val="both"/>
        <w:rPr>
          <w:b/>
        </w:rPr>
      </w:pPr>
    </w:p>
    <w:p w:rsidR="007C08EC" w:rsidRPr="006361C1" w:rsidRDefault="007C08EC" w:rsidP="007C08EC">
      <w:pPr>
        <w:jc w:val="both"/>
        <w:rPr>
          <w:b/>
        </w:rPr>
      </w:pPr>
      <w:r w:rsidRPr="006361C1">
        <w:rPr>
          <w:b/>
        </w:rPr>
        <w:t>Osobitná časť</w:t>
      </w:r>
    </w:p>
    <w:p w:rsidR="007C08EC" w:rsidRPr="006361C1" w:rsidRDefault="007C08EC" w:rsidP="007C08EC">
      <w:pPr>
        <w:jc w:val="both"/>
        <w:rPr>
          <w:b/>
        </w:rPr>
      </w:pPr>
    </w:p>
    <w:p w:rsidR="007C08EC" w:rsidRPr="006361C1" w:rsidRDefault="007C08EC" w:rsidP="007C08EC">
      <w:pPr>
        <w:jc w:val="both"/>
        <w:rPr>
          <w:b/>
        </w:rPr>
      </w:pPr>
      <w:r w:rsidRPr="006361C1">
        <w:rPr>
          <w:b/>
        </w:rPr>
        <w:t>K čl. I</w:t>
      </w:r>
    </w:p>
    <w:p w:rsidR="007C08EC" w:rsidRDefault="007C08EC" w:rsidP="007C08EC">
      <w:pPr>
        <w:jc w:val="both"/>
        <w:rPr>
          <w:b/>
        </w:rPr>
      </w:pPr>
    </w:p>
    <w:p w:rsidR="007C08EC" w:rsidRDefault="007C08EC" w:rsidP="007C08EC">
      <w:pPr>
        <w:jc w:val="both"/>
        <w:rPr>
          <w:u w:val="single"/>
        </w:rPr>
      </w:pPr>
      <w:r w:rsidRPr="00EB62A0">
        <w:rPr>
          <w:u w:val="single"/>
        </w:rPr>
        <w:t>K bodu 1</w:t>
      </w:r>
      <w:r>
        <w:rPr>
          <w:u w:val="single"/>
        </w:rPr>
        <w:t xml:space="preserve"> </w:t>
      </w:r>
    </w:p>
    <w:p w:rsidR="007C08EC" w:rsidRPr="00EF5F7C" w:rsidRDefault="007C08EC" w:rsidP="007C08EC">
      <w:pPr>
        <w:jc w:val="both"/>
        <w:rPr>
          <w:u w:val="single"/>
        </w:rPr>
      </w:pPr>
    </w:p>
    <w:p w:rsidR="007C08EC" w:rsidRPr="00846EF0" w:rsidRDefault="007C08EC" w:rsidP="007C08EC">
      <w:pPr>
        <w:jc w:val="both"/>
      </w:pPr>
      <w:r w:rsidRPr="00846EF0">
        <w:t>Navrhuje sa</w:t>
      </w:r>
      <w:r>
        <w:t xml:space="preserve"> zvýšiť percentuálny podiel dotácie, ktorú fond poskytuje na podporu audiovizuálneho priemyslu, z 20 % oprávnených výdavkov na 33 % oprávnených výdavkov, ktoré boli uhradené v súvislosti s realizáciou filmového projektu.</w:t>
      </w:r>
      <w:r w:rsidRPr="00846EF0">
        <w:t xml:space="preserve"> </w:t>
      </w:r>
    </w:p>
    <w:p w:rsidR="007C08EC" w:rsidRDefault="007C08EC" w:rsidP="007C08EC">
      <w:pPr>
        <w:jc w:val="both"/>
      </w:pPr>
    </w:p>
    <w:p w:rsidR="007C08EC" w:rsidRDefault="007C08EC" w:rsidP="007C08EC">
      <w:pPr>
        <w:jc w:val="both"/>
      </w:pPr>
      <w:r>
        <w:t>Audiovizuálny f</w:t>
      </w:r>
      <w:r w:rsidRPr="00846EF0">
        <w:t xml:space="preserve">ond </w:t>
      </w:r>
      <w:r>
        <w:t xml:space="preserve">v súčasnosti poskytuje </w:t>
      </w:r>
      <w:r w:rsidRPr="00846EF0">
        <w:t>žiadateľom finančné prostriedky na podporu audiovizuálneho priemyslu formou dotácie vo výške 20</w:t>
      </w:r>
      <w:r>
        <w:t xml:space="preserve"> </w:t>
      </w:r>
      <w:r w:rsidRPr="00846EF0">
        <w:t>% oprávnených výdavkov.</w:t>
      </w:r>
      <w:r>
        <w:t xml:space="preserve"> </w:t>
      </w:r>
      <w:r w:rsidRPr="00846EF0">
        <w:t xml:space="preserve">V zmysle </w:t>
      </w:r>
      <w:r>
        <w:t>navrhovanej</w:t>
      </w:r>
      <w:r w:rsidRPr="00846EF0">
        <w:t xml:space="preserve"> právnej úpravy by mal fond poskytovať žiadateľom finančné prostriedky na podporu audiovizuálneho prie</w:t>
      </w:r>
      <w:r>
        <w:t xml:space="preserve">myslu formou dotácie vo výške 33 </w:t>
      </w:r>
      <w:r w:rsidRPr="00846EF0">
        <w:t xml:space="preserve">% oprávnených výdavkov. </w:t>
      </w:r>
    </w:p>
    <w:p w:rsidR="007C08EC" w:rsidRPr="006B3872" w:rsidRDefault="007C08EC" w:rsidP="007C08EC">
      <w:pPr>
        <w:jc w:val="both"/>
      </w:pPr>
    </w:p>
    <w:p w:rsidR="007C08EC" w:rsidRDefault="007C08EC" w:rsidP="007C08EC">
      <w:pPr>
        <w:jc w:val="both"/>
        <w:rPr>
          <w:u w:val="single"/>
        </w:rPr>
      </w:pPr>
      <w:r>
        <w:rPr>
          <w:u w:val="single"/>
        </w:rPr>
        <w:t>K bodu 2</w:t>
      </w:r>
    </w:p>
    <w:p w:rsidR="007C08EC" w:rsidRDefault="007C08EC" w:rsidP="007C08EC">
      <w:pPr>
        <w:jc w:val="both"/>
      </w:pPr>
    </w:p>
    <w:p w:rsidR="007C08EC" w:rsidRDefault="007C08EC" w:rsidP="007C08EC">
      <w:pPr>
        <w:jc w:val="both"/>
      </w:pPr>
      <w:r w:rsidRPr="00BB06D6">
        <w:t>Upravuje sa nová kompetencia fondu</w:t>
      </w:r>
      <w:r>
        <w:t>, ktorá mu umožní zrušiť osvedčenie o registrácii filmového projektu v prípade, ak sa po vydaní osvedčenia o registrácii projektu preukáže, že filmový projekt nespĺňa všetky zákonom ustanovené kritériá. Navrhovaná zmena právnej úpravy vyplynula z potrieb aplikačnej praxe a jej cieľom je predchádzať tomu, aby v súvislosti s filmovým projektom, ktorý fond zaregistroval a pri ktorom sa následne preukáže, že takýto projekt nebude spĺňať zákonom ustanovené kritériá na poskytnutie podpory, nebolo možné žiadať o podporu audiovizuálneho priemyslu, keďže žiadať o podporu audiovizuálneho priemyslu možno len v súvislosti s projektom, ktorý má vydané platné osvedčenie o registrácii.</w:t>
      </w:r>
    </w:p>
    <w:p w:rsidR="007C08EC" w:rsidRDefault="007C08EC" w:rsidP="007C08EC">
      <w:pPr>
        <w:jc w:val="both"/>
        <w:rPr>
          <w:b/>
        </w:rPr>
      </w:pPr>
    </w:p>
    <w:p w:rsidR="007C08EC" w:rsidRDefault="007C08EC" w:rsidP="007C08EC">
      <w:pPr>
        <w:jc w:val="both"/>
        <w:rPr>
          <w:b/>
        </w:rPr>
      </w:pPr>
      <w:r w:rsidRPr="006361C1">
        <w:rPr>
          <w:b/>
        </w:rPr>
        <w:t>K čl. I</w:t>
      </w:r>
      <w:r>
        <w:rPr>
          <w:b/>
        </w:rPr>
        <w:t>I</w:t>
      </w:r>
    </w:p>
    <w:p w:rsidR="007C08EC" w:rsidRDefault="007C08EC" w:rsidP="007C08EC">
      <w:pPr>
        <w:jc w:val="both"/>
        <w:rPr>
          <w:u w:val="single"/>
        </w:rPr>
      </w:pPr>
    </w:p>
    <w:p w:rsidR="007C08EC" w:rsidRDefault="007C08EC" w:rsidP="007C08EC">
      <w:pPr>
        <w:jc w:val="both"/>
        <w:rPr>
          <w:u w:val="single"/>
        </w:rPr>
      </w:pPr>
      <w:r w:rsidRPr="00C646AC">
        <w:rPr>
          <w:u w:val="single"/>
        </w:rPr>
        <w:t>K bodu 1</w:t>
      </w:r>
    </w:p>
    <w:p w:rsidR="007C08EC" w:rsidRDefault="007C08EC" w:rsidP="007C08EC">
      <w:pPr>
        <w:jc w:val="both"/>
        <w:rPr>
          <w:u w:val="single"/>
        </w:rPr>
      </w:pPr>
    </w:p>
    <w:p w:rsidR="007C08EC" w:rsidRPr="00C646AC" w:rsidRDefault="007C08EC" w:rsidP="007C08EC">
      <w:pPr>
        <w:jc w:val="both"/>
      </w:pPr>
      <w:r w:rsidRPr="00C646AC">
        <w:t>Doplnenie predmetného ustanovenia je nevyhnutné z dôvodu rozšírenia okruhu osôb zapisujúcich sa do Zoznamu osôb pôsobiacich v audiovízii, ktorý je verejnou evidenciou vedenou Slovenským filmovým ústavom, o osoby zabezpečujúce verejné kultúrne podujatia, vzdelávacie, alebo prezentačné aktivity v oblasti audiovizuálnej kultúry a priemyslu, a to s ohľadom na komplexnosť zoznamu.</w:t>
      </w:r>
    </w:p>
    <w:p w:rsidR="007C08EC" w:rsidRDefault="007C08EC" w:rsidP="007C08EC">
      <w:pPr>
        <w:jc w:val="both"/>
        <w:rPr>
          <w:u w:val="single"/>
        </w:rPr>
      </w:pPr>
    </w:p>
    <w:p w:rsidR="007C08EC" w:rsidRPr="00C646AC" w:rsidRDefault="007C08EC" w:rsidP="007C08EC">
      <w:pPr>
        <w:jc w:val="both"/>
        <w:rPr>
          <w:u w:val="single"/>
        </w:rPr>
      </w:pPr>
      <w:r w:rsidRPr="00C646AC">
        <w:rPr>
          <w:u w:val="single"/>
        </w:rPr>
        <w:t>K bodu 2</w:t>
      </w:r>
    </w:p>
    <w:p w:rsidR="007C08EC" w:rsidRDefault="007C08EC" w:rsidP="007C08EC">
      <w:pPr>
        <w:jc w:val="both"/>
        <w:rPr>
          <w:b/>
        </w:rPr>
      </w:pPr>
    </w:p>
    <w:p w:rsidR="007C08EC" w:rsidRDefault="007C08EC" w:rsidP="007C08EC">
      <w:pPr>
        <w:jc w:val="both"/>
      </w:pPr>
      <w:r>
        <w:t>V súvislosti s bodom 1 sa v prechodnom ustanovení zavádza povinnosť osôb</w:t>
      </w:r>
      <w:r w:rsidRPr="00C646AC">
        <w:t xml:space="preserve"> podľa </w:t>
      </w:r>
      <w:r>
        <w:t>§ 6 ods. 1 písm. f) vykonávajúcich</w:t>
      </w:r>
      <w:r w:rsidRPr="00C646AC">
        <w:t xml:space="preserve"> činnosť v </w:t>
      </w:r>
      <w:r>
        <w:t>oblasti audiovízie, ktoré začali</w:t>
      </w:r>
      <w:r w:rsidRPr="00C646AC">
        <w:t xml:space="preserve"> túto činnosť vykonávať pred 1. januárom 2020, oznámiť Slovenskému filmovému ústavu vykonávanie činnosti v oblasti audiovízie v súlade s § 7 ods. 3 najneskôr do 31. marca 2020.</w:t>
      </w:r>
    </w:p>
    <w:p w:rsidR="007C08EC" w:rsidRPr="00C646AC" w:rsidRDefault="007C08EC" w:rsidP="007C08EC">
      <w:pPr>
        <w:jc w:val="both"/>
      </w:pPr>
    </w:p>
    <w:p w:rsidR="007C08EC" w:rsidRDefault="007C08EC" w:rsidP="007C08EC">
      <w:pPr>
        <w:jc w:val="both"/>
        <w:rPr>
          <w:b/>
        </w:rPr>
      </w:pPr>
      <w:r>
        <w:rPr>
          <w:b/>
        </w:rPr>
        <w:t>K čl. III</w:t>
      </w:r>
    </w:p>
    <w:p w:rsidR="007C08EC" w:rsidRPr="00C21BFB" w:rsidRDefault="007C08EC" w:rsidP="007C08EC">
      <w:pPr>
        <w:jc w:val="both"/>
        <w:rPr>
          <w:b/>
        </w:rPr>
      </w:pPr>
    </w:p>
    <w:p w:rsidR="007C08EC" w:rsidRDefault="007C08EC" w:rsidP="007C08EC">
      <w:pPr>
        <w:jc w:val="both"/>
      </w:pPr>
      <w:r w:rsidRPr="00500D9C">
        <w:t>Navrhuje sa účinnosť od 1. januára 2020 okrem čl. I prvého bodu, ktorý nadobúda účinnosť 1. januára 2021.</w:t>
      </w:r>
    </w:p>
    <w:p w:rsidR="00AC12C6" w:rsidRPr="00AC12C6" w:rsidRDefault="00AC12C6" w:rsidP="00AC12C6">
      <w:pPr>
        <w:tabs>
          <w:tab w:val="left" w:pos="5996"/>
        </w:tabs>
        <w:jc w:val="center"/>
      </w:pPr>
      <w:r w:rsidRPr="00AC12C6">
        <w:lastRenderedPageBreak/>
        <w:t>Schválené na rokovaní vlády Slovenskej republiky dňa 17. apríla 2019.</w:t>
      </w:r>
    </w:p>
    <w:p w:rsidR="00AC12C6" w:rsidRDefault="00AC12C6" w:rsidP="00AC12C6">
      <w:pPr>
        <w:tabs>
          <w:tab w:val="left" w:pos="5996"/>
        </w:tabs>
        <w:jc w:val="center"/>
        <w:rPr>
          <w:b/>
        </w:rPr>
      </w:pPr>
    </w:p>
    <w:p w:rsidR="00AC12C6" w:rsidRDefault="00AC12C6" w:rsidP="00AC12C6">
      <w:pPr>
        <w:tabs>
          <w:tab w:val="left" w:pos="5996"/>
        </w:tabs>
        <w:jc w:val="center"/>
        <w:rPr>
          <w:b/>
        </w:rPr>
      </w:pPr>
    </w:p>
    <w:p w:rsidR="00AC12C6" w:rsidRDefault="00AC12C6" w:rsidP="00AC12C6">
      <w:pPr>
        <w:tabs>
          <w:tab w:val="left" w:pos="5996"/>
        </w:tabs>
        <w:jc w:val="center"/>
        <w:rPr>
          <w:b/>
        </w:rPr>
      </w:pPr>
    </w:p>
    <w:p w:rsidR="00AC12C6" w:rsidRDefault="00AC12C6" w:rsidP="00AC12C6">
      <w:pPr>
        <w:tabs>
          <w:tab w:val="left" w:pos="5996"/>
        </w:tabs>
        <w:jc w:val="center"/>
        <w:rPr>
          <w:b/>
        </w:rPr>
      </w:pPr>
    </w:p>
    <w:p w:rsidR="00AC12C6" w:rsidRDefault="00AC12C6" w:rsidP="00AC12C6">
      <w:pPr>
        <w:tabs>
          <w:tab w:val="left" w:pos="5996"/>
        </w:tabs>
        <w:jc w:val="center"/>
        <w:rPr>
          <w:b/>
        </w:rPr>
      </w:pPr>
      <w:r>
        <w:rPr>
          <w:b/>
        </w:rPr>
        <w:t xml:space="preserve">Peter </w:t>
      </w:r>
      <w:proofErr w:type="spellStart"/>
      <w:r>
        <w:rPr>
          <w:b/>
        </w:rPr>
        <w:t>Pellegrini</w:t>
      </w:r>
      <w:proofErr w:type="spellEnd"/>
      <w:r>
        <w:rPr>
          <w:b/>
        </w:rPr>
        <w:t xml:space="preserve">, v. r. </w:t>
      </w:r>
    </w:p>
    <w:p w:rsidR="00AC12C6" w:rsidRDefault="00AC12C6" w:rsidP="00AC12C6">
      <w:pPr>
        <w:tabs>
          <w:tab w:val="left" w:pos="5996"/>
        </w:tabs>
        <w:jc w:val="center"/>
      </w:pPr>
      <w:r>
        <w:t xml:space="preserve">predseda vlády </w:t>
      </w:r>
    </w:p>
    <w:p w:rsidR="00AC12C6" w:rsidRDefault="00AC12C6" w:rsidP="00AC12C6">
      <w:pPr>
        <w:tabs>
          <w:tab w:val="left" w:pos="5996"/>
        </w:tabs>
        <w:jc w:val="center"/>
      </w:pPr>
      <w:r>
        <w:t xml:space="preserve">Slovenskej republiky </w:t>
      </w:r>
      <w:bookmarkStart w:id="1" w:name="_GoBack"/>
      <w:bookmarkEnd w:id="1"/>
    </w:p>
    <w:p w:rsidR="00AC12C6" w:rsidRDefault="00AC12C6" w:rsidP="00AC12C6">
      <w:pPr>
        <w:jc w:val="both"/>
        <w:rPr>
          <w:lang w:eastAsia="cs-CZ"/>
        </w:rPr>
      </w:pPr>
    </w:p>
    <w:p w:rsidR="00AC12C6" w:rsidRDefault="00AC12C6" w:rsidP="00AC12C6">
      <w:pPr>
        <w:jc w:val="both"/>
        <w:rPr>
          <w:lang w:eastAsia="cs-CZ"/>
        </w:rPr>
      </w:pPr>
    </w:p>
    <w:p w:rsidR="00AC12C6" w:rsidRDefault="00AC12C6" w:rsidP="00AC12C6">
      <w:pPr>
        <w:jc w:val="both"/>
        <w:rPr>
          <w:lang w:eastAsia="cs-CZ"/>
        </w:rPr>
      </w:pPr>
      <w:r>
        <w:rPr>
          <w:lang w:eastAsia="cs-CZ"/>
        </w:rPr>
        <w:tab/>
      </w:r>
      <w:r>
        <w:rPr>
          <w:lang w:eastAsia="cs-CZ"/>
        </w:rPr>
        <w:tab/>
      </w:r>
      <w:r>
        <w:rPr>
          <w:lang w:eastAsia="cs-CZ"/>
        </w:rPr>
        <w:tab/>
      </w:r>
      <w:r>
        <w:rPr>
          <w:lang w:eastAsia="cs-CZ"/>
        </w:rPr>
        <w:tab/>
      </w:r>
      <w:r>
        <w:rPr>
          <w:lang w:eastAsia="cs-CZ"/>
        </w:rPr>
        <w:tab/>
      </w:r>
    </w:p>
    <w:p w:rsidR="00AC12C6" w:rsidRPr="005B3E7F" w:rsidRDefault="00AC12C6" w:rsidP="00AC12C6">
      <w:pPr>
        <w:jc w:val="center"/>
        <w:rPr>
          <w:b/>
          <w:lang w:eastAsia="cs-CZ"/>
        </w:rPr>
      </w:pPr>
      <w:r>
        <w:rPr>
          <w:b/>
          <w:lang w:eastAsia="cs-CZ"/>
        </w:rPr>
        <w:t xml:space="preserve">Ľubica </w:t>
      </w:r>
      <w:proofErr w:type="spellStart"/>
      <w:r>
        <w:rPr>
          <w:b/>
          <w:lang w:eastAsia="cs-CZ"/>
        </w:rPr>
        <w:t>Laššáková</w:t>
      </w:r>
      <w:proofErr w:type="spellEnd"/>
      <w:r>
        <w:rPr>
          <w:b/>
          <w:lang w:eastAsia="cs-CZ"/>
        </w:rPr>
        <w:t xml:space="preserve">, v. r. </w:t>
      </w:r>
    </w:p>
    <w:p w:rsidR="00AC12C6" w:rsidRDefault="00AC12C6" w:rsidP="00AC12C6">
      <w:pPr>
        <w:jc w:val="center"/>
        <w:rPr>
          <w:lang w:eastAsia="cs-CZ"/>
        </w:rPr>
      </w:pPr>
      <w:r>
        <w:rPr>
          <w:lang w:eastAsia="cs-CZ"/>
        </w:rPr>
        <w:t>ministerka kultúry</w:t>
      </w:r>
    </w:p>
    <w:p w:rsidR="00AC12C6" w:rsidRPr="007C08EC" w:rsidRDefault="00AC12C6" w:rsidP="00AC12C6">
      <w:pPr>
        <w:ind w:left="2832" w:firstLine="708"/>
        <w:jc w:val="both"/>
      </w:pPr>
      <w:r>
        <w:rPr>
          <w:lang w:eastAsia="cs-CZ"/>
        </w:rPr>
        <w:t>Slovenskej republiky</w:t>
      </w:r>
    </w:p>
    <w:sectPr w:rsidR="00AC12C6" w:rsidRPr="007C08EC" w:rsidSect="007C08E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447" w:rsidRDefault="003F2447" w:rsidP="007C08EC">
      <w:r>
        <w:separator/>
      </w:r>
    </w:p>
  </w:endnote>
  <w:endnote w:type="continuationSeparator" w:id="0">
    <w:p w:rsidR="003F2447" w:rsidRDefault="003F2447" w:rsidP="007C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3C" w:rsidRDefault="00BC4D3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BC4D3C" w:rsidRDefault="00BC4D3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3C" w:rsidRDefault="00BC4D3C">
    <w:pPr>
      <w:pStyle w:val="Pta"/>
      <w:jc w:val="right"/>
    </w:pPr>
    <w:r>
      <w:fldChar w:fldCharType="begin"/>
    </w:r>
    <w:r>
      <w:instrText>PAGE   \* MERGEFORMAT</w:instrText>
    </w:r>
    <w:r>
      <w:fldChar w:fldCharType="separate"/>
    </w:r>
    <w:r w:rsidR="00AC12C6">
      <w:rPr>
        <w:noProof/>
      </w:rPr>
      <w:t>1</w:t>
    </w:r>
    <w:r>
      <w:fldChar w:fldCharType="end"/>
    </w:r>
  </w:p>
  <w:p w:rsidR="00BC4D3C" w:rsidRDefault="00BC4D3C">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3C" w:rsidRDefault="00BC4D3C">
    <w:pPr>
      <w:pStyle w:val="Pta"/>
      <w:jc w:val="right"/>
    </w:pPr>
    <w:r>
      <w:fldChar w:fldCharType="begin"/>
    </w:r>
    <w:r>
      <w:instrText>PAGE   \* MERGEFORMAT</w:instrText>
    </w:r>
    <w:r>
      <w:fldChar w:fldCharType="separate"/>
    </w:r>
    <w:r w:rsidR="007C08EC">
      <w:rPr>
        <w:noProof/>
      </w:rPr>
      <w:t>16</w:t>
    </w:r>
    <w:r>
      <w:fldChar w:fldCharType="end"/>
    </w:r>
  </w:p>
  <w:p w:rsidR="00BC4D3C" w:rsidRDefault="00BC4D3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447" w:rsidRDefault="003F2447" w:rsidP="007C08EC">
      <w:r>
        <w:separator/>
      </w:r>
    </w:p>
  </w:footnote>
  <w:footnote w:type="continuationSeparator" w:id="0">
    <w:p w:rsidR="003F2447" w:rsidRDefault="003F2447" w:rsidP="007C0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3C" w:rsidRDefault="00BC4D3C" w:rsidP="00BC4D3C">
    <w:pPr>
      <w:pStyle w:val="Hlavika"/>
      <w:jc w:val="right"/>
      <w:rPr>
        <w:sz w:val="24"/>
        <w:szCs w:val="24"/>
      </w:rPr>
    </w:pPr>
    <w:r>
      <w:rPr>
        <w:sz w:val="24"/>
        <w:szCs w:val="24"/>
      </w:rPr>
      <w:t>Príloha č. 2</w:t>
    </w:r>
  </w:p>
  <w:p w:rsidR="00BC4D3C" w:rsidRPr="00EB59C8" w:rsidRDefault="00BC4D3C" w:rsidP="00BC4D3C">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3C" w:rsidRPr="0024067A" w:rsidRDefault="00BC4D3C">
    <w:pPr>
      <w:pStyle w:val="Hlavika"/>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3C" w:rsidRPr="000A15AE" w:rsidRDefault="00BC4D3C" w:rsidP="00BC4D3C">
    <w:pPr>
      <w:pStyle w:val="Hlavika"/>
      <w:jc w:val="right"/>
      <w:rPr>
        <w:sz w:val="24"/>
        <w:szCs w:val="24"/>
      </w:rPr>
    </w:pPr>
    <w:r>
      <w:rPr>
        <w:sz w:val="24"/>
        <w:szCs w:val="24"/>
      </w:rPr>
      <w:t>Príloha č.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EC" w:rsidRPr="0024067A" w:rsidRDefault="007C08EC">
    <w:pPr>
      <w:pStyle w:val="Hlavika"/>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nsid w:val="29D50D82"/>
    <w:multiLevelType w:val="hybridMultilevel"/>
    <w:tmpl w:val="D75EBD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3C"/>
    <w:rsid w:val="003F2447"/>
    <w:rsid w:val="00504901"/>
    <w:rsid w:val="007C08EC"/>
    <w:rsid w:val="00AC12C6"/>
    <w:rsid w:val="00BC4D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C4D3C"/>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4D3C"/>
    <w:pPr>
      <w:ind w:left="720"/>
      <w:contextualSpacing/>
    </w:pPr>
  </w:style>
  <w:style w:type="table" w:styleId="Mriekatabuky">
    <w:name w:val="Table Grid"/>
    <w:basedOn w:val="Normlnatabuka"/>
    <w:uiPriority w:val="59"/>
    <w:rsid w:val="00BC4D3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uiPriority w:val="99"/>
    <w:rsid w:val="00BC4D3C"/>
    <w:rPr>
      <w:rFonts w:cs="Times New Roman"/>
    </w:rPr>
  </w:style>
  <w:style w:type="character" w:styleId="Textzstupnhosymbolu">
    <w:name w:val="Placeholder Text"/>
    <w:basedOn w:val="Predvolenpsmoodseku"/>
    <w:uiPriority w:val="99"/>
    <w:semiHidden/>
    <w:rsid w:val="00BC4D3C"/>
    <w:rPr>
      <w:rFonts w:ascii="Times New Roman" w:hAnsi="Times New Roman" w:cs="Times New Roman"/>
      <w:color w:val="808080"/>
    </w:rPr>
  </w:style>
  <w:style w:type="paragraph" w:styleId="Hlavika">
    <w:name w:val="header"/>
    <w:basedOn w:val="Normlny"/>
    <w:link w:val="HlavikaChar"/>
    <w:uiPriority w:val="99"/>
    <w:unhideWhenUsed/>
    <w:rsid w:val="00BC4D3C"/>
    <w:pPr>
      <w:widowControl/>
      <w:tabs>
        <w:tab w:val="center" w:pos="4536"/>
        <w:tab w:val="right" w:pos="9072"/>
      </w:tabs>
      <w:adjustRightInd/>
    </w:pPr>
    <w:rPr>
      <w:sz w:val="20"/>
      <w:szCs w:val="20"/>
    </w:rPr>
  </w:style>
  <w:style w:type="character" w:customStyle="1" w:styleId="HlavikaChar">
    <w:name w:val="Hlavička Char"/>
    <w:basedOn w:val="Predvolenpsmoodseku"/>
    <w:link w:val="Hlavika"/>
    <w:uiPriority w:val="99"/>
    <w:rsid w:val="00BC4D3C"/>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BC4D3C"/>
    <w:pPr>
      <w:widowControl/>
      <w:tabs>
        <w:tab w:val="center" w:pos="4536"/>
        <w:tab w:val="right" w:pos="9072"/>
      </w:tabs>
      <w:adjustRightInd/>
    </w:pPr>
    <w:rPr>
      <w:sz w:val="20"/>
      <w:szCs w:val="20"/>
    </w:rPr>
  </w:style>
  <w:style w:type="character" w:customStyle="1" w:styleId="PtaChar">
    <w:name w:val="Päta Char"/>
    <w:basedOn w:val="Predvolenpsmoodseku"/>
    <w:link w:val="Pta"/>
    <w:uiPriority w:val="99"/>
    <w:rsid w:val="00BC4D3C"/>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BC4D3C"/>
    <w:rPr>
      <w:rFonts w:cs="Times New Roman"/>
    </w:rPr>
  </w:style>
  <w:style w:type="paragraph" w:styleId="Textbubliny">
    <w:name w:val="Balloon Text"/>
    <w:basedOn w:val="Normlny"/>
    <w:link w:val="TextbublinyChar"/>
    <w:uiPriority w:val="99"/>
    <w:semiHidden/>
    <w:unhideWhenUsed/>
    <w:rsid w:val="00BC4D3C"/>
    <w:pPr>
      <w:widowControl/>
      <w:adjustRightInd/>
    </w:pPr>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BC4D3C"/>
    <w:rPr>
      <w:rFonts w:ascii="Tahoma" w:hAnsi="Tahoma" w:cs="Tahoma"/>
      <w:sz w:val="16"/>
      <w:szCs w:val="16"/>
    </w:rPr>
  </w:style>
  <w:style w:type="table" w:customStyle="1" w:styleId="Mriekatabuky1">
    <w:name w:val="Mriežka tabuľky1"/>
    <w:basedOn w:val="Normlnatabuka"/>
    <w:next w:val="Mriekatabuky"/>
    <w:uiPriority w:val="59"/>
    <w:rsid w:val="00B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C4D3C"/>
    <w:rPr>
      <w:color w:val="0000FF" w:themeColor="hyperlink"/>
      <w:u w:val="single"/>
    </w:rPr>
  </w:style>
  <w:style w:type="paragraph" w:styleId="Bezriadkovania">
    <w:name w:val="No Spacing"/>
    <w:uiPriority w:val="1"/>
    <w:qFormat/>
    <w:rsid w:val="00BC4D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C4D3C"/>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4D3C"/>
    <w:pPr>
      <w:ind w:left="720"/>
      <w:contextualSpacing/>
    </w:pPr>
  </w:style>
  <w:style w:type="table" w:styleId="Mriekatabuky">
    <w:name w:val="Table Grid"/>
    <w:basedOn w:val="Normlnatabuka"/>
    <w:uiPriority w:val="59"/>
    <w:rsid w:val="00BC4D3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uiPriority w:val="99"/>
    <w:rsid w:val="00BC4D3C"/>
    <w:rPr>
      <w:rFonts w:cs="Times New Roman"/>
    </w:rPr>
  </w:style>
  <w:style w:type="character" w:styleId="Textzstupnhosymbolu">
    <w:name w:val="Placeholder Text"/>
    <w:basedOn w:val="Predvolenpsmoodseku"/>
    <w:uiPriority w:val="99"/>
    <w:semiHidden/>
    <w:rsid w:val="00BC4D3C"/>
    <w:rPr>
      <w:rFonts w:ascii="Times New Roman" w:hAnsi="Times New Roman" w:cs="Times New Roman"/>
      <w:color w:val="808080"/>
    </w:rPr>
  </w:style>
  <w:style w:type="paragraph" w:styleId="Hlavika">
    <w:name w:val="header"/>
    <w:basedOn w:val="Normlny"/>
    <w:link w:val="HlavikaChar"/>
    <w:uiPriority w:val="99"/>
    <w:unhideWhenUsed/>
    <w:rsid w:val="00BC4D3C"/>
    <w:pPr>
      <w:widowControl/>
      <w:tabs>
        <w:tab w:val="center" w:pos="4536"/>
        <w:tab w:val="right" w:pos="9072"/>
      </w:tabs>
      <w:adjustRightInd/>
    </w:pPr>
    <w:rPr>
      <w:sz w:val="20"/>
      <w:szCs w:val="20"/>
    </w:rPr>
  </w:style>
  <w:style w:type="character" w:customStyle="1" w:styleId="HlavikaChar">
    <w:name w:val="Hlavička Char"/>
    <w:basedOn w:val="Predvolenpsmoodseku"/>
    <w:link w:val="Hlavika"/>
    <w:uiPriority w:val="99"/>
    <w:rsid w:val="00BC4D3C"/>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BC4D3C"/>
    <w:pPr>
      <w:widowControl/>
      <w:tabs>
        <w:tab w:val="center" w:pos="4536"/>
        <w:tab w:val="right" w:pos="9072"/>
      </w:tabs>
      <w:adjustRightInd/>
    </w:pPr>
    <w:rPr>
      <w:sz w:val="20"/>
      <w:szCs w:val="20"/>
    </w:rPr>
  </w:style>
  <w:style w:type="character" w:customStyle="1" w:styleId="PtaChar">
    <w:name w:val="Päta Char"/>
    <w:basedOn w:val="Predvolenpsmoodseku"/>
    <w:link w:val="Pta"/>
    <w:uiPriority w:val="99"/>
    <w:rsid w:val="00BC4D3C"/>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BC4D3C"/>
    <w:rPr>
      <w:rFonts w:cs="Times New Roman"/>
    </w:rPr>
  </w:style>
  <w:style w:type="paragraph" w:styleId="Textbubliny">
    <w:name w:val="Balloon Text"/>
    <w:basedOn w:val="Normlny"/>
    <w:link w:val="TextbublinyChar"/>
    <w:uiPriority w:val="99"/>
    <w:semiHidden/>
    <w:unhideWhenUsed/>
    <w:rsid w:val="00BC4D3C"/>
    <w:pPr>
      <w:widowControl/>
      <w:adjustRightInd/>
    </w:pPr>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BC4D3C"/>
    <w:rPr>
      <w:rFonts w:ascii="Tahoma" w:hAnsi="Tahoma" w:cs="Tahoma"/>
      <w:sz w:val="16"/>
      <w:szCs w:val="16"/>
    </w:rPr>
  </w:style>
  <w:style w:type="table" w:customStyle="1" w:styleId="Mriekatabuky1">
    <w:name w:val="Mriežka tabuľky1"/>
    <w:basedOn w:val="Normlnatabuka"/>
    <w:next w:val="Mriekatabuky"/>
    <w:uiPriority w:val="59"/>
    <w:rsid w:val="00B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C4D3C"/>
    <w:rPr>
      <w:color w:val="0000FF" w:themeColor="hyperlink"/>
      <w:u w:val="single"/>
    </w:rPr>
  </w:style>
  <w:style w:type="paragraph" w:styleId="Bezriadkovania">
    <w:name w:val="No Spacing"/>
    <w:uiPriority w:val="1"/>
    <w:qFormat/>
    <w:rsid w:val="00BC4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7080</Words>
  <Characters>40356</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Viktória  Knappová</dc:creator>
  <cp:lastModifiedBy>Viktória  Knappová</cp:lastModifiedBy>
  <cp:revision>1</cp:revision>
  <dcterms:created xsi:type="dcterms:W3CDTF">2019-04-17T11:05:00Z</dcterms:created>
  <dcterms:modified xsi:type="dcterms:W3CDTF">2019-04-17T11:31:00Z</dcterms:modified>
</cp:coreProperties>
</file>