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40A9" w:rsidRDefault="009B753F">
      <w:pPr>
        <w:pStyle w:val="Normlnywebo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Doložka vybraných vplyvov</w:t>
      </w:r>
    </w:p>
    <w:p w:rsidR="006F40A9" w:rsidRDefault="006F40A9">
      <w:pPr>
        <w:pStyle w:val="Normlnywebo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tbl>
      <w:tblPr>
        <w:tblStyle w:val="TableNormal"/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453"/>
        <w:gridCol w:w="3635"/>
      </w:tblGrid>
      <w:tr w:rsidR="006F40A9">
        <w:trPr>
          <w:trHeight w:val="27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6F40A9">
        <w:trPr>
          <w:trHeight w:val="30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6F40A9">
        <w:trPr>
          <w:trHeight w:val="53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0C4D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>Vládny n</w:t>
            </w:r>
            <w:r w:rsidR="009B753F">
              <w:rPr>
                <w:rFonts w:ascii="Times" w:hAnsi="Times"/>
                <w:sz w:val="20"/>
                <w:szCs w:val="20"/>
              </w:rPr>
              <w:t xml:space="preserve">ávrh zákona, ktorým sa mení </w:t>
            </w:r>
            <w:r w:rsidR="009B753F">
              <w:rPr>
                <w:rFonts w:ascii="Times" w:hAnsi="Times"/>
                <w:sz w:val="20"/>
                <w:szCs w:val="20"/>
                <w:lang w:val="it-IT"/>
              </w:rPr>
              <w:t>a dop</w:t>
            </w:r>
            <w:r w:rsidR="009B753F">
              <w:rPr>
                <w:rFonts w:ascii="Times" w:hAnsi="Times"/>
                <w:sz w:val="20"/>
                <w:szCs w:val="20"/>
              </w:rPr>
              <w:t>ĺňa zákon č. 385/2000 Z. z. o sudcoch a prísediacich a o zmene a doplnení niektorých zákonov v znení neskorších predpisov a ktorým sa menia a dopĺňajú niektor</w:t>
            </w:r>
            <w:r w:rsidR="009B753F"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 w:rsidR="009B753F">
              <w:rPr>
                <w:rFonts w:ascii="Times" w:hAnsi="Times"/>
                <w:sz w:val="20"/>
                <w:szCs w:val="20"/>
              </w:rPr>
              <w:t>zákony</w:t>
            </w:r>
          </w:p>
        </w:tc>
      </w:tr>
      <w:tr w:rsidR="006F40A9">
        <w:trPr>
          <w:trHeight w:val="45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6F40A9">
        <w:trPr>
          <w:trHeight w:val="30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293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>vláda</w:t>
            </w:r>
            <w:r w:rsidR="009B753F">
              <w:rPr>
                <w:rFonts w:ascii="Times" w:hAnsi="Times"/>
                <w:sz w:val="20"/>
                <w:szCs w:val="20"/>
              </w:rPr>
              <w:t xml:space="preserve"> Slovenskej republiky</w:t>
            </w:r>
          </w:p>
        </w:tc>
      </w:tr>
      <w:tr w:rsidR="006F40A9">
        <w:trPr>
          <w:trHeight w:val="315"/>
          <w:jc w:val="center"/>
        </w:trPr>
        <w:tc>
          <w:tcPr>
            <w:tcW w:w="5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Charakter predkladan</w:t>
            </w:r>
            <w:r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ho materiálu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> 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Times" w:hAnsi="Times"/>
                <w:sz w:val="20"/>
                <w:szCs w:val="20"/>
                <w:lang w:val="de-DE"/>
              </w:rPr>
              <w:t>Materi</w:t>
            </w:r>
            <w:r>
              <w:rPr>
                <w:rFonts w:ascii="Times" w:hAnsi="Times"/>
                <w:sz w:val="20"/>
                <w:szCs w:val="20"/>
              </w:rPr>
              <w:t>ál nelegislatívnej povahy</w:t>
            </w:r>
          </w:p>
        </w:tc>
      </w:tr>
      <w:tr w:rsidR="006F40A9">
        <w:trPr>
          <w:trHeight w:val="275"/>
          <w:jc w:val="center"/>
        </w:trPr>
        <w:tc>
          <w:tcPr>
            <w:tcW w:w="5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F40A9" w:rsidRDefault="006F4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> </w:t>
            </w:r>
            <w:r>
              <w:rPr>
                <w:rFonts w:ascii="Arial Unicode MS" w:hAnsi="Arial Unicode MS" w:hint="eastAsia"/>
                <w:sz w:val="20"/>
                <w:szCs w:val="20"/>
              </w:rPr>
              <w:t>☒</w:t>
            </w: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Times" w:hAnsi="Times"/>
                <w:sz w:val="20"/>
                <w:szCs w:val="20"/>
                <w:lang w:val="de-DE"/>
              </w:rPr>
              <w:t>Materi</w:t>
            </w:r>
            <w:r>
              <w:rPr>
                <w:rFonts w:ascii="Times" w:hAnsi="Times"/>
                <w:sz w:val="20"/>
                <w:szCs w:val="20"/>
              </w:rPr>
              <w:t>á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l legislat</w:t>
            </w:r>
            <w:r>
              <w:rPr>
                <w:rFonts w:ascii="Times" w:hAnsi="Times"/>
                <w:sz w:val="20"/>
                <w:szCs w:val="20"/>
              </w:rPr>
              <w:t xml:space="preserve">ívnej povahy </w:t>
            </w:r>
          </w:p>
        </w:tc>
      </w:tr>
      <w:tr w:rsidR="006F40A9">
        <w:trPr>
          <w:trHeight w:val="315"/>
          <w:jc w:val="center"/>
        </w:trPr>
        <w:tc>
          <w:tcPr>
            <w:tcW w:w="5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F40A9" w:rsidRDefault="006F4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> 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>  Transpozí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cia pr</w:t>
            </w:r>
            <w:r>
              <w:rPr>
                <w:rFonts w:ascii="Times" w:hAnsi="Times"/>
                <w:sz w:val="20"/>
                <w:szCs w:val="20"/>
              </w:rPr>
              <w:t xml:space="preserve">áva EÚ </w:t>
            </w:r>
          </w:p>
        </w:tc>
      </w:tr>
      <w:tr w:rsidR="006F40A9">
        <w:trPr>
          <w:trHeight w:val="530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6F4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  <w:tr w:rsidR="006F40A9">
        <w:trPr>
          <w:trHeight w:val="305"/>
          <w:jc w:val="center"/>
        </w:trPr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  </w:t>
            </w:r>
            <w:r>
              <w:rPr>
                <w:rFonts w:ascii="Times" w:hAnsi="Times"/>
                <w:b/>
                <w:bCs/>
                <w:sz w:val="22"/>
                <w:szCs w:val="22"/>
                <w:lang w:val="it-IT"/>
              </w:rPr>
              <w:t>Term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í</w:t>
            </w:r>
            <w:r>
              <w:rPr>
                <w:rFonts w:ascii="Times" w:hAnsi="Times"/>
                <w:b/>
                <w:bCs/>
                <w:sz w:val="22"/>
                <w:szCs w:val="22"/>
                <w:lang w:val="nl-NL"/>
              </w:rPr>
              <w:t>n za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čiatku a ukončenia PPK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6F4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  <w:tr w:rsidR="006F40A9">
        <w:trPr>
          <w:trHeight w:val="305"/>
          <w:jc w:val="center"/>
        </w:trPr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6F4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  <w:tr w:rsidR="006F40A9">
        <w:trPr>
          <w:trHeight w:val="795"/>
          <w:jc w:val="center"/>
        </w:trPr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  Predpokladaný termín predloženia na Rokovanie vlá</w:t>
            </w:r>
            <w:r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dy</w:t>
            </w:r>
            <w:r>
              <w:rPr>
                <w:rFonts w:ascii="Arial Unicode MS"/>
                <w:sz w:val="22"/>
                <w:szCs w:val="22"/>
              </w:rPr>
              <w:br/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  SR*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eastAsia="Times New Roman" w:hAnsi="Times" w:cs="Calibri"/>
                <w:sz w:val="20"/>
                <w:szCs w:val="20"/>
              </w:rPr>
              <w:t>apríl 2019</w:t>
            </w:r>
          </w:p>
          <w:p w:rsidR="006F40A9" w:rsidRDefault="006F4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</w:tbl>
    <w:p w:rsidR="006F40A9" w:rsidRDefault="006F40A9">
      <w:pPr>
        <w:pStyle w:val="Normlnywebov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rPr>
          <w:sz w:val="22"/>
          <w:szCs w:val="22"/>
        </w:rPr>
      </w:pPr>
    </w:p>
    <w:tbl>
      <w:tblPr>
        <w:tblStyle w:val="TableNormal"/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088"/>
      </w:tblGrid>
      <w:tr w:rsidR="006F40A9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  2.  Definí</w:t>
            </w:r>
            <w:r>
              <w:rPr>
                <w:rFonts w:ascii="Times" w:hAnsi="Times"/>
                <w:b/>
                <w:bCs/>
                <w:sz w:val="22"/>
                <w:szCs w:val="22"/>
                <w:lang w:val="it-IT"/>
              </w:rPr>
              <w:t>cia probl</w:t>
            </w:r>
            <w:r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mu</w:t>
            </w:r>
          </w:p>
        </w:tc>
      </w:tr>
      <w:tr w:rsidR="006F40A9">
        <w:trPr>
          <w:trHeight w:val="391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>V súčasnosti sú v praxi súdy nezriedka konfrontovan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so situ</w:t>
            </w:r>
            <w:r>
              <w:rPr>
                <w:rFonts w:ascii="Times" w:hAnsi="Times"/>
                <w:sz w:val="20"/>
                <w:szCs w:val="20"/>
              </w:rPr>
              <w:t>áciou, kedy dochádza k dočasnej absencii zá</w:t>
            </w:r>
            <w:r>
              <w:rPr>
                <w:rFonts w:ascii="Times" w:hAnsi="Times"/>
                <w:sz w:val="20"/>
                <w:szCs w:val="20"/>
                <w:lang w:val="de-DE"/>
              </w:rPr>
              <w:t>konn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ho sudcu (napr. z dôvodu materskej alebo rodičovskej dovolenky, prerušenia výkonu funkcie sudcu, stáže sudcu a pod.), pričom taký</w:t>
            </w:r>
            <w:r>
              <w:rPr>
                <w:rFonts w:ascii="Times" w:hAnsi="Times"/>
                <w:sz w:val="20"/>
                <w:szCs w:val="20"/>
                <w:lang w:val="pt-PT"/>
              </w:rPr>
              <w:t>to do</w:t>
            </w:r>
            <w:r>
              <w:rPr>
                <w:rFonts w:ascii="Times" w:hAnsi="Times"/>
                <w:sz w:val="20"/>
                <w:szCs w:val="20"/>
              </w:rPr>
              <w:t>časný výpadok zá</w:t>
            </w:r>
            <w:r>
              <w:rPr>
                <w:rFonts w:ascii="Times" w:hAnsi="Times"/>
                <w:sz w:val="20"/>
                <w:szCs w:val="20"/>
                <w:lang w:val="de-DE"/>
              </w:rPr>
              <w:t>konn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ho sudcu má za následok jednak negatívny vplyv na fungovanie dotknut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ho súdu a s tým spojenú potrebu prerozdelenia vecí medzi iných kolegov tohto sudcu. Za aktuálneho právneho stavu je tú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to situ</w:t>
            </w:r>
            <w:r>
              <w:rPr>
                <w:rFonts w:ascii="Times" w:hAnsi="Times"/>
                <w:sz w:val="20"/>
                <w:szCs w:val="20"/>
              </w:rPr>
              <w:t>áciu možn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riešiť dvoma spôsobmi. Prvým spôsobom je pridelenie nov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ho voľn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ho miesta sudcu pre dotknutý súd a druhým spôsobom je využ</w:t>
            </w:r>
            <w:r>
              <w:rPr>
                <w:rFonts w:ascii="Times" w:hAnsi="Times"/>
                <w:sz w:val="20"/>
                <w:szCs w:val="20"/>
                <w:lang w:val="nl-NL"/>
              </w:rPr>
              <w:t>itie in</w:t>
            </w:r>
            <w:r>
              <w:rPr>
                <w:rFonts w:ascii="Times" w:hAnsi="Times"/>
                <w:sz w:val="20"/>
                <w:szCs w:val="20"/>
              </w:rPr>
              <w:t>štitútu dočasn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ho pridelenia. Oba tieto spôsoby však nie sú na úč</w:t>
            </w:r>
            <w:r>
              <w:rPr>
                <w:rFonts w:ascii="Times" w:hAnsi="Times"/>
                <w:sz w:val="20"/>
                <w:szCs w:val="20"/>
                <w:lang w:val="en-US"/>
              </w:rPr>
              <w:t>ely rie</w:t>
            </w:r>
            <w:r>
              <w:rPr>
                <w:rFonts w:ascii="Times" w:hAnsi="Times"/>
                <w:sz w:val="20"/>
                <w:szCs w:val="20"/>
              </w:rPr>
              <w:t>šenia tohto negatívneho stavu vhodn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, nakoľko v prípade vytvorenia nov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ho voľn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ho miesta sudcu na dotknutom súde je zrejm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, ž</w:t>
            </w:r>
            <w:r>
              <w:rPr>
                <w:rFonts w:ascii="Times" w:hAnsi="Times"/>
                <w:sz w:val="20"/>
                <w:szCs w:val="20"/>
                <w:lang w:val="es-ES_tradnl"/>
              </w:rPr>
              <w:t>e absencia ch</w:t>
            </w:r>
            <w:r>
              <w:rPr>
                <w:rFonts w:ascii="Times" w:hAnsi="Times"/>
                <w:sz w:val="20"/>
                <w:szCs w:val="20"/>
              </w:rPr>
              <w:t>ý</w:t>
            </w:r>
            <w:r>
              <w:rPr>
                <w:rFonts w:ascii="Times" w:hAnsi="Times"/>
                <w:sz w:val="20"/>
                <w:szCs w:val="20"/>
                <w:lang w:val="es-ES_tradnl"/>
              </w:rPr>
              <w:t>baj</w:t>
            </w:r>
            <w:r>
              <w:rPr>
                <w:rFonts w:ascii="Times" w:hAnsi="Times"/>
                <w:sz w:val="20"/>
                <w:szCs w:val="20"/>
              </w:rPr>
              <w:t>úceho sudcu je dočasná a preto sa vytvoren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nov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miesto sudcu stane v predví</w:t>
            </w:r>
            <w:r>
              <w:rPr>
                <w:rFonts w:ascii="Times" w:hAnsi="Times"/>
                <w:sz w:val="20"/>
                <w:szCs w:val="20"/>
                <w:lang w:val="nl-NL"/>
              </w:rPr>
              <w:t>date</w:t>
            </w:r>
            <w:r>
              <w:rPr>
                <w:rFonts w:ascii="Times" w:hAnsi="Times"/>
                <w:sz w:val="20"/>
                <w:szCs w:val="20"/>
              </w:rPr>
              <w:t>ľnom čase nadbytočn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a nie je možn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ho rušiť, pretože sudca je menovaný do funkcie bez časov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ho obmedzenia. Vo vzťahu k využ</w:t>
            </w:r>
            <w:r>
              <w:rPr>
                <w:rFonts w:ascii="Times" w:hAnsi="Times"/>
                <w:sz w:val="20"/>
                <w:szCs w:val="20"/>
                <w:lang w:val="pt-PT"/>
              </w:rPr>
              <w:t>itiu in</w:t>
            </w:r>
            <w:r>
              <w:rPr>
                <w:rFonts w:ascii="Times" w:hAnsi="Times"/>
                <w:sz w:val="20"/>
                <w:szCs w:val="20"/>
              </w:rPr>
              <w:t>štitútu dočasn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ho pridelenia je potrebn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konštatovať, že ani uveden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  <w:lang w:val="es-ES_tradnl"/>
              </w:rPr>
              <w:t>nemo</w:t>
            </w:r>
            <w:r>
              <w:rPr>
                <w:rFonts w:ascii="Times" w:hAnsi="Times"/>
                <w:sz w:val="20"/>
                <w:szCs w:val="20"/>
              </w:rPr>
              <w:t xml:space="preserve">žno považovať </w:t>
            </w:r>
            <w:r>
              <w:rPr>
                <w:rFonts w:ascii="Times" w:hAnsi="Times"/>
                <w:sz w:val="20"/>
                <w:szCs w:val="20"/>
                <w:lang w:val="it-IT"/>
              </w:rPr>
              <w:t xml:space="preserve">za </w:t>
            </w:r>
            <w:r>
              <w:rPr>
                <w:rFonts w:ascii="Times" w:hAnsi="Times"/>
                <w:sz w:val="20"/>
                <w:szCs w:val="20"/>
              </w:rPr>
              <w:t>ž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iaduce rie</w:t>
            </w:r>
            <w:r>
              <w:rPr>
                <w:rFonts w:ascii="Times" w:hAnsi="Times"/>
                <w:sz w:val="20"/>
                <w:szCs w:val="20"/>
              </w:rPr>
              <w:t>šenie tejto situácie, nakoľko využitím citovan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ho in</w:t>
            </w:r>
            <w:r>
              <w:rPr>
                <w:rFonts w:ascii="Times" w:hAnsi="Times"/>
                <w:sz w:val="20"/>
                <w:szCs w:val="20"/>
              </w:rPr>
              <w:t>štitútu dochádza len k presunu probl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mu na iný súd, ktor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 xml:space="preserve">mu bude následne absentovať sudca, ktorý je dočasne preložený 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na in</w:t>
            </w:r>
            <w:r>
              <w:rPr>
                <w:rFonts w:ascii="Times" w:hAnsi="Times"/>
                <w:sz w:val="20"/>
                <w:szCs w:val="20"/>
              </w:rPr>
              <w:t>ý súd. S ohľadom na vyššie uveden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je žiaduce prijatie legislatívneho opatrenia, ktor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by odstránilo súčasný nevyhovujúci stav, pričom za uveden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predkladateľ považuje zavedenie inštitútu hosťujúceho sudcu.</w:t>
            </w:r>
          </w:p>
        </w:tc>
      </w:tr>
      <w:tr w:rsidR="006F40A9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  3.  </w:t>
            </w:r>
            <w:r>
              <w:rPr>
                <w:rFonts w:ascii="Times" w:hAnsi="Times"/>
                <w:b/>
                <w:bCs/>
                <w:sz w:val="22"/>
                <w:szCs w:val="22"/>
                <w:lang w:val="it-IT"/>
              </w:rPr>
              <w:t>Ciele a v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ýsledný stav</w:t>
            </w:r>
          </w:p>
        </w:tc>
      </w:tr>
      <w:tr w:rsidR="006F40A9">
        <w:trPr>
          <w:trHeight w:val="261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lastRenderedPageBreak/>
              <w:t>Účelom návrhu zákona je zavedenie inštitútu hosťujúceho sudcu, a to s cieľom vytvoriť predpoklady pre riešenie situácií, ktor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dočasne negatívne ovplyvňujú fungovanie súdov tým, že znamenajú dočasnú absenciu zá</w:t>
            </w:r>
            <w:r>
              <w:rPr>
                <w:rFonts w:ascii="Times" w:hAnsi="Times"/>
                <w:sz w:val="20"/>
                <w:szCs w:val="20"/>
                <w:lang w:val="de-DE"/>
              </w:rPr>
              <w:t>konn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ho sudcu. Hosťujúci alebo tzv. lietajúci sudca je inštitútom nezriedka využí</w:t>
            </w:r>
            <w:r>
              <w:rPr>
                <w:rFonts w:ascii="Times" w:hAnsi="Times"/>
                <w:sz w:val="20"/>
                <w:szCs w:val="20"/>
                <w:lang w:val="nl-NL"/>
              </w:rPr>
              <w:t>van</w:t>
            </w:r>
            <w:r>
              <w:rPr>
                <w:rFonts w:ascii="Times" w:hAnsi="Times"/>
                <w:sz w:val="20"/>
                <w:szCs w:val="20"/>
              </w:rPr>
              <w:t>ým v právnych poriadkoch štátov v eur</w:t>
            </w:r>
            <w:r>
              <w:rPr>
                <w:rFonts w:ascii="Times" w:hAnsi="Times"/>
                <w:sz w:val="20"/>
                <w:szCs w:val="20"/>
                <w:lang w:val="es-ES_tradnl"/>
              </w:rPr>
              <w:t>ó</w:t>
            </w:r>
            <w:r>
              <w:rPr>
                <w:rFonts w:ascii="Times" w:hAnsi="Times"/>
                <w:sz w:val="20"/>
                <w:szCs w:val="20"/>
              </w:rPr>
              <w:t>pskom priestore, pričom ide o sudcu s osobitným statusom, ktor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ho osobitosť spočíva v jednoduchšej možnosti zmeniť tomuto sudcovi miesto výkonu funkcie, a to podľa potreby pri riešení nedostatočných personálnych kapacít súdov, ktorých príčiny majú dočasný charakter. Cieľom návrhu zákona je dosiahnutie pozitívneho prínosu pre zabezpečenie riadneho chodu súdov s ohľadom na plynulosť súdneho rozhodovania, čo prispieva k naplneniu legitímneho očakávania občanov, spočívajúceho vo vytvorení podmienok pre naplnenie ústavou garantovaných práv – v tomto prípade práva na súdnu ochranu, zo strany štátu.</w:t>
            </w:r>
          </w:p>
        </w:tc>
      </w:tr>
      <w:tr w:rsidR="006F40A9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  4.  Dotknut</w:t>
            </w:r>
            <w:r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t xml:space="preserve">é 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subjekty</w:t>
            </w:r>
          </w:p>
        </w:tc>
      </w:tr>
      <w:tr w:rsidR="006F40A9">
        <w:trPr>
          <w:trHeight w:val="53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>Ministerstvo spravodlivosti Slovenskej republiky, Súdna rada Slovenskej republiky, všeobecn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súdy, fyzick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osoby, právnick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osoby</w:t>
            </w:r>
          </w:p>
        </w:tc>
      </w:tr>
      <w:tr w:rsidR="006F40A9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  5.  </w:t>
            </w:r>
            <w:r>
              <w:rPr>
                <w:rFonts w:ascii="Times" w:hAnsi="Times"/>
                <w:b/>
                <w:bCs/>
                <w:sz w:val="22"/>
                <w:szCs w:val="22"/>
                <w:lang w:val="de-DE"/>
              </w:rPr>
              <w:t>Alternat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ívne riešenia</w:t>
            </w:r>
          </w:p>
        </w:tc>
      </w:tr>
      <w:tr w:rsidR="006F40A9">
        <w:trPr>
          <w:trHeight w:val="131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  <w:lang w:val="de-DE"/>
              </w:rPr>
              <w:t>Alternat</w:t>
            </w:r>
            <w:r>
              <w:rPr>
                <w:rFonts w:ascii="Times" w:hAnsi="Times"/>
                <w:sz w:val="20"/>
                <w:szCs w:val="20"/>
              </w:rPr>
              <w:t>ívne riešenia boli posudzovan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najmä s </w:t>
            </w:r>
            <w:r>
              <w:rPr>
                <w:rFonts w:ascii="Times" w:hAnsi="Times"/>
                <w:sz w:val="20"/>
                <w:szCs w:val="20"/>
                <w:lang w:val="de-DE"/>
              </w:rPr>
              <w:t>oh</w:t>
            </w:r>
            <w:r>
              <w:rPr>
                <w:rFonts w:ascii="Times" w:hAnsi="Times"/>
                <w:sz w:val="20"/>
                <w:szCs w:val="20"/>
              </w:rPr>
              <w:t>ľadom na ústavn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možnosti pre zavedenie inštitútu hosťujúceho sudcu, napr. či sa má využiť pridelenie sudcu alebo dočasn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pridelenie sudcu, prípadne preloženie sudcu na úč</w:t>
            </w:r>
            <w:r>
              <w:rPr>
                <w:rFonts w:ascii="Times" w:hAnsi="Times"/>
                <w:sz w:val="20"/>
                <w:szCs w:val="20"/>
                <w:lang w:val="en-US"/>
              </w:rPr>
              <w:t>ely rie</w:t>
            </w:r>
            <w:r>
              <w:rPr>
                <w:rFonts w:ascii="Times" w:hAnsi="Times"/>
                <w:sz w:val="20"/>
                <w:szCs w:val="20"/>
              </w:rPr>
              <w:t>š</w:t>
            </w:r>
            <w:r>
              <w:rPr>
                <w:rFonts w:ascii="Times" w:hAnsi="Times"/>
                <w:sz w:val="20"/>
                <w:szCs w:val="20"/>
                <w:lang w:val="en-US"/>
              </w:rPr>
              <w:t>enia mobility hos</w:t>
            </w:r>
            <w:r>
              <w:rPr>
                <w:rFonts w:ascii="Times" w:hAnsi="Times"/>
                <w:sz w:val="20"/>
                <w:szCs w:val="20"/>
              </w:rPr>
              <w:t>ťujúceho sudcu. Predložen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znenie návrhu je výsledkom zváženia všetký</w:t>
            </w:r>
            <w:r>
              <w:rPr>
                <w:rFonts w:ascii="Times" w:hAnsi="Times"/>
                <w:sz w:val="20"/>
                <w:szCs w:val="20"/>
                <w:lang w:val="de-DE"/>
              </w:rPr>
              <w:t xml:space="preserve">ch </w:t>
            </w:r>
            <w:r>
              <w:rPr>
                <w:rFonts w:ascii="Times" w:hAnsi="Times"/>
                <w:sz w:val="20"/>
                <w:szCs w:val="20"/>
              </w:rPr>
              <w:t>– najmä ústavných možností. V osobitnej č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asti d</w:t>
            </w:r>
            <w:r>
              <w:rPr>
                <w:rFonts w:ascii="Times" w:hAnsi="Times"/>
                <w:sz w:val="20"/>
                <w:szCs w:val="20"/>
              </w:rPr>
              <w:t>ôvodovej správy je detailnejší popis zvažovaný</w:t>
            </w:r>
            <w:r>
              <w:rPr>
                <w:rFonts w:ascii="Times" w:hAnsi="Times"/>
                <w:sz w:val="20"/>
                <w:szCs w:val="20"/>
                <w:lang w:val="de-DE"/>
              </w:rPr>
              <w:t>ch alternat</w:t>
            </w:r>
            <w:r>
              <w:rPr>
                <w:rFonts w:ascii="Times" w:hAnsi="Times"/>
                <w:sz w:val="20"/>
                <w:szCs w:val="20"/>
              </w:rPr>
              <w:t xml:space="preserve">ívnych riešení, rovnako aj motivácií predkladateľa.  </w:t>
            </w:r>
          </w:p>
        </w:tc>
      </w:tr>
      <w:tr w:rsidR="006F40A9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6F40A9">
        <w:trPr>
          <w:trHeight w:val="4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>  Á</w:t>
            </w:r>
            <w:r>
              <w:rPr>
                <w:rFonts w:ascii="Times" w:hAnsi="Times"/>
                <w:sz w:val="20"/>
                <w:szCs w:val="20"/>
                <w:lang w:val="it-IT"/>
              </w:rPr>
              <w:t xml:space="preserve">no </w:t>
            </w:r>
            <w:r>
              <w:rPr>
                <w:rFonts w:ascii="Times" w:hAnsi="Times"/>
                <w:sz w:val="20"/>
                <w:szCs w:val="20"/>
              </w:rPr>
              <w:t>           </w:t>
            </w:r>
            <w:r>
              <w:rPr>
                <w:rFonts w:ascii="Arial Unicode MS" w:hAnsi="Arial Unicode MS" w:hint="eastAsia"/>
                <w:sz w:val="20"/>
                <w:szCs w:val="20"/>
              </w:rPr>
              <w:t>☒</w:t>
            </w: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Times" w:hAnsi="Times"/>
                <w:sz w:val="20"/>
                <w:szCs w:val="20"/>
                <w:lang w:val="nl-NL"/>
              </w:rPr>
              <w:t>Nie</w:t>
            </w:r>
          </w:p>
        </w:tc>
      </w:tr>
      <w:tr w:rsidR="006F40A9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  7.  Transpozí</w:t>
            </w:r>
            <w:r>
              <w:rPr>
                <w:rFonts w:ascii="Times" w:hAnsi="Times"/>
                <w:b/>
                <w:bCs/>
                <w:sz w:val="22"/>
                <w:szCs w:val="22"/>
                <w:lang w:val="it-IT"/>
              </w:rPr>
              <w:t>cia pr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áva EÚ </w:t>
            </w:r>
          </w:p>
        </w:tc>
      </w:tr>
      <w:tr w:rsidR="006F40A9">
        <w:trPr>
          <w:trHeight w:val="4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  <w:lang w:val="nl-NL"/>
              </w:rPr>
              <w:t>Nie</w:t>
            </w:r>
          </w:p>
        </w:tc>
      </w:tr>
      <w:tr w:rsidR="006F40A9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6F40A9">
        <w:trPr>
          <w:trHeight w:val="4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>Preskúmanie účelnosti navrhovan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sz w:val="20"/>
                <w:szCs w:val="20"/>
              </w:rPr>
              <w:t>ho predpisu bude vykoná</w:t>
            </w:r>
            <w:r>
              <w:rPr>
                <w:rFonts w:ascii="Times" w:hAnsi="Times"/>
                <w:sz w:val="20"/>
                <w:szCs w:val="20"/>
                <w:lang w:val="nl-NL"/>
              </w:rPr>
              <w:t>van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priebežne po nadobudnutí účinnosti.</w:t>
            </w:r>
          </w:p>
        </w:tc>
      </w:tr>
    </w:tbl>
    <w:p w:rsidR="006F40A9" w:rsidRDefault="006F40A9">
      <w:pPr>
        <w:pStyle w:val="Normlnywebov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rPr>
          <w:sz w:val="22"/>
          <w:szCs w:val="22"/>
        </w:rPr>
      </w:pPr>
    </w:p>
    <w:tbl>
      <w:tblPr>
        <w:tblStyle w:val="TableNormal"/>
        <w:tblW w:w="90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633"/>
        <w:gridCol w:w="1818"/>
        <w:gridCol w:w="1817"/>
        <w:gridCol w:w="1819"/>
      </w:tblGrid>
      <w:tr w:rsidR="006F40A9">
        <w:trPr>
          <w:trHeight w:val="305"/>
          <w:jc w:val="center"/>
        </w:trPr>
        <w:tc>
          <w:tcPr>
            <w:tcW w:w="90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  9.   Vplyvy navrhovan</w:t>
            </w:r>
            <w:r>
              <w:rPr>
                <w:rFonts w:ascii="Times" w:hAnsi="Times"/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ho materiálu</w:t>
            </w:r>
          </w:p>
        </w:tc>
      </w:tr>
      <w:tr w:rsidR="006F40A9">
        <w:trPr>
          <w:trHeight w:val="315"/>
          <w:jc w:val="center"/>
        </w:trPr>
        <w:tc>
          <w:tcPr>
            <w:tcW w:w="3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Arial Unicode MS"/>
                <w:sz w:val="20"/>
                <w:szCs w:val="20"/>
              </w:rPr>
              <w:br/>
            </w:r>
            <w:r>
              <w:rPr>
                <w:rFonts w:ascii="Times" w:hAnsi="Times"/>
                <w:sz w:val="20"/>
                <w:szCs w:val="20"/>
              </w:rPr>
              <w:t>    z toho rozpočtovo zabezpečen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vplyvy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Wingdings 2" w:hAnsi="Wingdings 2" w:hint="eastAsia"/>
                <w:sz w:val="20"/>
                <w:szCs w:val="20"/>
              </w:rPr>
              <w:sym w:font="Wingdings 2" w:char="F020"/>
            </w:r>
            <w:r>
              <w:rPr>
                <w:rFonts w:ascii="Times" w:hAnsi="Times"/>
                <w:sz w:val="20"/>
                <w:szCs w:val="20"/>
              </w:rPr>
              <w:t xml:space="preserve"> Pozitívne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 w:hint="eastAsia"/>
                <w:sz w:val="20"/>
                <w:szCs w:val="20"/>
              </w:rPr>
              <w:t>☒</w:t>
            </w: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Negat</w:t>
            </w:r>
            <w:r>
              <w:rPr>
                <w:rFonts w:ascii="Times" w:hAnsi="Times"/>
                <w:sz w:val="20"/>
                <w:szCs w:val="20"/>
              </w:rPr>
              <w:t>ívne</w:t>
            </w:r>
          </w:p>
        </w:tc>
      </w:tr>
      <w:tr w:rsidR="006F40A9">
        <w:trPr>
          <w:trHeight w:val="315"/>
          <w:jc w:val="center"/>
        </w:trPr>
        <w:tc>
          <w:tcPr>
            <w:tcW w:w="3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F40A9" w:rsidRDefault="006F4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  Áno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 w:hint="eastAsia"/>
                <w:sz w:val="20"/>
                <w:szCs w:val="20"/>
              </w:rPr>
              <w:t>☒</w:t>
            </w:r>
            <w:r>
              <w:rPr>
                <w:rFonts w:ascii="Times" w:hAnsi="Times"/>
                <w:sz w:val="20"/>
                <w:szCs w:val="20"/>
              </w:rPr>
              <w:t xml:space="preserve">     </w:t>
            </w:r>
            <w:r>
              <w:rPr>
                <w:rFonts w:ascii="Times" w:hAnsi="Times"/>
                <w:sz w:val="20"/>
                <w:szCs w:val="20"/>
                <w:lang w:val="nl-NL"/>
              </w:rPr>
              <w:t>Nie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Čiastočne</w:t>
            </w:r>
          </w:p>
        </w:tc>
      </w:tr>
      <w:tr w:rsidR="006F40A9">
        <w:trPr>
          <w:trHeight w:val="315"/>
          <w:jc w:val="center"/>
        </w:trPr>
        <w:tc>
          <w:tcPr>
            <w:tcW w:w="3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  Vplyvy na podnikateľsk</w:t>
            </w:r>
            <w:r>
              <w:rPr>
                <w:rFonts w:ascii="Times" w:hAnsi="Times"/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prostredie</w:t>
            </w:r>
            <w:r>
              <w:rPr>
                <w:rFonts w:ascii="Arial Unicode MS"/>
                <w:sz w:val="20"/>
                <w:szCs w:val="20"/>
              </w:rPr>
              <w:br/>
            </w:r>
            <w:r>
              <w:rPr>
                <w:rFonts w:ascii="Times" w:hAnsi="Times"/>
                <w:sz w:val="20"/>
                <w:szCs w:val="20"/>
              </w:rPr>
              <w:t>    z toho vplyvy na MSP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 w:hint="eastAsia"/>
                <w:sz w:val="20"/>
                <w:szCs w:val="20"/>
              </w:rPr>
              <w:t>☒</w:t>
            </w:r>
            <w:r>
              <w:rPr>
                <w:rFonts w:ascii="Times" w:hAnsi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Negat</w:t>
            </w:r>
            <w:r>
              <w:rPr>
                <w:rFonts w:ascii="Times" w:hAnsi="Times"/>
                <w:sz w:val="20"/>
                <w:szCs w:val="20"/>
              </w:rPr>
              <w:t>ívne</w:t>
            </w:r>
          </w:p>
        </w:tc>
      </w:tr>
      <w:tr w:rsidR="006F40A9">
        <w:trPr>
          <w:trHeight w:val="315"/>
          <w:jc w:val="center"/>
        </w:trPr>
        <w:tc>
          <w:tcPr>
            <w:tcW w:w="3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F40A9" w:rsidRDefault="006F4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 w:hint="eastAsia"/>
                <w:sz w:val="20"/>
                <w:szCs w:val="20"/>
              </w:rPr>
              <w:t>☒</w:t>
            </w:r>
            <w:r>
              <w:rPr>
                <w:rFonts w:ascii="Times" w:hAnsi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Negat</w:t>
            </w:r>
            <w:r>
              <w:rPr>
                <w:rFonts w:ascii="Times" w:hAnsi="Times"/>
                <w:sz w:val="20"/>
                <w:szCs w:val="20"/>
              </w:rPr>
              <w:t>ívne</w:t>
            </w:r>
          </w:p>
        </w:tc>
      </w:tr>
      <w:tr w:rsidR="006F40A9">
        <w:trPr>
          <w:trHeight w:val="315"/>
          <w:jc w:val="center"/>
        </w:trPr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>  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  <w:lang w:val="de-DE"/>
              </w:rPr>
              <w:t xml:space="preserve">     </w:t>
            </w:r>
            <w:r>
              <w:rPr>
                <w:rFonts w:ascii="Times" w:hAnsi="Times"/>
                <w:sz w:val="20"/>
                <w:szCs w:val="20"/>
              </w:rPr>
              <w:t>Pozitívne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>  </w:t>
            </w:r>
            <w:r>
              <w:rPr>
                <w:rFonts w:ascii="Arial Unicode MS" w:hAnsi="Arial Unicode MS" w:hint="eastAsia"/>
                <w:sz w:val="20"/>
                <w:szCs w:val="20"/>
              </w:rPr>
              <w:t>☒</w:t>
            </w:r>
            <w:r>
              <w:rPr>
                <w:rFonts w:ascii="Times" w:hAnsi="Times"/>
                <w:sz w:val="20"/>
                <w:szCs w:val="20"/>
                <w:lang w:val="de-DE"/>
              </w:rPr>
              <w:t>     Ž</w:t>
            </w:r>
            <w:r>
              <w:rPr>
                <w:rFonts w:ascii="Times" w:hAnsi="Times"/>
                <w:sz w:val="20"/>
                <w:szCs w:val="20"/>
              </w:rPr>
              <w:t>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Negat</w:t>
            </w:r>
            <w:r>
              <w:rPr>
                <w:rFonts w:ascii="Times" w:hAnsi="Times"/>
                <w:sz w:val="20"/>
                <w:szCs w:val="20"/>
              </w:rPr>
              <w:t>ívne</w:t>
            </w:r>
          </w:p>
        </w:tc>
      </w:tr>
      <w:tr w:rsidR="006F40A9">
        <w:trPr>
          <w:trHeight w:val="315"/>
          <w:jc w:val="center"/>
        </w:trPr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  Vplyvy na životn</w:t>
            </w:r>
            <w:r>
              <w:rPr>
                <w:rFonts w:ascii="Times" w:hAnsi="Times"/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prostredie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 w:hint="eastAsia"/>
                <w:sz w:val="20"/>
                <w:szCs w:val="20"/>
              </w:rPr>
              <w:t>☒</w:t>
            </w:r>
            <w:r>
              <w:rPr>
                <w:rFonts w:ascii="Times" w:hAnsi="Times"/>
                <w:sz w:val="20"/>
                <w:szCs w:val="20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Negat</w:t>
            </w:r>
            <w:r>
              <w:rPr>
                <w:rFonts w:ascii="Times" w:hAnsi="Times"/>
                <w:sz w:val="20"/>
                <w:szCs w:val="20"/>
              </w:rPr>
              <w:t>ívne</w:t>
            </w:r>
          </w:p>
        </w:tc>
      </w:tr>
      <w:tr w:rsidR="006F40A9">
        <w:trPr>
          <w:trHeight w:val="315"/>
          <w:jc w:val="center"/>
        </w:trPr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 w:hint="eastAsia"/>
                <w:sz w:val="20"/>
                <w:szCs w:val="20"/>
              </w:rPr>
              <w:t>☒</w:t>
            </w:r>
            <w:r>
              <w:rPr>
                <w:rFonts w:ascii="Times" w:hAnsi="Times"/>
                <w:sz w:val="20"/>
                <w:szCs w:val="20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Negat</w:t>
            </w:r>
            <w:r>
              <w:rPr>
                <w:rFonts w:ascii="Times" w:hAnsi="Times"/>
                <w:sz w:val="20"/>
                <w:szCs w:val="20"/>
              </w:rPr>
              <w:t>ívne</w:t>
            </w:r>
          </w:p>
        </w:tc>
      </w:tr>
      <w:tr w:rsidR="006F40A9">
        <w:trPr>
          <w:trHeight w:val="575"/>
          <w:jc w:val="center"/>
        </w:trPr>
        <w:tc>
          <w:tcPr>
            <w:tcW w:w="3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lastRenderedPageBreak/>
              <w:t>  Vplyvy na služby pre občana z toho</w:t>
            </w:r>
            <w:r>
              <w:rPr>
                <w:rFonts w:ascii="Arial Unicode MS"/>
                <w:sz w:val="20"/>
                <w:szCs w:val="20"/>
              </w:rPr>
              <w:br/>
            </w:r>
            <w:r>
              <w:rPr>
                <w:rFonts w:ascii="Times" w:hAnsi="Times"/>
                <w:sz w:val="20"/>
                <w:szCs w:val="20"/>
              </w:rPr>
              <w:t>    vplyvy služieb verejnej správy na občana</w:t>
            </w:r>
            <w:r>
              <w:rPr>
                <w:rFonts w:ascii="Arial Unicode MS"/>
                <w:sz w:val="20"/>
                <w:szCs w:val="20"/>
              </w:rPr>
              <w:br/>
            </w:r>
            <w:r>
              <w:rPr>
                <w:rFonts w:ascii="Times" w:hAnsi="Times"/>
                <w:sz w:val="20"/>
                <w:szCs w:val="20"/>
              </w:rPr>
              <w:t>    vplyvy na procesy služieb vo verejnej</w:t>
            </w:r>
            <w:r>
              <w:rPr>
                <w:rFonts w:ascii="Arial Unicode MS"/>
                <w:sz w:val="20"/>
                <w:szCs w:val="20"/>
              </w:rPr>
              <w:br/>
            </w:r>
            <w:r>
              <w:rPr>
                <w:rFonts w:ascii="Times" w:hAnsi="Times"/>
                <w:sz w:val="20"/>
                <w:szCs w:val="20"/>
              </w:rPr>
              <w:t xml:space="preserve">    </w:t>
            </w:r>
            <w:r>
              <w:rPr>
                <w:rFonts w:ascii="Times" w:hAnsi="Times"/>
                <w:sz w:val="20"/>
                <w:szCs w:val="20"/>
                <w:lang w:val="de-DE"/>
              </w:rPr>
              <w:t>spr</w:t>
            </w:r>
            <w:r>
              <w:rPr>
                <w:rFonts w:ascii="Times" w:hAnsi="Times"/>
                <w:sz w:val="20"/>
                <w:szCs w:val="20"/>
              </w:rPr>
              <w:t>áve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Arial Unicode MS"/>
                <w:sz w:val="20"/>
                <w:szCs w:val="20"/>
              </w:rPr>
              <w:br/>
            </w: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Arial Unicode MS"/>
                <w:sz w:val="20"/>
                <w:szCs w:val="20"/>
              </w:rPr>
              <w:br/>
            </w: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 w:hint="eastAsia"/>
                <w:sz w:val="20"/>
                <w:szCs w:val="20"/>
              </w:rPr>
              <w:t>☒</w:t>
            </w:r>
            <w:r>
              <w:rPr>
                <w:rFonts w:ascii="Times" w:hAnsi="Times"/>
                <w:sz w:val="20"/>
                <w:szCs w:val="20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Arial Unicode MS"/>
                <w:sz w:val="20"/>
                <w:szCs w:val="20"/>
              </w:rPr>
              <w:br/>
            </w: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Negat</w:t>
            </w:r>
            <w:r>
              <w:rPr>
                <w:rFonts w:ascii="Times" w:hAnsi="Times"/>
                <w:sz w:val="20"/>
                <w:szCs w:val="20"/>
              </w:rPr>
              <w:t>ívne</w:t>
            </w:r>
          </w:p>
        </w:tc>
      </w:tr>
      <w:tr w:rsidR="006F40A9">
        <w:trPr>
          <w:trHeight w:val="580"/>
          <w:jc w:val="center"/>
        </w:trPr>
        <w:tc>
          <w:tcPr>
            <w:tcW w:w="3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F40A9" w:rsidRDefault="006F4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 w:hint="eastAsia"/>
                <w:sz w:val="20"/>
                <w:szCs w:val="20"/>
              </w:rPr>
              <w:t>☒</w:t>
            </w:r>
            <w:r>
              <w:rPr>
                <w:rFonts w:ascii="Times" w:hAnsi="Times"/>
                <w:sz w:val="20"/>
                <w:szCs w:val="20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hint="eastAsia"/>
                <w:sz w:val="28"/>
                <w:szCs w:val="28"/>
              </w:rPr>
              <w:sym w:font="Wingdings 2" w:char="F02A"/>
            </w:r>
            <w:r>
              <w:rPr>
                <w:rFonts w:ascii="Times" w:hAnsi="Times"/>
                <w:sz w:val="20"/>
                <w:szCs w:val="20"/>
              </w:rPr>
              <w:t xml:space="preserve">   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Negat</w:t>
            </w:r>
            <w:r>
              <w:rPr>
                <w:rFonts w:ascii="Times" w:hAnsi="Times"/>
                <w:sz w:val="20"/>
                <w:szCs w:val="20"/>
              </w:rPr>
              <w:t>ívne</w:t>
            </w:r>
          </w:p>
        </w:tc>
      </w:tr>
    </w:tbl>
    <w:p w:rsidR="006F40A9" w:rsidRDefault="006F40A9">
      <w:pPr>
        <w:pStyle w:val="Normlnywebov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rPr>
          <w:sz w:val="22"/>
          <w:szCs w:val="22"/>
        </w:rPr>
      </w:pPr>
    </w:p>
    <w:tbl>
      <w:tblPr>
        <w:tblStyle w:val="TableNormal"/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088"/>
      </w:tblGrid>
      <w:tr w:rsidR="006F40A9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6F40A9">
        <w:trPr>
          <w:trHeight w:val="887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</w:pPr>
            <w:r>
              <w:rPr>
                <w:sz w:val="20"/>
                <w:szCs w:val="20"/>
              </w:rPr>
              <w:t>Návrh zákona zavádza opatrenia, ktorých efektívne využívanie prinesie pozitívny vplyv pre napĺňanie ústavn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</w:rPr>
              <w:t>ho práva na súdnu ochranu. To platí aj pre prístup k prá</w:t>
            </w:r>
            <w:r>
              <w:rPr>
                <w:sz w:val="20"/>
                <w:szCs w:val="20"/>
                <w:lang w:val="pt-PT"/>
              </w:rPr>
              <w:t>vam v</w:t>
            </w:r>
            <w:r>
              <w:rPr>
                <w:sz w:val="20"/>
                <w:szCs w:val="20"/>
              </w:rPr>
              <w:t>šetkých sociálnych skupín. Efektívne fungovanie súdov ovplyvňuje pozitívne hospodárenie každ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</w:rPr>
              <w:t xml:space="preserve">ho subjektu, ktorý uplatňuje svoje práva alebo sa domáha splnenia povinností v konaní pred súdom. </w:t>
            </w:r>
          </w:p>
        </w:tc>
      </w:tr>
      <w:tr w:rsidR="006F40A9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6F40A9">
        <w:trPr>
          <w:trHeight w:val="53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>JUDr. Juraj Palúš</w:t>
            </w:r>
            <w:r>
              <w:rPr>
                <w:rFonts w:ascii="Times" w:hAnsi="Times"/>
                <w:sz w:val="20"/>
                <w:szCs w:val="20"/>
                <w:lang w:val="de-DE"/>
              </w:rPr>
              <w:t>, gener</w:t>
            </w:r>
            <w:r>
              <w:rPr>
                <w:rFonts w:ascii="Times" w:hAnsi="Times"/>
                <w:sz w:val="20"/>
                <w:szCs w:val="20"/>
              </w:rPr>
              <w:t xml:space="preserve">álny riaditeľ sekcie legislatívy, Ministerstvo spravodlivosti Slovenskej republiky, juraj.palus@justice.sk </w:t>
            </w:r>
          </w:p>
        </w:tc>
      </w:tr>
      <w:tr w:rsidR="006F40A9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6F40A9">
        <w:trPr>
          <w:trHeight w:val="53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" w:eastAsia="Times New Roman" w:hAnsi="Times" w:cs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  <w:lang w:val="de-DE"/>
              </w:rPr>
              <w:t>Spr</w:t>
            </w:r>
            <w:r>
              <w:rPr>
                <w:rFonts w:ascii="Times" w:hAnsi="Times"/>
                <w:sz w:val="20"/>
                <w:szCs w:val="20"/>
              </w:rPr>
              <w:t>áva k stavu justície na Slovensku vypracovaná Eur</w:t>
            </w:r>
            <w:r>
              <w:rPr>
                <w:rFonts w:ascii="Times" w:hAnsi="Times"/>
                <w:sz w:val="20"/>
                <w:szCs w:val="20"/>
                <w:lang w:val="es-ES_tradnl"/>
              </w:rPr>
              <w:t>ó</w:t>
            </w:r>
            <w:r>
              <w:rPr>
                <w:rFonts w:ascii="Times" w:hAnsi="Times"/>
                <w:sz w:val="20"/>
                <w:szCs w:val="20"/>
              </w:rPr>
              <w:t>pskou komisiou pre efektívnu justíciu (CEPEJ)</w:t>
            </w:r>
          </w:p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>(</w:t>
            </w:r>
            <w:hyperlink r:id="rId6" w:history="1">
              <w:r>
                <w:rPr>
                  <w:rStyle w:val="Hyperlink0"/>
                  <w:rFonts w:eastAsia="Arial Unicode MS"/>
                  <w:lang w:val="en-US"/>
                </w:rPr>
                <w:t>https://www.justice.gov.sk/Stranky/aktualitadetail.aspx?announcementID=2310</w:t>
              </w:r>
            </w:hyperlink>
            <w:r>
              <w:rPr>
                <w:rFonts w:ascii="Times" w:hAnsi="Times"/>
                <w:sz w:val="20"/>
                <w:szCs w:val="20"/>
              </w:rPr>
              <w:t xml:space="preserve">) </w:t>
            </w:r>
          </w:p>
        </w:tc>
      </w:tr>
      <w:tr w:rsidR="006F40A9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6F40A9">
        <w:trPr>
          <w:trHeight w:val="10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" w:eastAsia="Times New Roman" w:hAnsi="Times" w:cs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Stála pracovná komisia na posudzovanie vybraných vplyvov vyjadrila 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nesúhlasn</w:t>
            </w:r>
            <w:r>
              <w:rPr>
                <w:rFonts w:ascii="Times" w:hAnsi="Times"/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stanovisko</w:t>
            </w:r>
            <w:r>
              <w:rPr>
                <w:rFonts w:ascii="Times" w:hAnsi="Times"/>
                <w:sz w:val="20"/>
                <w:szCs w:val="20"/>
              </w:rPr>
              <w:t xml:space="preserve"> s </w:t>
            </w:r>
            <w:r>
              <w:rPr>
                <w:rFonts w:ascii="Times" w:hAnsi="Times"/>
                <w:sz w:val="20"/>
                <w:szCs w:val="20"/>
                <w:lang w:val="it-IT"/>
              </w:rPr>
              <w:t>materi</w:t>
            </w:r>
            <w:r>
              <w:rPr>
                <w:rFonts w:ascii="Times" w:hAnsi="Times"/>
                <w:sz w:val="20"/>
                <w:szCs w:val="20"/>
              </w:rPr>
              <w:t>álom predloženým na predbežn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pripomienkov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konanie.</w:t>
            </w:r>
          </w:p>
          <w:p w:rsidR="006F40A9" w:rsidRDefault="009B7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" w:hAnsi="Times"/>
                <w:sz w:val="20"/>
                <w:szCs w:val="20"/>
              </w:rPr>
              <w:t>Pripomienky a odporúčania navrhnut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komisiou boli akceptovan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</w:rPr>
              <w:t>a zapracovan</w:t>
            </w:r>
            <w:r>
              <w:rPr>
                <w:rFonts w:ascii="Times" w:hAnsi="Times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" w:hAnsi="Times"/>
                <w:sz w:val="20"/>
                <w:szCs w:val="20"/>
                <w:lang w:val="pt-PT"/>
              </w:rPr>
              <w:t>do dolo</w:t>
            </w:r>
            <w:r>
              <w:rPr>
                <w:rFonts w:ascii="Times" w:hAnsi="Times"/>
                <w:sz w:val="20"/>
                <w:szCs w:val="20"/>
              </w:rPr>
              <w:t>žky vybraných vplyvov.</w:t>
            </w:r>
          </w:p>
        </w:tc>
      </w:tr>
    </w:tbl>
    <w:p w:rsidR="006F40A9" w:rsidRDefault="006F40A9">
      <w:pPr>
        <w:pStyle w:val="Normlnywebov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</w:pPr>
    </w:p>
    <w:sectPr w:rsidR="006F40A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52F" w:rsidRDefault="005D3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:rsidR="005D352F" w:rsidRDefault="005D3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0A9" w:rsidRDefault="006F40A9">
    <w:pPr>
      <w:pStyle w:val="Hlavikaapt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52F" w:rsidRDefault="005D3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:rsidR="005D352F" w:rsidRDefault="005D3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0A9" w:rsidRDefault="006F40A9">
    <w:pPr>
      <w:pStyle w:val="Hlavikaapt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A9"/>
    <w:rsid w:val="000C4D96"/>
    <w:rsid w:val="00293378"/>
    <w:rsid w:val="005D352F"/>
    <w:rsid w:val="006F40A9"/>
    <w:rsid w:val="007A7855"/>
    <w:rsid w:val="00921F02"/>
    <w:rsid w:val="009B753F"/>
    <w:rsid w:val="00A1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D9C5B8-2D8A-4E2F-87DB-FEBAAC05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sk-SK" w:eastAsia="sk-SK" w:bidi="ar-SA"/>
      </w:rPr>
    </w:rPrDefault>
    <w:pPrDefault>
      <w:pPr>
        <w:pBdr>
          <w:top w:val="none" w:sz="96" w:space="31" w:color="FFFFFF" w:shadow="1" w:frame="1"/>
          <w:left w:val="none" w:sz="96" w:space="31" w:color="FFFFFF" w:shadow="1" w:frame="1"/>
          <w:bottom w:val="none" w:sz="96" w:space="31" w:color="FFFFFF" w:shadow="1" w:frame="1"/>
          <w:right w:val="none" w:sz="96" w:space="31" w:color="FFFFFF" w:shadow="1" w:frame="1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lnywebov">
    <w:name w:val="Normal (Web)"/>
    <w:basedOn w:val="Normlny"/>
    <w:uiPriority w:val="99"/>
    <w:pPr>
      <w:spacing w:before="100" w:after="100"/>
    </w:pPr>
    <w:rPr>
      <w:lang w:val="de-DE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0">
    <w:name w:val="Hyperlink.0"/>
    <w:basedOn w:val="Odkaz"/>
    <w:rPr>
      <w:rFonts w:ascii="Times" w:eastAsia="Times New Roman" w:hAnsi="Times" w:cs="Times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stice.gov.sk/Stranky/aktualitadetail.aspx?announcementID=231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Ľubica</dc:creator>
  <cp:keywords/>
  <dc:description/>
  <cp:lastModifiedBy>PALÚŠ Juraj</cp:lastModifiedBy>
  <cp:revision>2</cp:revision>
  <dcterms:created xsi:type="dcterms:W3CDTF">2019-06-10T10:18:00Z</dcterms:created>
  <dcterms:modified xsi:type="dcterms:W3CDTF">2019-06-10T10:18:00Z</dcterms:modified>
</cp:coreProperties>
</file>